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7DDE7">
      <w:pPr>
        <w:spacing w:before="166" w:line="209" w:lineRule="auto"/>
        <w:ind w:left="1480" w:leftChars="0" w:right="335" w:rightChars="0" w:hanging="1206" w:firstLineChars="0"/>
        <w:jc w:val="center"/>
        <w:rPr>
          <w:rFonts w:hint="eastAsia" w:ascii="方正小标宋_GBK" w:hAnsi="方正小标宋_GBK" w:eastAsia="方正小标宋_GBK" w:cs="方正小标宋_GBK"/>
          <w:spacing w:val="9"/>
          <w:sz w:val="43"/>
          <w:szCs w:val="43"/>
        </w:rPr>
      </w:pPr>
      <w:r>
        <w:rPr>
          <w:rFonts w:hint="eastAsia" w:ascii="方正小标宋_GBK" w:hAnsi="方正小标宋_GBK" w:eastAsia="方正小标宋_GBK" w:cs="方正小标宋_GBK"/>
          <w:spacing w:val="7"/>
          <w:sz w:val="43"/>
          <w:szCs w:val="43"/>
        </w:rPr>
        <w:t>乌鲁木齐</w:t>
      </w:r>
      <w:r>
        <w:rPr>
          <w:rFonts w:hint="eastAsia" w:ascii="方正小标宋_GBK" w:hAnsi="方正小标宋_GBK" w:eastAsia="方正小标宋_GBK" w:cs="方正小标宋_GBK"/>
          <w:spacing w:val="7"/>
          <w:sz w:val="43"/>
          <w:szCs w:val="43"/>
          <w:lang w:eastAsia="zh-CN"/>
        </w:rPr>
        <w:t>县</w:t>
      </w:r>
      <w:r>
        <w:rPr>
          <w:rFonts w:hint="eastAsia" w:ascii="方正小标宋_GBK" w:hAnsi="方正小标宋_GBK" w:eastAsia="方正小标宋_GBK" w:cs="方正小标宋_GBK"/>
          <w:spacing w:val="7"/>
          <w:sz w:val="43"/>
          <w:szCs w:val="43"/>
        </w:rPr>
        <w:t>应急管理局 2025 年煤</w:t>
      </w:r>
      <w:r>
        <w:rPr>
          <w:rFonts w:hint="eastAsia" w:ascii="方正小标宋_GBK" w:hAnsi="方正小标宋_GBK" w:eastAsia="方正小标宋_GBK" w:cs="方正小标宋_GBK"/>
          <w:spacing w:val="7"/>
          <w:sz w:val="43"/>
          <w:szCs w:val="43"/>
          <w:lang w:eastAsia="zh-CN"/>
        </w:rPr>
        <w:t>矿</w:t>
      </w:r>
      <w:r>
        <w:rPr>
          <w:rFonts w:hint="eastAsia" w:ascii="方正小标宋_GBK" w:hAnsi="方正小标宋_GBK" w:eastAsia="方正小标宋_GBK" w:cs="方正小标宋_GBK"/>
          <w:spacing w:val="9"/>
          <w:sz w:val="43"/>
          <w:szCs w:val="43"/>
        </w:rPr>
        <w:t>安全</w:t>
      </w:r>
    </w:p>
    <w:p w14:paraId="5C19181C">
      <w:pPr>
        <w:spacing w:before="166" w:line="209" w:lineRule="auto"/>
        <w:ind w:left="1480" w:leftChars="0" w:right="335" w:rightChars="0" w:hanging="1206" w:firstLineChars="0"/>
        <w:jc w:val="center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hint="eastAsia" w:ascii="方正小标宋_GBK" w:hAnsi="方正小标宋_GBK" w:eastAsia="方正小标宋_GBK" w:cs="方正小标宋_GBK"/>
          <w:spacing w:val="9"/>
          <w:sz w:val="43"/>
          <w:szCs w:val="43"/>
        </w:rPr>
        <w:t>监管执法工作计划</w:t>
      </w:r>
    </w:p>
    <w:p w14:paraId="3D6F134F">
      <w:pPr>
        <w:spacing w:line="260" w:lineRule="auto"/>
        <w:rPr>
          <w:rFonts w:ascii="Arial"/>
          <w:sz w:val="21"/>
        </w:rPr>
      </w:pPr>
    </w:p>
    <w:p w14:paraId="17D52329">
      <w:pPr>
        <w:spacing w:line="260" w:lineRule="auto"/>
        <w:rPr>
          <w:rFonts w:ascii="Arial"/>
          <w:sz w:val="21"/>
        </w:rPr>
      </w:pPr>
    </w:p>
    <w:p w14:paraId="0C3306B1">
      <w:pPr>
        <w:pStyle w:val="2"/>
        <w:spacing w:before="114" w:line="293" w:lineRule="auto"/>
        <w:ind w:left="5" w:right="52" w:firstLine="659"/>
        <w:jc w:val="both"/>
      </w:pPr>
      <w:r>
        <w:rPr>
          <w:spacing w:val="4"/>
        </w:rPr>
        <w:t>按照《关于乌鲁木齐市矿山安全分级属地监</w:t>
      </w:r>
      <w:r>
        <w:rPr>
          <w:spacing w:val="3"/>
        </w:rPr>
        <w:t>管有关事项的通</w:t>
      </w:r>
      <w:r>
        <w:t xml:space="preserve"> </w:t>
      </w:r>
      <w:r>
        <w:rPr>
          <w:spacing w:val="-9"/>
        </w:rPr>
        <w:t>知》（乌应急字〔</w:t>
      </w:r>
      <w:r>
        <w:rPr>
          <w:rFonts w:ascii="Times New Roman" w:hAnsi="Times New Roman" w:eastAsia="Times New Roman" w:cs="Times New Roman"/>
          <w:spacing w:val="-9"/>
        </w:rPr>
        <w:t>2023</w:t>
      </w:r>
      <w:r>
        <w:rPr>
          <w:spacing w:val="-9"/>
        </w:rPr>
        <w:t>〕</w:t>
      </w:r>
      <w:r>
        <w:rPr>
          <w:rFonts w:ascii="Times New Roman" w:hAnsi="Times New Roman" w:eastAsia="Times New Roman" w:cs="Times New Roman"/>
          <w:spacing w:val="-9"/>
        </w:rPr>
        <w:t>71</w:t>
      </w:r>
      <w:r>
        <w:rPr>
          <w:rFonts w:ascii="Times New Roman" w:hAnsi="Times New Roman" w:eastAsia="Times New Roman" w:cs="Times New Roman"/>
          <w:spacing w:val="39"/>
        </w:rPr>
        <w:t xml:space="preserve"> </w:t>
      </w:r>
      <w:r>
        <w:rPr>
          <w:spacing w:val="-9"/>
        </w:rPr>
        <w:t>号）、《国家煤矿安全监察局综合司关</w:t>
      </w:r>
      <w:r>
        <w:t xml:space="preserve"> </w:t>
      </w:r>
      <w:r>
        <w:rPr>
          <w:spacing w:val="12"/>
        </w:rPr>
        <w:t>于印发〈</w:t>
      </w:r>
      <w:r>
        <w:rPr>
          <w:rFonts w:ascii="Times New Roman" w:hAnsi="Times New Roman" w:eastAsia="Times New Roman" w:cs="Times New Roman"/>
          <w:spacing w:val="12"/>
        </w:rPr>
        <w:t>2025</w:t>
      </w:r>
      <w:r>
        <w:rPr>
          <w:rFonts w:ascii="Times New Roman" w:hAnsi="Times New Roman" w:eastAsia="Times New Roman" w:cs="Times New Roman"/>
          <w:spacing w:val="27"/>
          <w:w w:val="101"/>
        </w:rPr>
        <w:t xml:space="preserve"> </w:t>
      </w:r>
      <w:r>
        <w:rPr>
          <w:spacing w:val="12"/>
        </w:rPr>
        <w:t>年煤矿安全监管监察执法计划编</w:t>
      </w:r>
      <w:r>
        <w:rPr>
          <w:spacing w:val="11"/>
        </w:rPr>
        <w:t>制指南及模板〉</w:t>
      </w:r>
      <w:r>
        <w:t xml:space="preserve"> </w:t>
      </w:r>
      <w:r>
        <w:rPr>
          <w:spacing w:val="1"/>
        </w:rPr>
        <w:t>的通知》（矿安综〔</w:t>
      </w:r>
      <w:r>
        <w:rPr>
          <w:rFonts w:ascii="Times New Roman" w:hAnsi="Times New Roman" w:eastAsia="Times New Roman" w:cs="Times New Roman"/>
          <w:spacing w:val="1"/>
        </w:rPr>
        <w:t>2024</w:t>
      </w:r>
      <w:r>
        <w:rPr>
          <w:spacing w:val="1"/>
        </w:rPr>
        <w:t>〕</w:t>
      </w:r>
      <w:r>
        <w:rPr>
          <w:rFonts w:ascii="Times New Roman" w:hAnsi="Times New Roman" w:eastAsia="Times New Roman" w:cs="Times New Roman"/>
          <w:spacing w:val="1"/>
        </w:rPr>
        <w:t>54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spacing w:val="1"/>
        </w:rPr>
        <w:t>号）</w:t>
      </w:r>
      <w:r>
        <w:rPr>
          <w:rFonts w:hint="eastAsia"/>
          <w:spacing w:val="1"/>
          <w:lang w:eastAsia="zh-CN"/>
        </w:rPr>
        <w:t>、《关于印发《乌鲁木齐市应急管理局2025年煤矿安全监管执法工作计划》的通知》（乌应急字〔2025〕3 号）</w:t>
      </w:r>
      <w:r>
        <w:rPr>
          <w:spacing w:val="1"/>
        </w:rPr>
        <w:t>等有关规定，结合我</w:t>
      </w:r>
      <w:r>
        <w:rPr>
          <w:rFonts w:hint="eastAsia"/>
          <w:spacing w:val="1"/>
          <w:lang w:eastAsia="zh-CN"/>
        </w:rPr>
        <w:t>县</w:t>
      </w:r>
      <w:r>
        <w:t>煤矿实</w:t>
      </w:r>
      <w:r>
        <w:rPr>
          <w:spacing w:val="5"/>
        </w:rPr>
        <w:t>际，制定本计划。</w:t>
      </w:r>
    </w:p>
    <w:p w14:paraId="26B73391">
      <w:pPr>
        <w:spacing w:before="40" w:line="225" w:lineRule="auto"/>
        <w:ind w:left="637"/>
        <w:outlineLvl w:val="0"/>
        <w:rPr>
          <w:rFonts w:ascii="新宋体" w:hAnsi="新宋体" w:eastAsia="新宋体" w:cs="新宋体"/>
          <w:sz w:val="31"/>
          <w:szCs w:val="31"/>
        </w:rPr>
      </w:pPr>
      <w:r>
        <w:rPr>
          <w:rFonts w:ascii="新宋体" w:hAnsi="新宋体" w:eastAsia="新宋体" w:cs="新宋体"/>
          <w:spacing w:val="5"/>
          <w:sz w:val="31"/>
          <w:szCs w:val="31"/>
        </w:rPr>
        <w:t>一、基本情况</w:t>
      </w:r>
    </w:p>
    <w:p w14:paraId="4569FF2E">
      <w:pPr>
        <w:spacing w:before="181" w:line="229" w:lineRule="auto"/>
        <w:ind w:left="687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6"/>
          <w:sz w:val="31"/>
          <w:szCs w:val="31"/>
        </w:rPr>
        <w:t>（一）产煤区（县）情况</w:t>
      </w:r>
    </w:p>
    <w:p w14:paraId="66D3BAD3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spacing w:val="5"/>
        </w:rPr>
        <w:t>（</w:t>
      </w:r>
      <w:r>
        <w:rPr>
          <w:spacing w:val="-76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1</w:t>
      </w:r>
      <w:r>
        <w:rPr>
          <w:spacing w:val="5"/>
        </w:rPr>
        <w:t>）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产煤区（县）及对应煤矿</w:t>
      </w:r>
    </w:p>
    <w:p w14:paraId="2BE47FA2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新疆兴陶大北矿业有限公司煤矿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（目前处于待复工状态）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 xml:space="preserve"> </w:t>
      </w:r>
    </w:p>
    <w:p w14:paraId="58649786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2.煤矿安全监管部门机构设置、职责分工概况。</w:t>
      </w:r>
    </w:p>
    <w:p w14:paraId="2997B02F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乌鲁木齐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县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应急管理局设置内设科（室）矿山安全监督管理科，负责矿山安全监督管理工作；设置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县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应急管理综合行政执法</w:t>
      </w:r>
      <w:r>
        <w:rPr>
          <w:rFonts w:hint="default" w:ascii="Times New Roman" w:hAnsi="Times New Roman" w:eastAsia="方正仿宋_GBK" w:cs="Times New Roman"/>
          <w:strike w:val="0"/>
          <w:dstrike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大队</w:t>
      </w:r>
      <w:r>
        <w:rPr>
          <w:rFonts w:hint="default" w:ascii="Times New Roman" w:hAnsi="Times New Roman" w:eastAsia="方正仿宋_GBK" w:cs="Times New Roman"/>
          <w:strike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承担煤矿安全生产监管和行政执法工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作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。</w:t>
      </w:r>
    </w:p>
    <w:p w14:paraId="59058DA5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（区）县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级矿山安全监管部门直接监管煤矿名单。</w:t>
      </w:r>
    </w:p>
    <w:p w14:paraId="1C75AD64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乌鲁木齐县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应急管理综合行政执法大队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直接监管：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新疆兴陶大北矿业有限公司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。</w:t>
      </w:r>
    </w:p>
    <w:p w14:paraId="45EECA80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楷体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（二）煤矿及分类</w:t>
      </w:r>
    </w:p>
    <w:p w14:paraId="1436C1D7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对照《国家煤矿安监局关于煤矿分类监管监察工作的指导意见》（煤安监监察〔2018〕15号）、《关于自治区矿山安全分级属地监管有关事项的通知》和“自治区煤矿分类基础信息台账”,确定：</w:t>
      </w:r>
    </w:p>
    <w:p w14:paraId="1A91AEBD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新疆兴陶大北矿业有限公司煤矿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为</w:t>
      </w: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B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类煤矿（恢复生产后重新调整分类等级）。</w:t>
      </w:r>
    </w:p>
    <w:p w14:paraId="2A1C9681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黑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二、煤矿安全生产情况</w:t>
      </w:r>
    </w:p>
    <w:p w14:paraId="14DC0B1F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楷体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（一）安全生产形势</w:t>
      </w:r>
    </w:p>
    <w:p w14:paraId="614F29D8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年以来，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乌鲁木齐县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煤矿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发生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生产安全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事故。</w:t>
      </w:r>
    </w:p>
    <w:p w14:paraId="3A67FDAF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楷体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（二）安全风险研判</w:t>
      </w:r>
    </w:p>
    <w:p w14:paraId="43E97222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分析预判202</w:t>
      </w: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年一季度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乌鲁木齐县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新疆兴陶大北矿业有限公司煤矿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为低风险井工矿，该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煤矿已制定针对性管控措施予以管控。</w:t>
      </w:r>
    </w:p>
    <w:p w14:paraId="56146C99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rPr>
          <w:rFonts w:hint="default" w:ascii="Times New Roman" w:hAnsi="Times New Roman" w:eastAsia="方正黑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</w:rPr>
        <w:t>三、监管执法力量</w:t>
      </w:r>
    </w:p>
    <w:p w14:paraId="2B7E26A5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乌鲁木齐县应急管理局：主要领导</w:t>
      </w: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名；承担煤矿安全监管职责的内设科室为矿山安全监督管理科，编制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人，在岗持证执法人员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（由执法大队兼任）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；县应急管理综合行政执法大队编制12人，在岗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人，纳入煤矿安全监管执法人数</w:t>
      </w: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人。与去年同期相比，人数</w:t>
      </w: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增加1人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。</w:t>
      </w:r>
    </w:p>
    <w:p w14:paraId="2D1CF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snapToGrid w:val="0"/>
          <w:spacing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snapToGrid w:val="0"/>
          <w:spacing w:val="0"/>
          <w:kern w:val="2"/>
          <w:sz w:val="32"/>
          <w:szCs w:val="32"/>
          <w:highlight w:val="none"/>
          <w:lang w:val="en-US" w:eastAsia="zh-CN"/>
        </w:rPr>
        <w:t>四、监管执法工作日</w:t>
      </w:r>
    </w:p>
    <w:p w14:paraId="047A2530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rPr>
          <w:rFonts w:hint="default" w:ascii="Times New Roman" w:hAnsi="Times New Roman" w:eastAsia="方正楷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方正楷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总法定工作日</w:t>
      </w:r>
    </w:p>
    <w:p w14:paraId="57EE2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年国家法定工作日=全年总天数</w:t>
      </w:r>
      <w:r>
        <w:rPr>
          <w:rFonts w:hint="default" w:ascii="Times New Roman" w:hAnsi="Times New Roman" w:eastAsia="宋体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－</w:t>
      </w:r>
      <w:r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双休日</w:t>
      </w:r>
      <w:r>
        <w:rPr>
          <w:rFonts w:hint="default" w:ascii="Times New Roman" w:hAnsi="Times New Roman" w:eastAsia="宋体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－</w:t>
      </w:r>
      <w:r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法定节假日=24</w:t>
      </w:r>
      <w:r>
        <w:rPr>
          <w:rFonts w:hint="eastAsia" w:ascii="Times New Roman" w:hAnsi="Times New Roman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个工作日，其中：</w:t>
      </w:r>
    </w:p>
    <w:p w14:paraId="7FFA9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1.202</w:t>
      </w:r>
      <w:r>
        <w:rPr>
          <w:rFonts w:hint="eastAsia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年全年总天数36</w:t>
      </w:r>
      <w:r>
        <w:rPr>
          <w:rFonts w:hint="eastAsia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日；</w:t>
      </w:r>
    </w:p>
    <w:p w14:paraId="36EDB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2.双休日=8</w:t>
      </w:r>
      <w:r>
        <w:rPr>
          <w:rFonts w:hint="eastAsia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8</w:t>
      </w:r>
      <w:r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日；</w:t>
      </w:r>
    </w:p>
    <w:p w14:paraId="213EE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3.元旦、春节、清明节、劳动节、端午节、中秋、国庆、肉孜节、古尔邦节共3</w:t>
      </w:r>
      <w:r>
        <w:rPr>
          <w:rFonts w:hint="eastAsia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2</w:t>
      </w:r>
      <w:r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法定假日</w:t>
      </w:r>
      <w:r>
        <w:rPr>
          <w:rFonts w:hint="eastAsia" w:ascii="Times New Roman" w:hAnsi="Times New Roman" w:eastAsia="方正仿宋_GBK" w:cs="Times New Roman"/>
          <w:kern w:val="0"/>
          <w:sz w:val="32"/>
          <w:szCs w:val="28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方正仿宋_GBK" w:cs="Times New Roman"/>
          <w:snapToGrid w:val="0"/>
          <w:spacing w:val="0"/>
          <w:kern w:val="2"/>
          <w:sz w:val="32"/>
          <w:szCs w:val="28"/>
          <w:highlight w:val="none"/>
          <w:lang w:val="en-US" w:eastAsia="zh-CN" w:bidi="ar-SA"/>
        </w:rPr>
        <w:t>。</w:t>
      </w:r>
    </w:p>
    <w:p w14:paraId="702BF0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kern w:val="2"/>
          <w:sz w:val="32"/>
          <w:szCs w:val="28"/>
          <w:highlight w:val="none"/>
          <w:lang w:val="en-US" w:eastAsia="zh-CN" w:bidi="ar-SA"/>
        </w:rPr>
        <w:t>总法定工作日=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28"/>
          <w:highlight w:val="none"/>
          <w:lang w:val="en-US" w:eastAsia="zh-CN" w:bidi="ar-SA"/>
        </w:rPr>
        <w:t>国家法定工作日×2，即24</w:t>
      </w: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28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28"/>
          <w:highlight w:val="none"/>
          <w:lang w:val="en-US" w:eastAsia="zh-CN" w:bidi="ar-SA"/>
        </w:rPr>
        <w:t>×2人＝4</w:t>
      </w: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28"/>
          <w:highlight w:val="none"/>
          <w:lang w:val="en-US" w:eastAsia="zh-CN" w:bidi="ar-SA"/>
        </w:rPr>
        <w:t>90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28"/>
          <w:highlight w:val="none"/>
          <w:lang w:val="en-US" w:eastAsia="zh-CN" w:bidi="ar-SA"/>
        </w:rPr>
        <w:t>日。</w:t>
      </w:r>
    </w:p>
    <w:p w14:paraId="3B8B211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方正楷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楷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监管执法工作日</w:t>
      </w:r>
    </w:p>
    <w:p w14:paraId="3FE86E2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1.煤矿企业进行安全检查：127工作日；</w:t>
      </w:r>
    </w:p>
    <w:p w14:paraId="3BCD974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2.完成本级人民政府或陪同自治区、新疆局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、市矿山监管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等上级部门监督检查工作日数：64工作日；</w:t>
      </w:r>
    </w:p>
    <w:p w14:paraId="38A8852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3.参与煤矿生产安全事故调查和处理：80工作日；</w:t>
      </w:r>
    </w:p>
    <w:p w14:paraId="55F33F3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4.调查核实安全生产投诉举报：24工作日；</w:t>
      </w:r>
    </w:p>
    <w:p w14:paraId="4F2DDD1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5.开展安全生产宣传教育培训：24工作日；</w:t>
      </w:r>
    </w:p>
    <w:p w14:paraId="5187261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6.办理行政复议、行政应诉：10工作日；</w:t>
      </w:r>
    </w:p>
    <w:p w14:paraId="416DE58B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7.执法预审：8工作日。</w:t>
      </w:r>
    </w:p>
    <w:p w14:paraId="50F04CB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监管工作日数=127+64+80+24+24+10+8=3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37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个工作日</w:t>
      </w:r>
    </w:p>
    <w:p w14:paraId="044A6D8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监管工作日数占法定工作日比例=3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37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÷4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=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68.</w:t>
      </w: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%。</w:t>
      </w:r>
    </w:p>
    <w:p w14:paraId="5F520B3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方正楷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（三）非监管执法工作日</w:t>
      </w:r>
    </w:p>
    <w:p w14:paraId="7A0E94A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1.机关值班：24个工作日（预计）；</w:t>
      </w:r>
    </w:p>
    <w:p w14:paraId="1DB4E0B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w w:val="8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w w:val="98"/>
          <w:kern w:val="2"/>
          <w:sz w:val="32"/>
          <w:szCs w:val="32"/>
          <w:lang w:val="en-US" w:eastAsia="zh-CN"/>
        </w:rPr>
        <w:t>学习、培训、考核、会议总共安排：104个工作日（预计）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w w:val="80"/>
          <w:kern w:val="2"/>
          <w:sz w:val="32"/>
          <w:szCs w:val="32"/>
          <w:lang w:val="en-US" w:eastAsia="zh-CN"/>
        </w:rPr>
        <w:t>；</w:t>
      </w:r>
    </w:p>
    <w:p w14:paraId="086F3F2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3.休假、事假、探亲假、病假、婚（丧）假总安排：40个工作日（预计）；</w:t>
      </w:r>
    </w:p>
    <w:p w14:paraId="032C292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4.迎接上级检查、指导下级安全监管工作：12个工作日（预计）；</w:t>
      </w:r>
    </w:p>
    <w:p w14:paraId="7B7DD90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方正楷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（四）监管矿次数</w:t>
      </w:r>
    </w:p>
    <w:p w14:paraId="5E35A1D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1.202</w:t>
      </w: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制定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煤矿检查计划，实际完成</w:t>
      </w: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矿次，完成率1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00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%，202</w:t>
      </w: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年完成人均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矿次/人对煤矿企业开展监管执法。</w:t>
      </w:r>
    </w:p>
    <w:p w14:paraId="4C4D3AB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2.202</w:t>
      </w: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年计划检查煤矿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矿次。其中：</w:t>
      </w: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B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类煤矿1家：兴陶大北煤矿4矿次；202</w:t>
      </w: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年计划人均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矿次/人对煤矿企业开展监管执法。</w:t>
      </w:r>
    </w:p>
    <w:p w14:paraId="5A5E7E44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rPr>
          <w:rFonts w:hint="default" w:ascii="Times New Roman" w:hAnsi="Times New Roman" w:eastAsia="方正黑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五、执法任务安排和分解</w:t>
      </w:r>
    </w:p>
    <w:p w14:paraId="3ECA760A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rPr>
          <w:rFonts w:hint="default" w:ascii="Times New Roman" w:hAnsi="Times New Roman" w:eastAsia="方正楷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（一）对煤矿企业开展监管执法</w:t>
      </w:r>
    </w:p>
    <w:p w14:paraId="342F0CCC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1.对煤矿的检查。</w:t>
      </w:r>
    </w:p>
    <w:p w14:paraId="496FCC9A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B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类煤矿（兴陶大北煤矿）的监管矿次数：12个月÷检查频次=12÷3=4矿次</w:t>
      </w:r>
    </w:p>
    <w:p w14:paraId="441071AA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工作日数=检查矿次×检查天数×检查人数=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×3×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（兴陶大北煤矿）=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个工作日</w:t>
      </w:r>
    </w:p>
    <w:p w14:paraId="4B5A8E2C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2.治本攻坚重点检查。</w:t>
      </w:r>
    </w:p>
    <w:p w14:paraId="2BFAA56B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对兴陶大北煤矿采用现场检查方式，至少开展一次治本攻坚重点检查，共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矿次，每次不少于3个工作日、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人参加检查。矿次数和工作日数纳入第1项对煤矿的检查数据中，在此不再单列。</w:t>
      </w:r>
    </w:p>
    <w:p w14:paraId="7FC6F02E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3.专项检查。</w:t>
      </w:r>
    </w:p>
    <w:p w14:paraId="5ACB16EF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结合实际，组织开展“一通三防”、水害防治、提升运输、顶板管理等专项检查，矿次数和工作日数纳入第1项对煤矿的检查数据中，在此不再单列。</w:t>
      </w:r>
    </w:p>
    <w:p w14:paraId="4F6C6B0F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4.机动检查。</w:t>
      </w:r>
    </w:p>
    <w:p w14:paraId="0150281B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执法预审工作日数=次数×人数×天数=4×2×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=8个工作日（预计）</w:t>
      </w:r>
    </w:p>
    <w:p w14:paraId="3DBC4BEB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完成本级人民政府或陪同自治区、新疆局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、市矿山监管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等上级部门监督检查工作日数：次数×人数×天数=4×2×8=64个工作日（预计）</w:t>
      </w:r>
    </w:p>
    <w:p w14:paraId="19E2032F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参与煤矿生产安全事故调查和处理（含瓦斯或一氧化碳超限报警核查工作）：次数×人数×天数=20×2×2=80个工作日（预计）</w:t>
      </w:r>
    </w:p>
    <w:p w14:paraId="4EAC2109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调查核实安全生产投诉举报：次数×人数×天数=6×2×2=24个工作日（预计）</w:t>
      </w:r>
    </w:p>
    <w:p w14:paraId="24A7EB82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开展安全生产宣传教育培训：次数×人数×天数=6×2×2=24个工作日（预计）</w:t>
      </w:r>
    </w:p>
    <w:p w14:paraId="6031B0D5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办理行政复议、行政应诉：次数×人数×天数=5×2×1=10个工作日</w:t>
      </w:r>
    </w:p>
    <w:p w14:paraId="56C867F5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小计：8+64+80+24+24+10=2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个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工作日</w:t>
      </w:r>
    </w:p>
    <w:p w14:paraId="179E72D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方正黑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方正黑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</w:rPr>
        <w:t>、</w:t>
      </w:r>
      <w:r>
        <w:rPr>
          <w:rFonts w:hint="default" w:ascii="Times New Roman" w:hAnsi="Times New Roman" w:eastAsia="方正黑体_GBK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保障措施</w:t>
      </w:r>
    </w:p>
    <w:p w14:paraId="47953513">
      <w:pPr>
        <w:pStyle w:val="2"/>
        <w:spacing w:before="175" w:line="281" w:lineRule="auto"/>
        <w:ind w:left="7" w:firstLine="665"/>
      </w:pPr>
      <w:r>
        <w:rPr>
          <w:rFonts w:ascii="楷体" w:hAnsi="楷体" w:eastAsia="楷体" w:cs="楷体"/>
        </w:rPr>
        <w:t>（一）防范化解各类风险。</w:t>
      </w:r>
      <w:r>
        <w:t>以防范化解重大安全风险为</w:t>
      </w:r>
      <w:r>
        <w:rPr>
          <w:spacing w:val="-1"/>
        </w:rPr>
        <w:t>目标，</w:t>
      </w:r>
      <w:r>
        <w:t xml:space="preserve"> </w:t>
      </w:r>
      <w:r>
        <w:rPr>
          <w:spacing w:val="13"/>
        </w:rPr>
        <w:t>以安全治本攻坚三年行动“真行动”为主线，</w:t>
      </w:r>
      <w:r>
        <w:rPr>
          <w:spacing w:val="-74"/>
        </w:rPr>
        <w:t xml:space="preserve"> </w:t>
      </w:r>
      <w:r>
        <w:rPr>
          <w:spacing w:val="12"/>
        </w:rPr>
        <w:t>以“八项硬措施”</w:t>
      </w:r>
      <w:r>
        <w:t xml:space="preserve"> </w:t>
      </w:r>
      <w:r>
        <w:rPr>
          <w:spacing w:val="3"/>
        </w:rPr>
        <w:t>硬落实为重点，坚持“</w:t>
      </w:r>
      <w:r>
        <w:rPr>
          <w:spacing w:val="-75"/>
        </w:rPr>
        <w:t xml:space="preserve"> </w:t>
      </w:r>
      <w:r>
        <w:rPr>
          <w:spacing w:val="3"/>
        </w:rPr>
        <w:t>四不两直”与突击暗查暗访，有效倒逼属</w:t>
      </w:r>
      <w:r>
        <w:t xml:space="preserve">   </w:t>
      </w:r>
      <w:r>
        <w:rPr>
          <w:spacing w:val="8"/>
        </w:rPr>
        <w:t>地和企业提升煤矿本质安全水平。</w:t>
      </w:r>
    </w:p>
    <w:p w14:paraId="2D36FC6B">
      <w:pPr>
        <w:pStyle w:val="2"/>
        <w:spacing w:before="118" w:line="281" w:lineRule="auto"/>
        <w:ind w:left="10" w:right="173" w:firstLine="661"/>
      </w:pPr>
      <w:r>
        <w:rPr>
          <w:rFonts w:ascii="楷体" w:hAnsi="楷体" w:eastAsia="楷体" w:cs="楷体"/>
          <w:spacing w:val="4"/>
        </w:rPr>
        <w:t>（二）依法规范检查执法。</w:t>
      </w:r>
      <w:r>
        <w:rPr>
          <w:spacing w:val="4"/>
        </w:rPr>
        <w:t>严格落实《安全生产执法程序规</w:t>
      </w:r>
      <w:r>
        <w:rPr>
          <w:spacing w:val="1"/>
        </w:rPr>
        <w:t xml:space="preserve"> </w:t>
      </w:r>
      <w:r>
        <w:rPr>
          <w:spacing w:val="4"/>
        </w:rPr>
        <w:t>定》、行政执法“</w:t>
      </w:r>
      <w:r>
        <w:rPr>
          <w:spacing w:val="-100"/>
        </w:rPr>
        <w:t xml:space="preserve"> </w:t>
      </w:r>
      <w:r>
        <w:rPr>
          <w:spacing w:val="4"/>
        </w:rPr>
        <w:t>三项制度”等制度，全面使用</w:t>
      </w:r>
      <w:r>
        <w:rPr>
          <w:spacing w:val="3"/>
        </w:rPr>
        <w:t>国家煤矿安全执</w:t>
      </w:r>
      <w:r>
        <w:t xml:space="preserve"> </w:t>
      </w:r>
      <w:r>
        <w:rPr>
          <w:spacing w:val="-2"/>
        </w:rPr>
        <w:t>法系统，在监督检查过程中严格依照现行有效</w:t>
      </w:r>
      <w:r>
        <w:rPr>
          <w:spacing w:val="-3"/>
        </w:rPr>
        <w:t>法律、法规、规章，</w:t>
      </w:r>
      <w:r>
        <w:t xml:space="preserve"> </w:t>
      </w:r>
      <w:r>
        <w:rPr>
          <w:spacing w:val="8"/>
        </w:rPr>
        <w:t>规范监督检查的各个环节，全面提升安全监管监察精度、深度、</w:t>
      </w:r>
      <w:r>
        <w:rPr>
          <w:spacing w:val="6"/>
        </w:rPr>
        <w:t>力度、准度、有效度。</w:t>
      </w:r>
    </w:p>
    <w:p w14:paraId="55FD312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36" w:firstLineChars="200"/>
        <w:jc w:val="both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ascii="楷体" w:hAnsi="楷体" w:eastAsia="楷体" w:cs="楷体"/>
          <w:spacing w:val="4"/>
        </w:rPr>
        <w:t>（三）定期分析执行情况。</w:t>
      </w:r>
      <w:r>
        <w:rPr>
          <w:spacing w:val="4"/>
        </w:rPr>
        <w:t>严格执行监督检查执法计</w:t>
      </w:r>
      <w:r>
        <w:rPr>
          <w:spacing w:val="3"/>
        </w:rPr>
        <w:t>划，分</w:t>
      </w:r>
      <w:r>
        <w:t xml:space="preserve"> </w:t>
      </w:r>
      <w:r>
        <w:rPr>
          <w:spacing w:val="5"/>
        </w:rPr>
        <w:t>解落实执法处理处罚、执法文书下达、典型案例报送等，每季度</w:t>
      </w:r>
      <w:r>
        <w:rPr>
          <w:spacing w:val="7"/>
        </w:rPr>
        <w:t xml:space="preserve"> </w:t>
      </w:r>
      <w:r>
        <w:rPr>
          <w:spacing w:val="5"/>
        </w:rPr>
        <w:t>研究解决监督检查监管执法工作中遇到的问题，强化执法计划执</w:t>
      </w:r>
      <w:r>
        <w:rPr>
          <w:spacing w:val="7"/>
        </w:rPr>
        <w:t xml:space="preserve"> </w:t>
      </w:r>
      <w:r>
        <w:rPr>
          <w:spacing w:val="6"/>
        </w:rPr>
        <w:t>行的监督考核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  <w:t>。</w:t>
      </w:r>
    </w:p>
    <w:p w14:paraId="78D6C786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</w:p>
    <w:p w14:paraId="275E27AE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color w:val="auto"/>
          <w:spacing w:val="0"/>
          <w:kern w:val="2"/>
          <w:sz w:val="32"/>
          <w:szCs w:val="32"/>
          <w:lang w:val="en-US" w:eastAsia="zh-CN"/>
        </w:rPr>
      </w:pPr>
    </w:p>
    <w:p w14:paraId="6640E86A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right="0" w:rightChars="0" w:firstLine="5664" w:firstLineChars="1600"/>
        <w:jc w:val="both"/>
        <w:rPr>
          <w:rFonts w:hint="default" w:ascii="Times New Roman" w:hAnsi="Times New Roman" w:eastAsia="方正仿宋_GBK" w:cs="方正仿宋_GBK"/>
          <w:color w:val="auto"/>
          <w:spacing w:val="17"/>
          <w:sz w:val="32"/>
          <w:szCs w:val="32"/>
          <w:lang w:val="en-US" w:eastAsia="zh-CN"/>
        </w:rPr>
      </w:pPr>
    </w:p>
    <w:p w14:paraId="28762BD7">
      <w:pPr>
        <w:pStyle w:val="3"/>
        <w:rPr>
          <w:rFonts w:hint="eastAsia"/>
          <w:lang w:val="en-US" w:eastAsia="zh-CN"/>
        </w:rPr>
      </w:pPr>
    </w:p>
    <w:p w14:paraId="18CB76E8">
      <w:pPr>
        <w:pStyle w:val="3"/>
        <w:rPr>
          <w:rFonts w:hint="default"/>
          <w:lang w:val="en-US" w:eastAsia="zh-CN"/>
        </w:rPr>
      </w:pPr>
    </w:p>
    <w:p w14:paraId="281D6D4C">
      <w:pPr>
        <w:spacing w:before="78" w:line="849" w:lineRule="exact"/>
        <w:ind w:firstLine="6016"/>
      </w:pPr>
    </w:p>
    <w:sectPr>
      <w:footerReference r:id="rId5" w:type="default"/>
      <w:pgSz w:w="11906" w:h="16838"/>
      <w:pgMar w:top="1431" w:right="1529" w:bottom="1590" w:left="1422" w:header="0" w:footer="129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D03DA9">
    <w:pPr>
      <w:pStyle w:val="2"/>
      <w:spacing w:line="176" w:lineRule="auto"/>
      <w:ind w:left="108"/>
      <w:rPr>
        <w:sz w:val="27"/>
        <w:szCs w:val="27"/>
      </w:rPr>
    </w:pPr>
    <w:r>
      <w:rPr>
        <w:sz w:val="27"/>
        <w:szCs w:val="27"/>
      </w:rPr>
      <w:t>—</w:t>
    </w:r>
    <w:r>
      <w:rPr>
        <w:spacing w:val="53"/>
        <w:sz w:val="27"/>
        <w:szCs w:val="27"/>
      </w:rPr>
      <w:t xml:space="preserve"> </w:t>
    </w:r>
    <w:r>
      <w:rPr>
        <w:rFonts w:ascii="Times New Roman" w:hAnsi="Times New Roman" w:eastAsia="Times New Roman" w:cs="Times New Roman"/>
        <w:sz w:val="27"/>
        <w:szCs w:val="27"/>
      </w:rPr>
      <w:t xml:space="preserve">10  </w:t>
    </w:r>
    <w:r>
      <w:rPr>
        <w:sz w:val="27"/>
        <w:szCs w:val="27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MyYTU0MzYwNmUxYjk1NjlmYzM1OTk1MWU4MDEzNmEifQ=="/>
  </w:docVars>
  <w:rsids>
    <w:rsidRoot w:val="00000000"/>
    <w:rsid w:val="004D1A4C"/>
    <w:rsid w:val="04725DE6"/>
    <w:rsid w:val="069D4E64"/>
    <w:rsid w:val="2E034EB6"/>
    <w:rsid w:val="3D3038DC"/>
    <w:rsid w:val="4A0A0E81"/>
    <w:rsid w:val="56211C12"/>
    <w:rsid w:val="5E9E63F5"/>
    <w:rsid w:val="70892B14"/>
    <w:rsid w:val="7A4A24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_GBK" w:hAnsi="方正仿宋_GBK" w:eastAsia="方正仿宋_GBK" w:cs="方正仿宋_GBK"/>
      <w:sz w:val="31"/>
      <w:szCs w:val="31"/>
      <w:lang w:val="en-US" w:eastAsia="en-US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2116</Words>
  <Characters>2339</Characters>
  <TotalTime>16</TotalTime>
  <ScaleCrop>false</ScaleCrop>
  <LinksUpToDate>false</LinksUpToDate>
  <CharactersWithSpaces>2364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2025-01-16T10:55:00Z</dcterms:created>
  <dc:creator>AutoBVT</dc:creator>
  <cp:lastModifiedBy>大白</cp:lastModifiedBy>
  <cp:lastPrinted>2025-02-19T02:37:00Z</cp:lastPrinted>
  <dcterms:modified xsi:type="dcterms:W3CDTF">2025-02-21T08:53:45Z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2025-01-16T10:56:39Z</vt:filetime>
  </property>
  <property fmtid="{D5CDD505-2E9C-101B-9397-08002B2CF9AE}" pid="4" name="KSOTemplateDocerSaveRecord">
    <vt:lpwstr>eyJoZGlkIjoiODdlNGQ4ZWEzMzgwYTAyODEyYzcxNmZiODhlMTg1MzEiLCJ1c2VySWQiOiI0MDMzMDQ1MTcifQ==</vt:lpwstr>
  </property>
  <property fmtid="{D5CDD505-2E9C-101B-9397-08002B2CF9AE}" pid="5" name="KSOProductBuildVer">
    <vt:lpwstr>2052-12.1.0.19770</vt:lpwstr>
  </property>
  <property fmtid="{D5CDD505-2E9C-101B-9397-08002B2CF9AE}" pid="6" name="ICV">
    <vt:lpwstr>4BE44E6AD2024B1EADA77763CA6DF27F_12</vt:lpwstr>
  </property>
</Properties>
</file>