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highlight w:val="none"/>
          <w:u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乌鲁木齐县托里乡党委关于十二届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highlight w:val="none"/>
          <w:u w:val="none"/>
          <w:lang w:eastAsia="zh-CN"/>
        </w:rPr>
        <w:t>市委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highlight w:val="none"/>
          <w:u w:val="none"/>
          <w:lang w:val="en-US" w:eastAsia="zh-CN"/>
        </w:rPr>
        <w:t>第五轮巡察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highlight w:val="none"/>
          <w:u w:val="none"/>
          <w:lang w:eastAsia="zh-CN"/>
        </w:rPr>
        <w:t>集中整改进展情况的通报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u w:val="none" w:color="auto"/>
          <w:lang w:val="en-US" w:eastAsia="zh-CN"/>
        </w:rPr>
        <w:t>（社会公开稿）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auto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auto"/>
          <w:lang w:val="en-US" w:eastAsia="zh-CN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根据市委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统一部署，20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日至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日，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市委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三巡察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认真贯彻中央、自治区党委、市委关于突出政治巡察的要求，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通过听取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汇报、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问卷调查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、座谈、查阅资料、走访接访等多种形式，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对托里乡党委进行了常规巡察。2024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日，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巡察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组召开反馈大会，向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托里乡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党委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领导班子反馈了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巡察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情况。指出了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托里乡党委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学习贯彻党的二十大精神和习近平总书记关于“三农”工作重要指示精神、基层“微权力”监督、党委核心作用发挥、巡察整改等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方面存在的问题，并有针对性地提出了整改意见建议。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按照巡察整改工作有关要求，现将集中整改进展情况予以公布。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二、整改情况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1. 对党的二十大关于“扎实推动乡村生态振兴”、“发展乡村特色产业，拓宽农民增收致富渠道”等方面的内容学习落实不到位，学习方式单一，思维碰撞、相互启发不够，深入解读不深，班子成员之间未结合实际开展交流研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整改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强化理论武装，学深悟透习近平新时代中国特色社会主义思想、党的二十大关于乡村振兴方面的精神。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利用每周的政治学习、党政联席会议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每月的理论中心组专题学习等，利用集中学习结合自学、组织人员参观学习其他地方先进做法等形式加强“乡村生态振兴”、“发展乡村特色产业，拓宽农民增收致富渠道”等方面的内容学习，经验借鉴学习。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安排乡村振兴专题中心组学习，做到中心组成员现场开展结合实际工作的研讨交流，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到学以致用、学有所思、思维碰撞、相互启发的作用。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村级党组织党内民主流于形式，导致违规决策，破坏基层组织制度。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整改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严格落实“四议两公开”。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结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文件要求，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规范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村（社区）重大事项公示制度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党支部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按照严格的会议程序提交村党员、群众代表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会议表决通过，采用公决表决的，表决前，利用村务公开栏等形式事前向村民公布要公决的事项或方案，然后进行公决。形成决议后，及时上报乡党委、政府审核备案。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决策结果利用村务公开栏等形式向全体村民公布。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9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spacing w:val="-6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/>
          <w:bCs/>
          <w:spacing w:val="-6"/>
          <w:sz w:val="32"/>
          <w:szCs w:val="32"/>
          <w:highlight w:val="none"/>
          <w:lang w:eastAsia="zh-CN"/>
        </w:rPr>
        <w:t>人岗相适、人事相宜”有差距。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highlight w:val="none"/>
          <w:lang w:val="en-US" w:eastAsia="zh-CN"/>
        </w:rPr>
        <w:t>2021年6月县委办印发《统筹优化机构设置实施方案》，明确机构设置为“四办七中心”，实际乡党委仍沿用原“七站八所”运行机制，导致对应工作责任不明。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11"/>
          <w:w w:val="99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11"/>
          <w:w w:val="99"/>
          <w:sz w:val="32"/>
          <w:szCs w:val="32"/>
          <w:highlight w:val="none"/>
        </w:rPr>
        <w:t>整改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pacing w:val="-11"/>
          <w:w w:val="99"/>
          <w:kern w:val="0"/>
          <w:sz w:val="32"/>
          <w:szCs w:val="32"/>
          <w:highlight w:val="none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11"/>
          <w:w w:val="99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w w:val="99"/>
          <w:kern w:val="2"/>
          <w:sz w:val="32"/>
          <w:szCs w:val="32"/>
          <w:highlight w:val="none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spacing w:val="-11"/>
          <w:w w:val="99"/>
          <w:sz w:val="32"/>
          <w:szCs w:val="32"/>
          <w:lang w:val="en-US" w:eastAsia="zh-CN"/>
        </w:rPr>
        <w:t>7月15日乡党委召开会议，研究人员编制调整事宜，对机构改革中涉及岗位变化人员及时进行谈话沟通，尽最大努力确保干部各项待遇，针对个别确因岗位设置降低待遇人员，如实讲清政策，做好人员思想工作。及时对接县委编办、县人社局，完成人员编制调整工作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-11"/>
          <w:w w:val="99"/>
          <w:kern w:val="2"/>
          <w:sz w:val="32"/>
          <w:szCs w:val="32"/>
          <w:highlight w:val="none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spacing w:val="-11"/>
          <w:w w:val="99"/>
          <w:sz w:val="32"/>
          <w:szCs w:val="32"/>
          <w:lang w:val="en-US" w:eastAsia="zh-CN"/>
        </w:rPr>
        <w:t>按照干部管理权限，托里乡开展股级干部任用考察工作，8月23日乡党委召开会议，研究股级干部任命“五办五中心”及综合行政执法队负责人事宜。</w:t>
      </w:r>
      <w:r>
        <w:rPr>
          <w:rFonts w:hint="default" w:ascii="Times New Roman" w:hAnsi="Times New Roman" w:eastAsia="方正仿宋_GBK" w:cs="Times New Roman"/>
          <w:spacing w:val="-11"/>
          <w:w w:val="99"/>
          <w:sz w:val="31"/>
          <w:szCs w:val="31"/>
        </w:rPr>
        <w:t>明晰岗位职责，合理配置工作力量</w:t>
      </w:r>
      <w:r>
        <w:rPr>
          <w:rFonts w:hint="default" w:ascii="Times New Roman" w:hAnsi="Times New Roman" w:eastAsia="方正仿宋_GBK" w:cs="Times New Roman"/>
          <w:spacing w:val="-11"/>
          <w:w w:val="99"/>
          <w:sz w:val="31"/>
          <w:szCs w:val="31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pacing w:val="-11"/>
          <w:w w:val="99"/>
          <w:sz w:val="31"/>
          <w:szCs w:val="31"/>
        </w:rPr>
        <w:t>优化</w:t>
      </w:r>
      <w:r>
        <w:rPr>
          <w:rFonts w:hint="default" w:ascii="Times New Roman" w:hAnsi="Times New Roman" w:eastAsia="方正仿宋_GBK" w:cs="Times New Roman"/>
          <w:spacing w:val="-11"/>
          <w:w w:val="99"/>
          <w:sz w:val="31"/>
          <w:szCs w:val="31"/>
          <w:lang w:eastAsia="zh-CN"/>
        </w:rPr>
        <w:t>托里乡</w:t>
      </w:r>
      <w:r>
        <w:rPr>
          <w:rFonts w:hint="default" w:ascii="Times New Roman" w:hAnsi="Times New Roman" w:eastAsia="方正仿宋_GBK" w:cs="Times New Roman"/>
          <w:spacing w:val="-11"/>
          <w:w w:val="99"/>
          <w:sz w:val="31"/>
          <w:szCs w:val="31"/>
        </w:rPr>
        <w:t>机构设置，聚焦基层党的建设、经济发展、民生服务、平安法治等主要职能，综合设置工作机构，结合实际设立事业单位，统筹设置职能相近的工作机构和事业单位。科学设置工作岗位，明晰岗位职责，打破人员身份界限，统筹使用行政编制和事业编制人员，合理配置工作力量，着力破解基层机构编制类别、人员身份、激励保障等方面的障碍，形成吸引聚集各类人才在基层干事创业的良好政策导向和制度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lang w:val="en-US" w:eastAsia="zh-CN"/>
        </w:rPr>
        <w:t>基层支部执行“三会一课”制度不规范。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w w:val="99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9"/>
          <w:sz w:val="32"/>
          <w:szCs w:val="32"/>
          <w:highlight w:val="none"/>
        </w:rPr>
        <w:t>整改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w w:val="99"/>
          <w:kern w:val="0"/>
          <w:sz w:val="32"/>
          <w:szCs w:val="32"/>
          <w:highlight w:val="none"/>
          <w:lang w:eastAsia="zh-CN"/>
        </w:rPr>
        <w:t>情况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w w:val="99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方正仿宋_GBK" w:cs="Times New Roman"/>
          <w:b/>
          <w:bCs/>
          <w:w w:val="99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b w:val="0"/>
          <w:bCs w:val="0"/>
          <w:w w:val="99"/>
          <w:sz w:val="32"/>
          <w:szCs w:val="32"/>
          <w:highlight w:val="none"/>
          <w:lang w:val="en-US" w:eastAsia="zh-CN"/>
        </w:rPr>
        <w:t>加强对会议记录的管理，保障“三会一课”工作记录格式规范、内容完整真实；</w:t>
      </w:r>
      <w:r>
        <w:rPr>
          <w:rFonts w:hint="default" w:ascii="Times New Roman" w:hAnsi="Times New Roman" w:eastAsia="方正仿宋_GBK" w:cs="Times New Roman"/>
          <w:b/>
          <w:bCs/>
          <w:w w:val="99"/>
          <w:sz w:val="32"/>
          <w:szCs w:val="32"/>
          <w:highlight w:val="none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b w:val="0"/>
          <w:bCs w:val="0"/>
          <w:w w:val="99"/>
          <w:sz w:val="32"/>
          <w:szCs w:val="32"/>
          <w:highlight w:val="none"/>
          <w:lang w:val="en-US" w:eastAsia="zh-CN"/>
        </w:rPr>
        <w:t>按要求认真执行“三会一课”制度，坚持书记讲党课，严格执行组织生活会、民主评议党员等制度；</w:t>
      </w:r>
      <w:r>
        <w:rPr>
          <w:rFonts w:hint="default" w:ascii="Times New Roman" w:hAnsi="Times New Roman" w:eastAsia="方正仿宋_GBK" w:cs="Times New Roman"/>
          <w:b/>
          <w:bCs/>
          <w:w w:val="99"/>
          <w:sz w:val="32"/>
          <w:szCs w:val="32"/>
          <w:highlight w:val="none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b w:val="0"/>
          <w:bCs w:val="0"/>
          <w:w w:val="99"/>
          <w:sz w:val="32"/>
          <w:szCs w:val="32"/>
          <w:highlight w:val="none"/>
          <w:lang w:val="en-US" w:eastAsia="zh-CN"/>
        </w:rPr>
        <w:t>加强培训，不断提升党员干部的党务知识与业务技能，能够较好</w:t>
      </w:r>
      <w:r>
        <w:rPr>
          <w:rFonts w:hint="eastAsia" w:ascii="Times New Roman" w:hAnsi="Times New Roman" w:eastAsia="方正仿宋_GBK" w:cs="Times New Roman"/>
          <w:b w:val="0"/>
          <w:bCs w:val="0"/>
          <w:w w:val="99"/>
          <w:sz w:val="32"/>
          <w:szCs w:val="32"/>
          <w:highlight w:val="none"/>
          <w:lang w:val="en-US" w:eastAsia="zh-CN"/>
        </w:rPr>
        <w:t>地</w:t>
      </w:r>
      <w:r>
        <w:rPr>
          <w:rFonts w:hint="default" w:ascii="Times New Roman" w:hAnsi="Times New Roman" w:eastAsia="方正仿宋_GBK" w:cs="Times New Roman"/>
          <w:b w:val="0"/>
          <w:bCs w:val="0"/>
          <w:w w:val="99"/>
          <w:sz w:val="32"/>
          <w:szCs w:val="32"/>
          <w:highlight w:val="none"/>
          <w:lang w:val="en-US" w:eastAsia="zh-CN"/>
        </w:rPr>
        <w:t>组织与开展“三会一课”，达到整体提升党员的政治水平和工作能力，以及立足本职岗位建功立业的积极性与创造性，充分发挥党员的先锋模范作用，充分体现党员的先进性。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u w:val="none" w:color="auto"/>
          <w:lang w:val="en-US" w:eastAsia="zh-CN"/>
        </w:rPr>
        <w:t>三、重难点问题推进情况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托里乡无集中整改期后完成整改的问题、需部务会协调解决或研究讨论的情况、需汇报的特殊情况等。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2024年12月2日</w:t>
      </w:r>
    </w:p>
    <w:bookmarkEnd w:id="0"/>
    <w:sectPr>
      <w:footerReference r:id="rId3" w:type="default"/>
      <w:pgSz w:w="11906" w:h="16838"/>
      <w:pgMar w:top="2098" w:right="1531" w:bottom="1984" w:left="1531" w:header="1247" w:footer="1587" w:gutter="0"/>
      <w:pgNumType w:fmt="numberInDash" w:start="1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7D8C"/>
    <w:multiLevelType w:val="singleLevel"/>
    <w:tmpl w:val="58D67D8C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2MyMjRlMzRhZmRmODMzODc4OTczN2M5OWNlOTYifQ=="/>
  </w:docVars>
  <w:rsids>
    <w:rsidRoot w:val="3CB77AE9"/>
    <w:rsid w:val="044D3DB1"/>
    <w:rsid w:val="0712173F"/>
    <w:rsid w:val="094820BC"/>
    <w:rsid w:val="158651AE"/>
    <w:rsid w:val="1CD87857"/>
    <w:rsid w:val="30CF431B"/>
    <w:rsid w:val="31C941FE"/>
    <w:rsid w:val="3CB77AE9"/>
    <w:rsid w:val="413C04B0"/>
    <w:rsid w:val="452E7373"/>
    <w:rsid w:val="482D7E5B"/>
    <w:rsid w:val="4A0603CA"/>
    <w:rsid w:val="4CCD3C59"/>
    <w:rsid w:val="531B5012"/>
    <w:rsid w:val="5C096469"/>
    <w:rsid w:val="5D4D1D5A"/>
    <w:rsid w:val="5DF856EE"/>
    <w:rsid w:val="5EA7263D"/>
    <w:rsid w:val="5ED862D3"/>
    <w:rsid w:val="6B1B6516"/>
    <w:rsid w:val="71A51FFD"/>
    <w:rsid w:val="72A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Body Text Indent"/>
    <w:basedOn w:val="1"/>
    <w:next w:val="4"/>
    <w:qFormat/>
    <w:uiPriority w:val="0"/>
    <w:pPr>
      <w:spacing w:line="580" w:lineRule="exact"/>
      <w:ind w:firstLine="640" w:firstLineChars="200"/>
    </w:pPr>
    <w:rPr>
      <w:rFonts w:eastAsia="仿宋_GB2312"/>
      <w:sz w:val="32"/>
      <w:szCs w:val="20"/>
    </w:rPr>
  </w:style>
  <w:style w:type="paragraph" w:styleId="4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8422</Words>
  <Characters>8537</Characters>
  <Lines>0</Lines>
  <Paragraphs>0</Paragraphs>
  <TotalTime>22</TotalTime>
  <ScaleCrop>false</ScaleCrop>
  <LinksUpToDate>false</LinksUpToDate>
  <CharactersWithSpaces>8540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2024-06-07T05:09:00Z</dcterms:created>
  <dc:creator>XXX</dc:creator>
  <cp:lastModifiedBy>Administrator</cp:lastModifiedBy>
  <cp:lastPrinted>2024-12-10T05:57:00Z</cp:lastPrinted>
  <dcterms:modified xsi:type="dcterms:W3CDTF">2024-12-11T05:47:49Z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9ED0F3ECC3064E7688A4F62D1F4AE019_12</vt:lpwstr>
  </property>
</Properties>
</file>