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乌财科教【2022】71号关于提前下达2023年新疆西藏等地区教育特殊补助资金的通知--学前教育保障经费（新闸滩幼儿园）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水西沟镇中心幼儿园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水西沟镇中心幼儿园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西藏等地区实施了教育特殊补助政策，其中包括十五年免费教育学前保教费。具体来说，新疆对农村学前三年儿童实行免保育费、免幼儿读本费和补助伙食费、采暖费政策，对城镇学前三年儿童实行补助保教费、幼儿读本费和采暖费政策。西藏也对农村和城镇学前儿童实行了相应的补助政策。这些政策的实施为这些地区的教育事业发展提供了有力的支持，有助于提高学前教育的覆盖率和质量，促进了教育公平和发展。对于享受这些政策的学生和家庭来说，这无疑是一个非常好的消息，可以为他们节省不少教育费用，减轻经济负担。本次乌财科教【2022】71号关于提前下达2023年新疆西藏等地区教育特殊补助资金的通知—学前教育保障经费（新闸滩幼儿园）提上建设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主要用于支付日常费用（电费、天然气费、煤气费、水费）、办公相关费用（办公用费、打印耗材费用）、人员相关费用（培训费用、幼儿比赛服装费用、差旅费、办理健康证费用、生活用品费）以及安全保障费用（校园险费用）。水电、天然气等费用和办公耗材费用是日常运作的基础支出，确保了我园的正常运转和工作的顺利进行。校园险费用的支出有助于保障师生的健康和安全，预防意外事故的发生，幼儿比赛服装费用体现对幼儿活动的支持，有助于丰富儿童的课外生活，提高其社交能力和团队精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①支付完成了2023年1-12月电费，保障了幼儿园的正常运转;②支付完成了天然气费用，保障了幼儿园的正常运转；③支付了教师培训费及差旅费，促进了师资队伍的建设，提升教师专业发展，提高幼儿教师素质，以及推进教育改革发展。④支付办公费用、打印耗材费用及生活用品费，保障幼儿园工作的正常开展；⑤幼儿比赛服装费用，满足学生多样化的兴趣及爱好，培养团结有爱的品德，提高学生的活动兴趣；⑥办理健康证是为了确保行为人没有传染性的疾病，保障了学生的安全；⑦校园险，校园方责任保险是为了幼儿园等院校提供消防责任保障，维护学校教育而设立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科教【2022】71号关于提前下达2023年新疆西藏等地区教育特殊补助资金的通知—学前教育保障经费（新闸滩幼儿园）批准，项目系2023年中央资金，共安排预算7.97万元，于2023年年初部分预算批复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财政拨款7.97万元；支付的具体明细如下：天然气0.15万，培训费0.2303万，电费0.7831万，电费0.7808万，煤气费0.1296万，办公用品0.3168万，打印耗材0.496万，打印耗材0.496万，打印耗材0.496万，办公用品0.0655万，幼儿比赛服装0.297万，成都培训费0.44万，成都差旅费0.6449万，水费0.271，健康证0.2067万，生活用品 0.7601万，生活用品0.7601万，展板0.5091万，天然气0.0455万，校园险0.0664万。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该项目总体绩效目标：2023年财政拨款7.97万元，该项目用于保障幼儿园的日常开支，保障幼儿园能够正常运转，达到了落实教育惠民政策，减轻了我县农牧民家庭负担的效果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该项目阶段性目标为：保障幼儿园的日常开支，保障幼儿园能够正常运转，达到了落实教育惠民政策，减轻了我县农牧民家庭负担。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通过设置数量指标：享受人员数量=87人，质量指标农村学前三年免费教育幼儿园入园率≥95%，国家通用语言覆盖率≥95%，项目资金及时支付率≥95%，成本指标：办公费≤1.5万，水费≤1.97万，电费≤3万，垃圾处理费≤1.5万，社会效益指标：“减轻我县农牧民家庭经济负担”。该项目的目标、范围和要求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施工期限是2023年1月1日至2023年12月20日，项目主要完成了1、为保障该项目的顺利实施，我单位进行了明确分工，由后勤主任对我园所需支付的资金进行及时上报；2、由出纳人员填写需要支付的审批表，并报教育局进行审批；3、审批结束后将审批表拿回在平台上申请资金；4、上报申请资金后由财政局进行审核通过；5、审核完成后进行资金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评价的数据主要来源于：幼儿情况登记表、国库集中支付凭证、效益情况说明。数据准确、完整地反映了项目绩效。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71号关于提前下达2023年新疆西藏等地区教育特殊补助资金的通知—学前教育保障经费（新闸滩幼儿园）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（1）绩效评价的对象：乌财科教【2022】71号关于提前下达2023年新疆西藏等地区教育特殊补助资金的通知—学前教育保障经费（新闸滩幼儿园）项目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科教【2022】71号关于提前下达2023年新疆西藏等地区教育特殊补助资金的通知—学前教育保障经费（新闸滩幼儿园），水电、天然气等费用和办公耗材费用是日常运作的基础支出，确保了我园的正常运转和工作的顺利进行。校园险费用的支出有助于保障师生的健康和安全，预防意外事故的发生，幼儿比赛服装费用体现对幼儿活动的支持，有助于丰富儿童的课外生活。</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享受人员数量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农村学前三年免费教育幼儿园入园率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国家通用语言覆盖率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资金到位及时率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项目资金及时支付率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办公费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水费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电费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垃圾处理费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减轻我县农牧民家庭经济负担</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2022】71号关于提前下达2023年新疆西藏等地区教育特殊补助资金的通知—学前教育保障经费（新闸滩幼儿园）]的特点，本次评价主要采用标杆管理法，与县幼儿园的乌财科教【2022】71号关于提前下达2023年新疆西藏等地区教育特殊补助资金的通知--学前教育保障经费（合胜幼儿园）比较，我园该项目全年预算数7.97万，执行数7.45万，预算执行率9.47万，县幼学前教育保障经费（合胜幼儿园）的全年预算数5.31万，执行数4.44万，预算执行率83.61万，我园与之相比，资金的使用效率更高，项目的实施达到了预期效益，保障了我园的基本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·《乌财科教【2022】71号关于提前下达2023年新疆西藏等地区教育特殊补助资金的通知—学前教育保障经费》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幼儿情况登记表、国库集中支付凭证、效益情况说明等材料的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访谈等形式，对2023年乌财科教【2022】71号关于提前下达2023年新疆西藏等地区教育特殊补助资金的通知—学前教育保障经费（新闸滩幼儿园）进行客观评价，最终评分结果为：总分为89.97分，绩效评级为“优”[本次绩效评价结果实施百分制和四级分类，其中90（含）-100分为优、80（含）-90分为良、70（含）-80分为中、70分以下为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4.67</w:t>
      </w:r>
      <w:r>
        <w:rPr>
          <w:rStyle w:val="18"/>
          <w:rFonts w:hint="eastAsia" w:ascii="楷体" w:hAnsi="楷体" w:eastAsia="楷体"/>
          <w:b w:val="0"/>
          <w:bCs w:val="0"/>
          <w:spacing w:val="-4"/>
          <w:sz w:val="32"/>
          <w:szCs w:val="32"/>
        </w:rPr>
        <w:tab/>
        <w:t>93.48%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享受人员数量</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农村学前三年免费教育幼儿园入园率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国家通用语言覆盖率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项目资金及时支付率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4.92</w:t>
      </w:r>
      <w:r>
        <w:rPr>
          <w:rStyle w:val="18"/>
          <w:rFonts w:hint="eastAsia" w:ascii="楷体" w:hAnsi="楷体" w:eastAsia="楷体"/>
          <w:b w:val="0"/>
          <w:bCs w:val="0"/>
          <w:spacing w:val="-4"/>
          <w:sz w:val="32"/>
          <w:szCs w:val="32"/>
        </w:rPr>
        <w:tab/>
        <w:t>98.4%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办公费</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水费</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tab/>
        <w:t>0.38</w:t>
      </w:r>
      <w:r>
        <w:rPr>
          <w:rStyle w:val="18"/>
          <w:rFonts w:hint="eastAsia" w:ascii="楷体" w:hAnsi="楷体" w:eastAsia="楷体"/>
          <w:b w:val="0"/>
          <w:bCs w:val="0"/>
          <w:spacing w:val="-4"/>
          <w:sz w:val="32"/>
          <w:szCs w:val="32"/>
        </w:rPr>
        <w:tab/>
        <w:t>15.2%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电费</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垃圾处理费</w:t>
      </w:r>
      <w:r>
        <w:rPr>
          <w:rStyle w:val="18"/>
          <w:rFonts w:hint="eastAsia" w:ascii="楷体" w:hAnsi="楷体" w:eastAsia="楷体"/>
          <w:b w:val="0"/>
          <w:bCs w:val="0"/>
          <w:spacing w:val="-4"/>
          <w:sz w:val="32"/>
          <w:szCs w:val="32"/>
        </w:rPr>
        <w:tab/>
        <w:t>2.5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减轻我县农牧民家庭经济负担</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89.97</w:t>
      </w:r>
      <w:r>
        <w:rPr>
          <w:rStyle w:val="18"/>
          <w:rFonts w:hint="eastAsia" w:ascii="楷体" w:hAnsi="楷体" w:eastAsia="楷体"/>
          <w:b w:val="0"/>
          <w:bCs w:val="0"/>
          <w:spacing w:val="-4"/>
          <w:sz w:val="32"/>
          <w:szCs w:val="32"/>
        </w:rPr>
        <w:tab/>
        <w:t>89.97%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享受人员数量为87人，完成率达100%，农村学前三年免费教育幼儿园入园率达100%，国家通用语言覆盖率达100%，资金及时支付率达93.48%。项目的实施有效保障了我园的基本运转，为幼儿提供了良好的学习生活环境。</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立项依据充分性：乌财科教【2022】71号关于提前下达2023年新疆西藏等地区教育特殊补助资金的通知—学前教育保障经费（新闸滩幼儿园）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管单位根据乌鲁木齐县政府决策和财政局要求进行了申报乌财科教【2022】71号关于提前下达2023年新疆西藏等地区教育特殊补助资金的通知—学前教育保障经费（新闸滩幼儿园）预算资金的通知要求，项目属于公共财政支持范围。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单位园委会会议纪要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事前已经过必要的绩效评估和单位园委会集体决策，申请预算资金时严格按照乌鲁木齐县乌财科教【2022】71号关于提前下达2023年新疆西藏等地区教育特殊补助资金的通知—学前教育保障经费（新闸滩幼儿园）项目的立项要求，遵循“二上二下”的预算流程；审批文件、材料符合相关要求，故立项程序规范，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数量指标、质量指标、时效指标、经济成本指标和社会效益指标予以量化，并具有确切的评价标准，且指标设定均与目标相关。各项指标均能在现实条件下收集到相关幼儿情况登记表、国库集中支付凭证、效益情况说明等数据进行佐证（项目实施过程中财负责按照财政局要求履行相关审批手续及资金支付流程），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在编制预算时，要了解以前年度的预算执行情况，对以后年度的宏观经济前景进行客观而科学的预测，来决定对现行政策进行调整。总预算7.97万，办公费1.5万，水费1.97万，电费3万，垃圾处理费1.5万。预算编制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乌财科教【2022】71号关于提前下达2023年新疆西藏等地区教育特殊补助资金的通知—学前教育保障经费（新闸滩幼儿园）项目的要求，及以前年度的实际情况以及资金支付情况合理分配资金。该项目为公用经费项目资金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项目过程指标由2个二级指标和3个三级指标构成，权重为20分，实际得分19.67分。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资金到位率：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该项目年初预算数7.97万，全年预算数7.97万，资金该项目资金由财政拨付，在2023年1月11日到位，资金到位率100%，得分5分。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17日支付给国网新疆电力有限公司电费10176.58元；2023年3月20日支付给国网新疆电力有限公司电费7831.4元；2023年4月3日支付给新疆北燃乌热能源有限公司天然气费1500元；2023年4月19日支付给国网新疆电力有限公司电费2140.68元；2023年5月8日支付给新疆开发大学培训费2303元；2023年5月8日支付给乌鲁木齐中石油昆仑燃气有限公司煤气费1296元；2023年7月17日支付给沙依巴克区地王国际商城新瑞文体用品商行办公用品费3168.6元；2023年7月17日支付给天山区红旗路鑫业同创电子产品经营部打印耗材4960元；2023年7月17日支付给新疆佰送惠民商贸有限公司幼儿比赛服装费2970元；2023年9月22日支付给乌鲁木齐县南郊供排水有限公司水费2710.5元；2023年9月26日支付给乌鲁木齐农商银行水西沟支行-水西沟镇“双语”幼儿园成都培训费及差旅费10849.5元，支付给乌鲁木齐县水西沟卫生院办健康证费用2067元，支付给沙依巴克区仓房沟北路鑫成百货商行生活用品费7601元，支付给头屯河区白湖路风轻扬设计制作经营部展板费5091元。全年预算数7.97万元，执行数7.45万，执行率93.48%。得分4.67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以上级财政规定为会计事务处理准则，做到经常核对帐目，保证了帐目相符，支付款报销手续健全，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综上，该指标满分13分，得分12.69分。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管理制度健全性：乌鲁木齐县水西沟镇中心幼儿园已制定相应的财务管理制度和业务档案管理制度，且制度合法、合规、完整，为项目顺利实施提供重要保障。故管理制度健全性得分为3分。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县水西沟镇中心幼儿园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项目产出指标由4个二级指标和9个三级指标构成，权重为40分，实际得分30.3分。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数量指标“享受人员数量”的目标值是87人，2023年度我园实际享受人员数量87人，完成率达100%。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农村学前三年免费教育幼儿园入园率：幼儿园学前三年免费教育，入园率达100%，得分10分。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国家通用语言覆盖率：国家通用语言覆盖率达到100%，得分5分。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项目资金及时支付率：目标值不低于95%，该项目资金及时支付率为93.48%，完成率98.4%，故完成及时性得分为4.92分。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办公费：2023年年度指标值为1.5万元，实际支出1.64万元，完成率为0%；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水费：2023年年度指标值为1.97万元，实际支出0.271万元，完成率为15.2%；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电费：2023年年度指标值为3万元，实际支出3.02万元，完成率为0%；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垃圾处理费：2023年年度指标值为1.5万元，实际支出0万元，完成率为0%。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综上，该部分指标满分10分，得分0.38分。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项目效益指标由1个二级指标和1个三级指标构成，权重为15分，实际得分20分。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减轻我县农牧民家庭经济负担”，指标值：有效减轻，实际完成值：完全达到预期，项目的实施保障了我园日常运转，为幼儿提供了良好的生活环境，有效减轻了我县农牧民家庭经济负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未设置满意度指标</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1、及时做好2022年项目计划制定可行性方案并及时申报项目资金，做好项目的动态监管，切时做到专款专用，改善办学完条件。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2.积极参加财务培训，提高专业技能。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3.加强督导，提升保教质量。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1、部门职能不明确，个别工作分工不清晰，且人员培训和绩效考核制度不够完善。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2、部门资金支出进度普遍较低，对资金支出的控制力度不足。项目的实施过程中缺少及时的检查与反馈。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3、项目过程手续办理慢，影响了项目进度。建议简化手续；加大资金投入，全面改善学前教育办学条件。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举行定期的项目评审会议，汇报项目进展，讨论问题，收集各方反馈，并对项目计划进行必要的调整，定期核查项目的完成情况并及时改善项目存在的问题，提升资金使用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4D275E5E"/>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2024-11-06T09:17:38Z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C734C92AAAF24344A0E4232D8EB3359B</vt:lpwstr>
  </property>
</Properties>
</file>