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项目名称：</w:t>
      </w:r>
      <w:r>
        <w:rPr>
          <w:rFonts w:hint="default" w:ascii="Times New Roman" w:hAnsi="Times New Roman" w:cs="Times New Roman"/>
          <w:kern w:val="0"/>
          <w:sz w:val="32"/>
          <w:szCs w:val="32"/>
          <w:lang w:bidi="en-US"/>
        </w:rPr>
        <w:t>乌财科教【2021】96号关于提前下达2022年城乡义务教育项目直达资金校舍安全保障机制经费</w:t>
      </w:r>
    </w:p>
    <w:p>
      <w:pPr>
        <w:spacing w:line="480" w:lineRule="auto"/>
        <w:ind w:left="280" w:leftChars="100" w:firstLine="1091" w:firstLineChars="341"/>
        <w:jc w:val="left"/>
        <w:rPr>
          <w:rFonts w:hint="eastAsia" w:ascii="Times New Roman" w:hAnsi="Times New Roman" w:eastAsia="仿宋_GB2312" w:cs="Times New Roman"/>
          <w:color w:val="auto"/>
          <w:kern w:val="0"/>
          <w:sz w:val="32"/>
          <w:szCs w:val="32"/>
          <w:highlight w:val="none"/>
          <w:lang w:eastAsia="zh-CN"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val="en-US" w:eastAsia="zh-CN" w:bidi="en-US"/>
        </w:rPr>
        <w:t>乌鲁木齐县灯草沟中学</w:t>
      </w:r>
    </w:p>
    <w:p>
      <w:pPr>
        <w:spacing w:line="480" w:lineRule="auto"/>
        <w:ind w:left="280" w:leftChars="100" w:firstLine="1091" w:firstLineChars="341"/>
        <w:jc w:val="left"/>
        <w:rPr>
          <w:rFonts w:hint="eastAsia"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w:t>
      </w:r>
      <w:r>
        <w:rPr>
          <w:rFonts w:hint="eastAsia" w:ascii="Times New Roman" w:hAnsi="Times New Roman" w:cs="Times New Roman"/>
          <w:color w:val="auto"/>
          <w:kern w:val="0"/>
          <w:sz w:val="32"/>
          <w:szCs w:val="32"/>
          <w:highlight w:val="none"/>
          <w:lang w:val="en-US" w:eastAsia="zh-CN" w:bidi="en-US"/>
        </w:rPr>
        <w:t>5</w:t>
      </w:r>
      <w:r>
        <w:rPr>
          <w:rFonts w:hint="default" w:ascii="Times New Roman" w:hAnsi="Times New Roman" w:cs="Times New Roman"/>
          <w:color w:val="auto"/>
          <w:kern w:val="0"/>
          <w:sz w:val="32"/>
          <w:szCs w:val="32"/>
          <w:highlight w:val="none"/>
          <w:lang w:bidi="en-US"/>
        </w:rPr>
        <w:t>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ab/>
      </w:r>
    </w:p>
    <w:p>
      <w:pPr>
        <w:ind w:firstLine="640"/>
        <w:rPr>
          <w:rFonts w:hint="default"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44"/>
          <w:szCs w:val="44"/>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1"/>
            <w:ind w:firstLine="560"/>
            <w:jc w:val="center"/>
            <w:rPr>
              <w:rFonts w:hint="eastAsia" w:ascii="黑体" w:hAnsi="黑体" w:eastAsia="黑体" w:cs="黑体"/>
              <w:color w:val="auto"/>
              <w:sz w:val="44"/>
              <w:szCs w:val="44"/>
              <w:highlight w:val="none"/>
            </w:rPr>
          </w:pPr>
          <w:r>
            <w:rPr>
              <w:rFonts w:hint="eastAsia" w:ascii="黑体" w:hAnsi="黑体" w:eastAsia="黑体" w:cs="黑体"/>
              <w:color w:val="auto"/>
              <w:sz w:val="44"/>
              <w:szCs w:val="44"/>
              <w:highlight w:val="none"/>
              <w:lang w:val="zh-CN"/>
            </w:rPr>
            <w:t>目录</w:t>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"_Toc165277220"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"_Toc165277221"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"_Toc165277222"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w:t>
          </w:r>
          <w:r>
            <w:rPr>
              <w:rStyle w:val="20"/>
              <w:rFonts w:hint="eastAsia" w:ascii="Times New Roman" w:hAnsi="Times New Roman" w:cs="Times New Roman"/>
              <w:color w:val="auto"/>
              <w:highlight w:val="none"/>
              <w:lang w:val="en-US" w:eastAsia="zh-CN"/>
            </w:rPr>
            <w:t>.</w:t>
          </w:r>
          <w:r>
            <w:rPr>
              <w:rStyle w:val="20"/>
              <w:rFonts w:hint="default" w:ascii="Times New Roman" w:hAnsi="Times New Roman" w:cs="Times New Roman"/>
              <w:color w:val="auto"/>
              <w:highlight w:val="none"/>
            </w:rPr>
            <w:t>项目背景、主要内容及实施情况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"_Toc165277223"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2.资金投入和使用情况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"_Toc165277224"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"_Toc165277225"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"_Toc165277226"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"_Toc165277227"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1.绩效评价完整性</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"_Toc165277228"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"_Toc165277229"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3.评价对象</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_Toc165277229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"_Toc165277230"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4.绩效评价范围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"_Toc165277231"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"_Toc165277232"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"_Toc165277233"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"_Toc165277234"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"_Toc165277235"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"_Toc165277236"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"_Toc165277237"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"_Toc165277238"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"_Toc165277239"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_Toc165277239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"_Toc165277240"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"_Toc165277241"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"_Toc165277242"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"_Toc165277243"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"_Toc165277244"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"_Toc165277245"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"_Toc165277246"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"_Toc165277247"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"_Toc165277248"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"_Toc165277249"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_Toc165277249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"_Toc165277250"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"_Toc165277251"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"_Toc165277252"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"_Toc165277253"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"_Toc165277254"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"_Toc165277255" </w:instrText>
          </w:r>
          <w:r>
            <w:rPr>
              <w:rFonts w:hint="default" w:ascii="Times New Roman" w:hAnsi="Times New Roman" w:cs="Times New Roman"/>
              <w:color w:val="auto"/>
              <w:highlight w:val="none"/>
            </w:rPr>
            <w:fldChar w:fldCharType="separate"/>
          </w:r>
          <w:r>
            <w:rPr>
              <w:rStyle w:val="20"/>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"_Toc165277256"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五、主要经验及做法、存在的问题及原因分析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"_Toc165277257"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"_Toc165277258"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"_Toc165277259"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六、有关建议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_Toc165277259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"_Toc165277260" </w:instrText>
          </w:r>
          <w:r>
            <w:rPr>
              <w:rFonts w:hint="default" w:ascii="Times New Roman" w:hAnsi="Times New Roman" w:cs="Times New Roman"/>
              <w:color w:val="auto"/>
              <w:highlight w:val="none"/>
            </w:rPr>
            <w:fldChar w:fldCharType="separate"/>
          </w:r>
          <w:r>
            <w:rPr>
              <w:rStyle w:val="20"/>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_Toc165277260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67911601"/>
      <w:bookmarkStart w:id="1" w:name="_Toc165277220"/>
      <w:r>
        <w:rPr>
          <w:rFonts w:hint="default" w:ascii="Times New Roman" w:hAnsi="Times New Roman" w:eastAsia="仿宋" w:cs="Times New Roman"/>
          <w:color w:val="auto"/>
          <w:sz w:val="36"/>
          <w:szCs w:val="36"/>
          <w:highlight w:val="none"/>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2" w:name="_Toc165277221"/>
      <w:bookmarkStart w:id="3" w:name="_Toc67911602"/>
      <w:r>
        <w:rPr>
          <w:rFonts w:hint="default" w:ascii="Times New Roman" w:hAnsi="Times New Roman" w:eastAsia="仿宋" w:cs="Times New Roman"/>
          <w:color w:val="auto"/>
          <w:highlight w:val="none"/>
          <w:lang w:bidi="en-US"/>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4" w:name="_Toc165277222"/>
      <w:r>
        <w:rPr>
          <w:rFonts w:hint="default" w:ascii="Times New Roman" w:hAnsi="Times New Roman" w:cs="Times New Roman"/>
          <w:color w:val="auto"/>
          <w:highlight w:val="none"/>
        </w:rPr>
        <w:t>1</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项目背景、主要内容及实施情况</w:t>
      </w:r>
      <w:bookmarkEnd w:id="4"/>
    </w:p>
    <w:p>
      <w:pPr>
        <w:pStyle w:val="36"/>
        <w:spacing w:line="560" w:lineRule="exact"/>
        <w:ind w:firstLine="560"/>
        <w:rPr>
          <w:rFonts w:hint="default" w:ascii="Times New Roman" w:hAnsi="Times New Roman" w:cs="Times New Roman"/>
          <w:b/>
          <w:bCs/>
          <w:color w:val="auto"/>
          <w:highlight w:val="none"/>
        </w:rPr>
      </w:pPr>
      <w:r>
        <w:rPr>
          <w:rFonts w:hint="eastAsia" w:cs="Times New Roman"/>
          <w:b/>
          <w:bCs/>
          <w:color w:val="auto"/>
          <w:kern w:val="2"/>
          <w:sz w:val="28"/>
          <w:szCs w:val="22"/>
          <w:highlight w:val="none"/>
          <w:lang w:val="en-US" w:eastAsia="zh-CN" w:bidi="ar-SA"/>
        </w:rPr>
        <w:t>（1）</w:t>
      </w:r>
      <w:r>
        <w:rPr>
          <w:rFonts w:hint="default" w:ascii="Times New Roman" w:hAnsi="Times New Roman" w:cs="Times New Roman"/>
          <w:b/>
          <w:bCs/>
          <w:color w:val="auto"/>
          <w:highlight w:val="none"/>
        </w:rPr>
        <w:t>项目背景</w:t>
      </w:r>
    </w:p>
    <w:p>
      <w:pPr>
        <w:spacing w:line="360" w:lineRule="auto"/>
        <w:ind w:firstLine="560"/>
        <w:rPr>
          <w:rFonts w:hint="eastAsia" w:ascii="Times New Roman" w:hAnsi="Times New Roman" w:cs="Times New Roman"/>
          <w:highlight w:val="none"/>
          <w:lang w:eastAsia="zh-CN"/>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w:t>
      </w:r>
    </w:p>
    <w:p>
      <w:pPr>
        <w:pStyle w:val="36"/>
        <w:spacing w:line="560" w:lineRule="exact"/>
        <w:ind w:firstLine="560"/>
        <w:rPr>
          <w:rFonts w:hint="default" w:ascii="Times New Roman" w:hAnsi="Times New Roman" w:eastAsia="仿宋_GB2312" w:cs="Times New Roman"/>
          <w:kern w:val="2"/>
          <w:sz w:val="28"/>
          <w:szCs w:val="22"/>
          <w:lang w:val="en-US" w:eastAsia="zh-CN" w:bidi="ar-SA"/>
        </w:rPr>
      </w:pPr>
      <w:r>
        <w:rPr>
          <w:rFonts w:hint="eastAsia" w:ascii="Times New Roman" w:hAnsi="Times New Roman" w:cs="Times New Roman"/>
          <w:lang w:val="en-US" w:eastAsia="zh-CN"/>
        </w:rPr>
        <w:t>该项目主要是建立一个消防水池，</w:t>
      </w:r>
      <w:r>
        <w:rPr>
          <w:rFonts w:hint="eastAsia" w:ascii="Times New Roman" w:hAnsi="Times New Roman" w:cs="Times New Roman"/>
          <w:lang w:eastAsia="zh-CN"/>
        </w:rPr>
        <w:t>消防工作重点主要以预防为主，防消结合。只有事前做好准备工作，遇事才能不乱，正所谓“临阵不乱，灾难减半”。</w:t>
      </w:r>
      <w:r>
        <w:rPr>
          <w:rFonts w:hint="eastAsia" w:cs="Times New Roman"/>
          <w:lang w:val="en-US" w:eastAsia="zh-CN"/>
        </w:rPr>
        <w:t>以</w:t>
      </w:r>
      <w:r>
        <w:rPr>
          <w:rFonts w:hint="eastAsia" w:ascii="Times New Roman" w:hAnsi="Times New Roman" w:cs="Times New Roman"/>
          <w:lang w:eastAsia="zh-CN"/>
        </w:rPr>
        <w:t>强化学校安全、构建和谐校园为重点，不断推进教育创新，使教育事业得到持续、稳定、健康发展。通过及时更新、更换办公设备，改善了工作环境，提高了工作效率，使教育教学工作更加快捷、便利，提高了学校办公办学整体水平。</w:t>
      </w:r>
      <w:r>
        <w:rPr>
          <w:rFonts w:hint="default" w:ascii="Times New Roman" w:hAnsi="Times New Roman" w:eastAsia="仿宋_GB2312" w:cs="Times New Roman"/>
          <w:kern w:val="2"/>
          <w:sz w:val="28"/>
          <w:szCs w:val="22"/>
          <w:lang w:val="en-US" w:eastAsia="zh-CN" w:bidi="ar-SA"/>
        </w:rPr>
        <w:t>为</w:t>
      </w:r>
      <w:r>
        <w:rPr>
          <w:rFonts w:hint="eastAsia" w:ascii="Times New Roman" w:hAnsi="Times New Roman" w:eastAsia="仿宋_GB2312" w:cs="Times New Roman"/>
          <w:kern w:val="2"/>
          <w:sz w:val="28"/>
          <w:szCs w:val="22"/>
          <w:lang w:val="en-US" w:eastAsia="zh-CN" w:bidi="ar-SA"/>
        </w:rPr>
        <w:t>完善本校的安全防范措施</w:t>
      </w:r>
      <w:r>
        <w:rPr>
          <w:rFonts w:hint="default" w:ascii="Times New Roman" w:hAnsi="Times New Roman" w:eastAsia="仿宋_GB2312" w:cs="Times New Roman"/>
          <w:kern w:val="2"/>
          <w:sz w:val="28"/>
          <w:szCs w:val="22"/>
          <w:lang w:val="en-US" w:eastAsia="zh-CN" w:bidi="ar-SA"/>
        </w:rPr>
        <w:t>，进一步完善</w:t>
      </w:r>
      <w:r>
        <w:rPr>
          <w:rFonts w:hint="eastAsia" w:ascii="Times New Roman" w:hAnsi="Times New Roman" w:eastAsia="仿宋_GB2312" w:cs="Times New Roman"/>
          <w:kern w:val="2"/>
          <w:sz w:val="28"/>
          <w:szCs w:val="22"/>
          <w:lang w:val="en-US" w:eastAsia="zh-CN" w:bidi="ar-SA"/>
        </w:rPr>
        <w:t>学校的</w:t>
      </w:r>
      <w:r>
        <w:rPr>
          <w:rFonts w:hint="default" w:ascii="Times New Roman" w:hAnsi="Times New Roman" w:eastAsia="仿宋_GB2312" w:cs="Times New Roman"/>
          <w:kern w:val="2"/>
          <w:sz w:val="28"/>
          <w:szCs w:val="22"/>
          <w:lang w:val="en-US" w:eastAsia="zh-CN" w:bidi="ar-SA"/>
        </w:rPr>
        <w:t>基础设施建设，本次乌财科教【2021】96号关于提前下达2022年城乡义务教育项目直达资金校舍安全保障机制经费</w:t>
      </w:r>
      <w:r>
        <w:rPr>
          <w:rFonts w:hint="eastAsia" w:ascii="Times New Roman" w:hAnsi="Times New Roman" w:eastAsia="仿宋_GB2312" w:cs="Times New Roman"/>
          <w:kern w:val="2"/>
          <w:sz w:val="28"/>
          <w:szCs w:val="22"/>
          <w:lang w:val="en-US" w:eastAsia="zh-CN" w:bidi="ar-SA"/>
        </w:rPr>
        <w:t>（消防水池）</w:t>
      </w:r>
      <w:r>
        <w:rPr>
          <w:rFonts w:hint="default" w:ascii="Times New Roman" w:hAnsi="Times New Roman" w:eastAsia="仿宋_GB2312" w:cs="Times New Roman"/>
          <w:kern w:val="2"/>
          <w:sz w:val="28"/>
          <w:szCs w:val="22"/>
          <w:lang w:val="en-US" w:eastAsia="zh-CN" w:bidi="ar-SA"/>
        </w:rPr>
        <w:t>被提上建设日程。</w:t>
      </w:r>
    </w:p>
    <w:p>
      <w:pPr>
        <w:pStyle w:val="36"/>
        <w:spacing w:line="560" w:lineRule="exact"/>
        <w:ind w:firstLine="560"/>
        <w:rPr>
          <w:rFonts w:hint="default" w:ascii="Times New Roman" w:hAnsi="Times New Roman" w:eastAsia="仿宋_GB2312" w:cs="Times New Roman"/>
          <w:color w:val="auto"/>
          <w:kern w:val="2"/>
          <w:sz w:val="28"/>
          <w:szCs w:val="22"/>
          <w:highlight w:val="none"/>
          <w:lang w:val="en-US" w:eastAsia="zh-CN" w:bidi="ar-SA"/>
        </w:rPr>
      </w:pPr>
      <w:r>
        <w:rPr>
          <w:rFonts w:hint="default" w:ascii="Times New Roman" w:hAnsi="Times New Roman" w:eastAsia="仿宋_GB2312" w:cs="Times New Roman"/>
          <w:b w:val="0"/>
          <w:bCs w:val="0"/>
          <w:kern w:val="2"/>
          <w:sz w:val="28"/>
          <w:szCs w:val="22"/>
          <w:lang w:val="en-US" w:eastAsia="zh-CN" w:bidi="ar-SA"/>
        </w:rPr>
        <w:t>经财科教【2021】96号关于提前下达2022年城乡义务教育项目直达资金校舍安全保障机制经费文件批准，项目系2022年中央资金，共安排预算</w:t>
      </w:r>
      <w:r>
        <w:rPr>
          <w:rFonts w:hint="eastAsia" w:ascii="Times New Roman" w:hAnsi="Times New Roman" w:eastAsia="仿宋_GB2312" w:cs="Times New Roman"/>
          <w:b w:val="0"/>
          <w:bCs w:val="0"/>
          <w:kern w:val="2"/>
          <w:sz w:val="28"/>
          <w:szCs w:val="22"/>
          <w:lang w:val="en-US" w:eastAsia="zh-CN" w:bidi="ar-SA"/>
        </w:rPr>
        <w:t>400</w:t>
      </w:r>
      <w:r>
        <w:rPr>
          <w:rFonts w:hint="default" w:ascii="Times New Roman" w:hAnsi="Times New Roman" w:eastAsia="仿宋_GB2312" w:cs="Times New Roman"/>
          <w:b w:val="0"/>
          <w:bCs w:val="0"/>
          <w:kern w:val="2"/>
          <w:sz w:val="28"/>
          <w:szCs w:val="22"/>
          <w:lang w:val="en-US" w:eastAsia="zh-CN" w:bidi="ar-SA"/>
        </w:rPr>
        <w:t>万元，于2022年年中追加部分预算批复项目，资金</w:t>
      </w:r>
      <w:r>
        <w:rPr>
          <w:rFonts w:hint="eastAsia" w:ascii="Times New Roman" w:hAnsi="Times New Roman" w:eastAsia="仿宋_GB2312" w:cs="Times New Roman"/>
          <w:b w:val="0"/>
          <w:bCs w:val="0"/>
          <w:kern w:val="2"/>
          <w:sz w:val="28"/>
          <w:szCs w:val="22"/>
          <w:lang w:val="en-US" w:eastAsia="zh-CN" w:bidi="ar-SA"/>
        </w:rPr>
        <w:t>及时到位，因疫情原因，项目没有完工，工程进度已达</w:t>
      </w:r>
      <w:r>
        <w:rPr>
          <w:rFonts w:hint="eastAsia" w:ascii="Times New Roman" w:hAnsi="Times New Roman" w:cs="Times New Roman"/>
          <w:b w:val="0"/>
          <w:bCs w:val="0"/>
          <w:kern w:val="2"/>
          <w:sz w:val="28"/>
          <w:szCs w:val="22"/>
          <w:lang w:val="en-US" w:eastAsia="zh-CN" w:bidi="ar-SA"/>
        </w:rPr>
        <w:t>5</w:t>
      </w:r>
      <w:r>
        <w:rPr>
          <w:rFonts w:hint="eastAsia" w:ascii="Times New Roman" w:hAnsi="Times New Roman" w:eastAsia="仿宋_GB2312" w:cs="Times New Roman"/>
          <w:b w:val="0"/>
          <w:bCs w:val="0"/>
          <w:kern w:val="2"/>
          <w:sz w:val="28"/>
          <w:szCs w:val="22"/>
          <w:lang w:val="en-US" w:eastAsia="zh-CN" w:bidi="ar-SA"/>
        </w:rPr>
        <w:t>0%，已</w:t>
      </w:r>
      <w:r>
        <w:rPr>
          <w:rFonts w:hint="default" w:ascii="Times New Roman" w:hAnsi="Times New Roman" w:eastAsia="仿宋_GB2312" w:cs="Times New Roman"/>
          <w:b w:val="0"/>
          <w:bCs w:val="0"/>
          <w:kern w:val="2"/>
          <w:sz w:val="28"/>
          <w:szCs w:val="22"/>
          <w:lang w:val="en-US" w:eastAsia="zh-CN" w:bidi="ar-SA"/>
        </w:rPr>
        <w:t>支付</w:t>
      </w:r>
      <w:r>
        <w:rPr>
          <w:rFonts w:hint="eastAsia" w:ascii="Times New Roman" w:hAnsi="Times New Roman" w:eastAsia="仿宋_GB2312" w:cs="Times New Roman"/>
          <w:b w:val="0"/>
          <w:bCs w:val="0"/>
          <w:kern w:val="2"/>
          <w:sz w:val="28"/>
          <w:szCs w:val="22"/>
          <w:lang w:val="en-US" w:eastAsia="zh-CN" w:bidi="ar-SA"/>
        </w:rPr>
        <w:t>资金197.27万元</w:t>
      </w:r>
      <w:r>
        <w:rPr>
          <w:rFonts w:hint="default" w:ascii="Times New Roman" w:hAnsi="Times New Roman" w:eastAsia="仿宋_GB2312" w:cs="Times New Roman"/>
          <w:b w:val="0"/>
          <w:bCs w:val="0"/>
          <w:kern w:val="2"/>
          <w:sz w:val="28"/>
          <w:szCs w:val="22"/>
          <w:lang w:val="en-US" w:eastAsia="zh-CN" w:bidi="ar-SA"/>
        </w:rPr>
        <w:t>，年中</w:t>
      </w:r>
      <w:r>
        <w:rPr>
          <w:rFonts w:hint="eastAsia" w:ascii="Times New Roman" w:hAnsi="Times New Roman" w:eastAsia="仿宋_GB2312" w:cs="Times New Roman"/>
          <w:b w:val="0"/>
          <w:bCs w:val="0"/>
          <w:kern w:val="2"/>
          <w:sz w:val="28"/>
          <w:szCs w:val="22"/>
          <w:lang w:val="en-US" w:eastAsia="zh-CN" w:bidi="ar-SA"/>
        </w:rPr>
        <w:t>没有</w:t>
      </w:r>
      <w:r>
        <w:rPr>
          <w:rFonts w:hint="default" w:ascii="Times New Roman" w:hAnsi="Times New Roman" w:eastAsia="仿宋_GB2312" w:cs="Times New Roman"/>
          <w:b w:val="0"/>
          <w:bCs w:val="0"/>
          <w:kern w:val="2"/>
          <w:sz w:val="28"/>
          <w:szCs w:val="22"/>
          <w:lang w:val="en-US" w:eastAsia="zh-CN" w:bidi="ar-SA"/>
        </w:rPr>
        <w:t>对资金进行</w:t>
      </w:r>
      <w:r>
        <w:rPr>
          <w:rFonts w:hint="eastAsia" w:ascii="Times New Roman" w:hAnsi="Times New Roman" w:eastAsia="仿宋_GB2312" w:cs="Times New Roman"/>
          <w:b w:val="0"/>
          <w:bCs w:val="0"/>
          <w:kern w:val="2"/>
          <w:sz w:val="28"/>
          <w:szCs w:val="22"/>
          <w:lang w:val="en-US" w:eastAsia="zh-CN" w:bidi="ar-SA"/>
        </w:rPr>
        <w:t>调整</w:t>
      </w:r>
      <w:r>
        <w:rPr>
          <w:rFonts w:hint="eastAsia" w:ascii="Times New Roman" w:hAnsi="Times New Roman" w:cs="Times New Roman"/>
          <w:b w:val="0"/>
          <w:bCs w:val="0"/>
          <w:kern w:val="2"/>
          <w:sz w:val="28"/>
          <w:szCs w:val="22"/>
          <w:lang w:val="en-US" w:eastAsia="zh-CN" w:bidi="ar-SA"/>
        </w:rPr>
        <w:t>，结转到2023年202.72万元，2023年实际支出136万元，预算执行率67.09%。</w:t>
      </w:r>
    </w:p>
    <w:p>
      <w:pPr>
        <w:pStyle w:val="36"/>
        <w:spacing w:line="560" w:lineRule="exact"/>
        <w:ind w:firstLine="560"/>
        <w:rPr>
          <w:rFonts w:hint="default" w:cs="Times New Roman"/>
          <w:b/>
          <w:bCs/>
          <w:color w:val="auto"/>
          <w:kern w:val="2"/>
          <w:sz w:val="28"/>
          <w:szCs w:val="22"/>
          <w:highlight w:val="none"/>
          <w:lang w:val="en-US" w:eastAsia="zh-CN" w:bidi="ar-SA"/>
        </w:rPr>
      </w:pPr>
      <w:r>
        <w:rPr>
          <w:rFonts w:hint="eastAsia" w:cs="Times New Roman"/>
          <w:b/>
          <w:bCs/>
          <w:color w:val="auto"/>
          <w:kern w:val="2"/>
          <w:sz w:val="28"/>
          <w:szCs w:val="22"/>
          <w:highlight w:val="none"/>
          <w:lang w:val="en-US" w:eastAsia="zh-CN" w:bidi="ar-SA"/>
        </w:rPr>
        <w:t>（2）项目主要内容</w:t>
      </w:r>
    </w:p>
    <w:p>
      <w:pPr>
        <w:spacing w:line="360" w:lineRule="auto"/>
        <w:ind w:firstLine="560"/>
        <w:rPr>
          <w:rFonts w:hint="eastAsia" w:ascii="Times New Roman" w:hAnsi="Times New Roman" w:eastAsia="仿宋_GB2312" w:cs="Times New Roman"/>
          <w:bCs/>
          <w:szCs w:val="28"/>
          <w:highlight w:val="none"/>
          <w:lang w:val="en-US" w:eastAsia="zh-CN"/>
        </w:rPr>
      </w:pPr>
      <w:r>
        <w:rPr>
          <w:rFonts w:hint="default" w:ascii="Times New Roman" w:hAnsi="Times New Roman" w:cs="Times New Roman"/>
          <w:bCs/>
          <w:szCs w:val="28"/>
          <w:highlight w:val="none"/>
        </w:rPr>
        <w:t>增设消防水池及外网工程</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主要</w:t>
      </w:r>
      <w:r>
        <w:rPr>
          <w:rFonts w:hint="eastAsia" w:ascii="Times New Roman" w:hAnsi="Times New Roman" w:cs="Times New Roman"/>
          <w:bCs/>
          <w:szCs w:val="28"/>
          <w:highlight w:val="none"/>
          <w:lang w:val="en-US" w:eastAsia="zh-CN"/>
        </w:rPr>
        <w:t>内容</w:t>
      </w:r>
      <w:r>
        <w:rPr>
          <w:rFonts w:hint="default" w:ascii="Times New Roman" w:hAnsi="Times New Roman" w:cs="Times New Roman"/>
          <w:bCs/>
          <w:szCs w:val="28"/>
          <w:highlight w:val="none"/>
        </w:rPr>
        <w:t>包括:新建500立方米消防水池及外网工程：室外电缆电线200米、配电柜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r>
        <w:rPr>
          <w:rFonts w:hint="eastAsia" w:ascii="Times New Roman" w:hAnsi="Times New Roman" w:cs="Times New Roman"/>
          <w:bCs/>
          <w:szCs w:val="28"/>
          <w:highlight w:val="none"/>
          <w:lang w:eastAsia="zh-CN"/>
        </w:rPr>
        <w:t>。</w:t>
      </w:r>
      <w:r>
        <w:rPr>
          <w:rFonts w:hint="eastAsia" w:ascii="Times New Roman" w:hAnsi="Times New Roman" w:cs="Times New Roman"/>
          <w:lang w:val="en-US" w:eastAsia="zh-CN"/>
        </w:rPr>
        <w:t>该项目计划于2022年暑假开始施工，因疫情原因，工程仍未竣工，工程进度已达50%，2023年该项目已完成并投入使用，</w:t>
      </w:r>
      <w:r>
        <w:rPr>
          <w:rFonts w:hint="default" w:ascii="Times New Roman" w:hAnsi="Times New Roman" w:cs="Times New Roman"/>
          <w:color w:val="auto"/>
          <w:szCs w:val="28"/>
          <w:highlight w:val="none"/>
          <w:lang w:val="en-US" w:eastAsia="zh-CN"/>
        </w:rPr>
        <w:t>2023年8月21日完成竣工验收，该工程已完成合同约定内容，经验收，该工程符合设计文件及施工规范规定，该工程已达到统一验收标准规范的合格要求。</w:t>
      </w:r>
    </w:p>
    <w:p>
      <w:pPr>
        <w:pStyle w:val="36"/>
        <w:spacing w:line="560" w:lineRule="exact"/>
        <w:ind w:firstLine="560"/>
        <w:rPr>
          <w:rFonts w:hint="default" w:cs="Times New Roman"/>
          <w:b/>
          <w:bCs/>
          <w:color w:val="auto"/>
          <w:kern w:val="2"/>
          <w:sz w:val="28"/>
          <w:szCs w:val="22"/>
          <w:highlight w:val="none"/>
          <w:lang w:val="en-US" w:eastAsia="zh-CN" w:bidi="ar-SA"/>
        </w:rPr>
      </w:pPr>
      <w:r>
        <w:rPr>
          <w:rFonts w:hint="eastAsia" w:cs="Times New Roman"/>
          <w:b/>
          <w:bCs/>
          <w:color w:val="auto"/>
          <w:kern w:val="2"/>
          <w:sz w:val="28"/>
          <w:szCs w:val="22"/>
          <w:highlight w:val="none"/>
          <w:lang w:val="en-US" w:eastAsia="zh-CN" w:bidi="ar-SA"/>
        </w:rPr>
        <w:t>（3）项目实施情况</w:t>
      </w:r>
    </w:p>
    <w:p>
      <w:pPr>
        <w:spacing w:line="360" w:lineRule="auto"/>
        <w:ind w:firstLine="560"/>
        <w:rPr>
          <w:rFonts w:hint="default"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lang w:val="en-US" w:eastAsia="zh-CN"/>
        </w:rPr>
        <w:t>2023年当年完成情况：乌财科教【2021】96号关于提前下达2022年城乡义务教育项目直达资金校舍安全保障机制经费</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lang w:val="en-US" w:eastAsia="zh-CN"/>
        </w:rPr>
        <w:t xml:space="preserve"> 该项目计划施工日期2022年7月14日-2022年8月20日，2022年共安排预算400万元，资金及时到位，因疫情原因，项目没有完工，工程进度已达50%，已支付资金197.27万元。2023年全年预算数202.73万，于2023年8月21日完成竣工验收，该工程已完成合同约定内容，经验收，该工程符合设计文件及施工规范规定，该工程已达到统一验收标准规范的合格要求。</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5" w:name="_Toc165277223"/>
      <w:r>
        <w:rPr>
          <w:rFonts w:hint="default" w:ascii="Times New Roman" w:hAnsi="Times New Roman" w:cs="Times New Roman"/>
          <w:color w:val="auto"/>
          <w:highlight w:val="none"/>
        </w:rPr>
        <w:t>2.资金投入和使用情况</w:t>
      </w:r>
      <w:bookmarkEnd w:id="5"/>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该项目资金投入情况：</w:t>
      </w:r>
      <w:r>
        <w:rPr>
          <w:rFonts w:hint="eastAsia" w:ascii="Times New Roman" w:hAnsi="Times New Roman" w:cs="Times New Roman"/>
          <w:color w:val="auto"/>
          <w:highlight w:val="none"/>
          <w:lang w:val="en-US" w:eastAsia="zh-CN"/>
        </w:rPr>
        <w:t>乌</w:t>
      </w:r>
      <w:r>
        <w:rPr>
          <w:rFonts w:hint="default" w:ascii="Times New Roman" w:hAnsi="Times New Roman" w:cs="Times New Roman"/>
          <w:color w:val="auto"/>
          <w:szCs w:val="28"/>
          <w:highlight w:val="none"/>
          <w:lang w:val="en-US" w:eastAsia="zh-CN"/>
        </w:rPr>
        <w:t>财科教【2021】96号关</w:t>
      </w:r>
      <w:r>
        <w:rPr>
          <w:rFonts w:hint="default" w:ascii="Times New Roman" w:hAnsi="Times New Roman" w:cs="Times New Roman"/>
          <w:color w:val="auto"/>
          <w:highlight w:val="none"/>
        </w:rPr>
        <w:t>文件批准，</w:t>
      </w:r>
      <w:r>
        <w:rPr>
          <w:rFonts w:hint="eastAsia" w:ascii="Times New Roman" w:hAnsi="Times New Roman" w:cs="Times New Roman"/>
          <w:color w:val="auto"/>
          <w:szCs w:val="28"/>
          <w:highlight w:val="none"/>
          <w:lang w:val="en-US" w:eastAsia="zh-CN"/>
        </w:rPr>
        <w:t>上年结转资金202.72万元，实际到位资金202.72万元，预算资金执行数136万元。</w:t>
      </w:r>
    </w:p>
    <w:p>
      <w:pPr>
        <w:spacing w:line="360" w:lineRule="auto"/>
        <w:ind w:firstLine="560"/>
        <w:rPr>
          <w:rFonts w:hint="eastAsia" w:ascii="Times New Roman" w:hAnsi="Times New Roman" w:eastAsia="仿宋_GB2312" w:cs="Times New Roman"/>
          <w:bCs/>
          <w:szCs w:val="28"/>
          <w:highlight w:val="none"/>
          <w:lang w:val="en-US" w:eastAsia="zh-CN"/>
        </w:rPr>
      </w:pPr>
      <w:r>
        <w:rPr>
          <w:rFonts w:hint="default" w:ascii="Times New Roman" w:hAnsi="Times New Roman" w:cs="Times New Roman"/>
          <w:color w:val="auto"/>
          <w:highlight w:val="none"/>
        </w:rPr>
        <w:t>该项目资金使用情况：经</w:t>
      </w:r>
      <w:r>
        <w:rPr>
          <w:rFonts w:hint="eastAsia" w:ascii="Times New Roman" w:hAnsi="Times New Roman" w:cs="Times New Roman"/>
          <w:color w:val="auto"/>
          <w:highlight w:val="none"/>
          <w:lang w:val="en-US" w:eastAsia="zh-CN"/>
        </w:rPr>
        <w:t>乌</w:t>
      </w:r>
      <w:r>
        <w:rPr>
          <w:rFonts w:hint="default" w:ascii="Times New Roman" w:hAnsi="Times New Roman" w:cs="Times New Roman"/>
          <w:color w:val="auto"/>
          <w:szCs w:val="28"/>
          <w:highlight w:val="none"/>
          <w:lang w:val="en-US" w:eastAsia="zh-CN"/>
        </w:rPr>
        <w:t>财科教【2021】96号关</w:t>
      </w:r>
      <w:r>
        <w:rPr>
          <w:rFonts w:hint="default" w:ascii="Times New Roman" w:hAnsi="Times New Roman" w:cs="Times New Roman"/>
          <w:color w:val="auto"/>
          <w:highlight w:val="none"/>
        </w:rPr>
        <w:t>文件批准，</w:t>
      </w:r>
      <w:r>
        <w:rPr>
          <w:rFonts w:hint="eastAsia" w:ascii="Times New Roman" w:hAnsi="Times New Roman" w:cs="Times New Roman"/>
          <w:color w:val="auto"/>
          <w:szCs w:val="28"/>
          <w:highlight w:val="none"/>
          <w:lang w:val="en-US" w:eastAsia="zh-CN"/>
        </w:rPr>
        <w:t>主要适用于</w:t>
      </w:r>
      <w:r>
        <w:rPr>
          <w:rFonts w:hint="default" w:ascii="Times New Roman" w:hAnsi="Times New Roman" w:cs="Times New Roman"/>
          <w:bCs/>
          <w:szCs w:val="28"/>
          <w:highlight w:val="none"/>
        </w:rPr>
        <w:t>新建500立方米消防水池及外网工程：室外电缆电线200米、配电柜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r>
        <w:rPr>
          <w:rFonts w:hint="eastAsia" w:ascii="Times New Roman" w:hAnsi="Times New Roman" w:cs="Times New Roman"/>
          <w:bCs/>
          <w:szCs w:val="28"/>
          <w:highlight w:val="none"/>
          <w:lang w:eastAsia="zh-CN"/>
        </w:rPr>
        <w:t>。</w:t>
      </w:r>
      <w:r>
        <w:rPr>
          <w:rFonts w:hint="default" w:ascii="Times New Roman" w:hAnsi="Times New Roman" w:cs="Times New Roman"/>
          <w:color w:val="auto"/>
          <w:szCs w:val="28"/>
          <w:highlight w:val="none"/>
          <w:lang w:val="en-US" w:eastAsia="zh-CN"/>
        </w:rPr>
        <w:t>该工程已完成合同约定内容，经验收，该工程符合设计文件及施工规范规定，该工程已达到统一验收标准规范的合格要求。</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 w:cs="Times New Roman"/>
          <w:color w:val="auto"/>
          <w:highlight w:val="none"/>
          <w:lang w:bidi="en-US"/>
        </w:rPr>
      </w:pPr>
      <w:bookmarkStart w:id="6" w:name="_Toc165277224"/>
      <w:bookmarkStart w:id="7" w:name="_Toc67911603"/>
      <w:r>
        <w:rPr>
          <w:rFonts w:hint="default" w:ascii="Times New Roman" w:hAnsi="Times New Roman" w:eastAsia="仿宋" w:cs="Times New Roman"/>
          <w:color w:val="auto"/>
          <w:highlight w:val="none"/>
          <w:lang w:bidi="en-US"/>
        </w:rPr>
        <w:t>（二）项目绩效目标：</w:t>
      </w:r>
      <w:bookmarkEnd w:id="6"/>
      <w:bookmarkEnd w:id="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color w:val="auto"/>
          <w:szCs w:val="28"/>
          <w:highlight w:val="none"/>
        </w:rPr>
        <w:t>〔2018〕56号</w:t>
      </w:r>
      <w:bookmarkEnd w:id="8"/>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rPr>
        <w:t>该项目</w:t>
      </w:r>
      <w:r>
        <w:rPr>
          <w:rFonts w:hint="eastAsia" w:ascii="Times New Roman" w:hAnsi="Times New Roman" w:cs="Times New Roman"/>
          <w:color w:val="auto"/>
          <w:szCs w:val="28"/>
          <w:highlight w:val="none"/>
          <w:lang w:val="en-US" w:eastAsia="zh-CN"/>
        </w:rPr>
        <w:t>跨年</w:t>
      </w:r>
      <w:r>
        <w:rPr>
          <w:rFonts w:hint="default" w:ascii="Times New Roman" w:hAnsi="Times New Roman" w:cs="Times New Roman"/>
          <w:color w:val="auto"/>
          <w:szCs w:val="28"/>
          <w:highlight w:val="none"/>
        </w:rPr>
        <w:t>项目</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该项目总体绩效目标</w:t>
      </w:r>
      <w:r>
        <w:rPr>
          <w:rFonts w:hint="eastAsia" w:ascii="Times New Roman" w:hAnsi="Times New Roman" w:cs="Times New Roman"/>
          <w:color w:val="auto"/>
          <w:szCs w:val="28"/>
          <w:highlight w:val="none"/>
          <w:lang w:val="en-US" w:eastAsia="zh-CN"/>
        </w:rPr>
        <w:t>是</w:t>
      </w:r>
      <w:r>
        <w:rPr>
          <w:rFonts w:hint="default" w:ascii="Times New Roman" w:hAnsi="Times New Roman" w:cs="Times New Roman"/>
          <w:color w:val="auto"/>
          <w:szCs w:val="28"/>
          <w:highlight w:val="none"/>
        </w:rPr>
        <w:t>灯草沟中学改扩建500立方米消防水池及附属设施，彻底解决灯草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r>
        <w:rPr>
          <w:rFonts w:hint="eastAsia" w:ascii="Times New Roman" w:hAnsi="Times New Roman" w:cs="Times New Roman"/>
          <w:color w:val="auto"/>
          <w:szCs w:val="28"/>
          <w:highlight w:val="none"/>
          <w:lang w:val="en-US" w:eastAsia="zh-CN"/>
        </w:rPr>
        <w:t>.</w:t>
      </w:r>
    </w:p>
    <w:p>
      <w:pPr>
        <w:spacing w:line="360" w:lineRule="auto"/>
        <w:ind w:firstLine="560"/>
        <w:rPr>
          <w:rFonts w:hint="default"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rPr>
        <w:t>该项目阶段性目标为</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灯草沟中学改扩建500立方米消防水池及附属设施，彻底解决灯草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保障</w:t>
      </w:r>
      <w:r>
        <w:rPr>
          <w:rFonts w:hint="eastAsia" w:ascii="Times New Roman" w:hAnsi="Times New Roman" w:cs="Times New Roman"/>
          <w:color w:val="auto"/>
          <w:szCs w:val="28"/>
          <w:highlight w:val="none"/>
          <w:lang w:eastAsia="zh-CN"/>
        </w:rPr>
        <w:t>竣工验收合格率</w:t>
      </w:r>
      <w:r>
        <w:rPr>
          <w:rFonts w:hint="eastAsia" w:ascii="Times New Roman" w:hAnsi="Times New Roman" w:cs="Times New Roman"/>
          <w:color w:val="auto"/>
          <w:szCs w:val="28"/>
          <w:highlight w:val="none"/>
          <w:lang w:val="en-US" w:eastAsia="zh-CN"/>
        </w:rPr>
        <w:t>不低于98%，新建消防水池及外网工程容积不低于500立方。</w:t>
      </w:r>
    </w:p>
    <w:p>
      <w:pPr>
        <w:spacing w:line="360" w:lineRule="auto"/>
        <w:ind w:firstLine="560"/>
        <w:rPr>
          <w:rFonts w:hint="default" w:ascii="Times New Roman" w:hAnsi="Times New Roman" w:cs="Times New Roman"/>
          <w:color w:val="auto"/>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bookmarkStart w:id="9" w:name="_Toc67911604"/>
      <w:bookmarkStart w:id="10" w:name="_Toc165277225"/>
      <w:r>
        <w:rPr>
          <w:rFonts w:hint="default" w:ascii="Times New Roman" w:hAnsi="Times New Roman" w:eastAsia="仿宋" w:cs="Times New Roman"/>
          <w:color w:val="auto"/>
          <w:sz w:val="36"/>
          <w:szCs w:val="36"/>
          <w:highlight w:val="none"/>
          <w:lang w:bidi="en-US"/>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11" w:name="_Toc165277226"/>
      <w:bookmarkStart w:id="12" w:name="_Toc67911605"/>
      <w:r>
        <w:rPr>
          <w:rFonts w:hint="default" w:ascii="Times New Roman" w:hAnsi="Times New Roman" w:eastAsia="仿宋" w:cs="Times New Roman"/>
          <w:color w:val="auto"/>
          <w:highlight w:val="none"/>
          <w:lang w:bidi="en-US"/>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13" w:name="_Toc165277227"/>
      <w:r>
        <w:rPr>
          <w:rFonts w:hint="default" w:ascii="Times New Roman" w:hAnsi="Times New Roman" w:cs="Times New Roman"/>
          <w:color w:val="auto"/>
          <w:highlight w:val="none"/>
        </w:rPr>
        <w:t>1.绩效评价完整性</w:t>
      </w:r>
      <w:bookmarkEnd w:id="13"/>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szCs w:val="28"/>
        </w:rPr>
        <w:t>本项目的绩效目标按照产出、效益和满意度构建绩效评价指标，</w:t>
      </w:r>
      <w:r>
        <w:rPr>
          <w:rFonts w:hint="default" w:ascii="Times New Roman" w:hAnsi="Times New Roman" w:cs="Times New Roman"/>
          <w:szCs w:val="28"/>
          <w:lang w:val="en-US" w:eastAsia="zh-CN"/>
        </w:rPr>
        <w:t>数量指标：“</w:t>
      </w:r>
      <w:r>
        <w:rPr>
          <w:rFonts w:hint="default" w:ascii="Times New Roman" w:hAnsi="Times New Roman" w:cs="Times New Roman"/>
          <w:szCs w:val="28"/>
        </w:rPr>
        <w:t>建设（改造、修缮）工程数量&gt;=1个</w:t>
      </w:r>
      <w:r>
        <w:rPr>
          <w:rFonts w:hint="default" w:ascii="Times New Roman" w:hAnsi="Times New Roman" w:cs="Times New Roman"/>
          <w:szCs w:val="28"/>
          <w:lang w:val="en-US" w:eastAsia="zh-CN"/>
        </w:rPr>
        <w:t>”、“新建消防水池及外网工程容积&gt;=500立方”、“搭建室外电缆电线长度&gt;=200米”；质量指标：“竣工验收合格率&gt;=98%”；时效指标：“</w:t>
      </w:r>
      <w:r>
        <w:rPr>
          <w:rFonts w:hint="eastAsia" w:ascii="Times New Roman" w:hAnsi="Times New Roman" w:cs="Times New Roman"/>
          <w:szCs w:val="28"/>
          <w:lang w:val="en-US" w:eastAsia="zh-CN"/>
        </w:rPr>
        <w:t>资金支付及时率</w:t>
      </w:r>
      <w:r>
        <w:rPr>
          <w:rFonts w:hint="default" w:ascii="Times New Roman" w:hAnsi="Times New Roman" w:cs="Times New Roman"/>
          <w:szCs w:val="28"/>
          <w:lang w:val="en-US" w:eastAsia="zh-CN"/>
        </w:rPr>
        <w:t>&gt;=95%”；成本指标：“项目经费控制率&lt;=3%”“维修维护费&lt;=202.72万”</w:t>
      </w:r>
      <w:r>
        <w:rPr>
          <w:rFonts w:hint="eastAsia" w:ascii="Times New Roman" w:hAnsi="Times New Roman" w:cs="Times New Roman"/>
          <w:szCs w:val="28"/>
          <w:lang w:val="en-US" w:eastAsia="zh-CN"/>
        </w:rPr>
        <w:t>，该项目的</w:t>
      </w:r>
      <w:r>
        <w:rPr>
          <w:rFonts w:hint="default" w:ascii="Times New Roman" w:hAnsi="Times New Roman" w:cs="Times New Roman"/>
          <w:szCs w:val="28"/>
        </w:rPr>
        <w:t>目标、范围和要求能够通过绩效评价指标体系完整地体现。</w:t>
      </w:r>
    </w:p>
    <w:p>
      <w:pPr>
        <w:spacing w:line="360" w:lineRule="auto"/>
        <w:ind w:firstLine="560"/>
        <w:rPr>
          <w:rFonts w:hint="default"/>
          <w:lang w:val="en-US" w:eastAsia="zh-CN"/>
        </w:rPr>
      </w:pPr>
      <w:r>
        <w:rPr>
          <w:rFonts w:hint="default"/>
          <w:lang w:val="en-US" w:eastAsia="zh-CN"/>
        </w:rPr>
        <w:t>为保障该项目的顺利实施，我单位进行了明确分工，</w:t>
      </w:r>
      <w:r>
        <w:rPr>
          <w:rFonts w:hint="eastAsia"/>
          <w:lang w:val="en-US" w:eastAsia="zh-CN"/>
        </w:rPr>
        <w:t>该项目于支委会上讨论，讨论后向县教育局、县财政局、县政府等审核，</w:t>
      </w:r>
      <w:r>
        <w:rPr>
          <w:rFonts w:hint="default"/>
          <w:lang w:val="en-US" w:eastAsia="zh-CN"/>
        </w:rPr>
        <w:t>全程根据本单位实际情况，对经费使用的合理合规进行审核，对资金的使用、完成情况、使用效果进行监督检查。并严格按照财务管理制度使用经费，保证项目实际支出与项目计划投入资金的用途相符，资金的拨付有完整的审批程序和手续，符合项目调剂资金或合同规定的用途，由财负责按照财政局要求履行相关审批手续及资金支付流程。</w:t>
      </w:r>
    </w:p>
    <w:p>
      <w:pPr>
        <w:spacing w:line="360" w:lineRule="auto"/>
        <w:ind w:firstLine="560"/>
        <w:rPr>
          <w:rFonts w:hint="default" w:ascii="Times New Roman" w:hAnsi="Times New Roman" w:cs="Times New Roman"/>
          <w:color w:val="auto"/>
          <w:szCs w:val="28"/>
          <w:highlight w:val="none"/>
        </w:rPr>
      </w:pPr>
      <w:r>
        <w:rPr>
          <w:rFonts w:hint="eastAsia"/>
          <w:lang w:val="en-US" w:eastAsia="zh-CN"/>
        </w:rPr>
        <w:t>评价的数据主要来源于：资金支付申请表、发票、工程进度结算审核表、合同，</w:t>
      </w:r>
      <w:r>
        <w:rPr>
          <w:rFonts w:hint="default" w:ascii="Times New Roman" w:hAnsi="Times New Roman" w:cs="Times New Roman"/>
          <w:szCs w:val="28"/>
        </w:rPr>
        <w:t>数据准确</w:t>
      </w:r>
      <w:r>
        <w:rPr>
          <w:rFonts w:hint="eastAsia" w:ascii="Times New Roman" w:hAnsi="Times New Roman" w:cs="Times New Roman"/>
          <w:szCs w:val="28"/>
          <w:lang w:eastAsia="zh-CN"/>
        </w:rPr>
        <w:t>、</w:t>
      </w:r>
      <w:r>
        <w:rPr>
          <w:rFonts w:hint="default" w:ascii="Times New Roman" w:hAnsi="Times New Roman" w:cs="Times New Roman"/>
          <w:szCs w:val="28"/>
        </w:rPr>
        <w:t>完整</w:t>
      </w:r>
      <w:r>
        <w:rPr>
          <w:rFonts w:hint="eastAsia" w:ascii="Times New Roman" w:hAnsi="Times New Roman" w:cs="Times New Roman"/>
          <w:szCs w:val="28"/>
          <w:lang w:val="en-US" w:eastAsia="zh-CN"/>
        </w:rPr>
        <w:t>地</w:t>
      </w:r>
      <w:r>
        <w:rPr>
          <w:rFonts w:hint="default" w:ascii="Times New Roman" w:hAnsi="Times New Roman" w:cs="Times New Roman"/>
          <w:szCs w:val="28"/>
          <w:lang w:val="zh-CN"/>
        </w:rPr>
        <w:t>反映</w:t>
      </w:r>
      <w:r>
        <w:rPr>
          <w:rFonts w:hint="eastAsia" w:ascii="Times New Roman" w:hAnsi="Times New Roman" w:cs="Times New Roman"/>
          <w:szCs w:val="28"/>
          <w:lang w:val="zh-CN"/>
        </w:rPr>
        <w:t>了</w:t>
      </w:r>
      <w:r>
        <w:rPr>
          <w:rFonts w:hint="default" w:ascii="Times New Roman" w:hAnsi="Times New Roman" w:cs="Times New Roman"/>
          <w:szCs w:val="28"/>
          <w:lang w:val="zh-CN"/>
        </w:rPr>
        <w:t>项目绩效</w:t>
      </w:r>
      <w:r>
        <w:rPr>
          <w:rFonts w:hint="eastAsia" w:ascii="Times New Roman" w:hAnsi="Times New Roman" w:cs="Times New Roman"/>
          <w:szCs w:val="28"/>
          <w:lang w:val="zh-CN"/>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14" w:name="_Toc165277228"/>
      <w:r>
        <w:rPr>
          <w:rFonts w:hint="default" w:ascii="Times New Roman" w:hAnsi="Times New Roman" w:eastAsia="仿宋" w:cs="Times New Roman"/>
          <w:color w:val="auto"/>
          <w:highlight w:val="none"/>
          <w:lang w:bidi="en-US"/>
        </w:rPr>
        <w:t>2.评价目的</w:t>
      </w:r>
      <w:bookmarkEnd w:id="14"/>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15" w:name="_Toc165277229"/>
      <w:r>
        <w:rPr>
          <w:rFonts w:hint="default" w:ascii="Times New Roman" w:hAnsi="Times New Roman" w:eastAsia="仿宋" w:cs="Times New Roman"/>
          <w:color w:val="auto"/>
          <w:highlight w:val="none"/>
          <w:lang w:bidi="en-US"/>
        </w:rPr>
        <w:t>3.评价对象</w:t>
      </w:r>
      <w:bookmarkEnd w:id="15"/>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lang w:val="en-US" w:eastAsia="zh-CN"/>
        </w:rPr>
        <w:t>乌鲁木齐县青少年校外活动中心运行经费</w:t>
      </w:r>
      <w:r>
        <w:rPr>
          <w:rFonts w:hint="default" w:ascii="Times New Roman" w:hAnsi="Times New Roman" w:cs="Times New Roman"/>
          <w:color w:val="auto"/>
          <w:highlight w:val="none"/>
        </w:rPr>
        <w:t xml:space="preserve">项目 </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16" w:name="_Toc165277230"/>
      <w:r>
        <w:rPr>
          <w:rFonts w:hint="default" w:ascii="Times New Roman" w:hAnsi="Times New Roman" w:eastAsia="仿宋" w:cs="Times New Roman"/>
          <w:color w:val="auto"/>
          <w:highlight w:val="none"/>
          <w:lang w:bidi="en-US"/>
        </w:rPr>
        <w:t>4.绩效评价范围</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1.时间范围：2023年1月1日至2023年12月31日。</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2.项目范围：乌财科教【2021】96号关于提前下达2022年城乡义务教育项目直达资金校舍安全保障机制经费的</w:t>
      </w:r>
      <w:r>
        <w:rPr>
          <w:rFonts w:hint="default" w:ascii="Times New Roman" w:hAnsi="Times New Roman" w:cs="Times New Roman"/>
          <w:color w:val="auto"/>
          <w:szCs w:val="28"/>
        </w:rPr>
        <w:t>实施保证我校消防设施系统正常运行，使消防设施维保工作系统化，规范化、使整个消防系统良好运转，从而提高防御火灾的能力，确保学校的财产安全及师生的人身安全。</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17" w:name="_Toc67911606"/>
      <w:bookmarkStart w:id="18" w:name="_Toc165277231"/>
      <w:bookmarkStart w:id="19" w:name="_Hlk67586765"/>
      <w:r>
        <w:rPr>
          <w:rFonts w:hint="default" w:ascii="Times New Roman" w:hAnsi="Times New Roman" w:eastAsia="仿宋" w:cs="Times New Roman"/>
          <w:color w:val="auto"/>
          <w:highlight w:val="none"/>
          <w:lang w:bidi="en-US"/>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20" w:name="_Toc165277232"/>
      <w:r>
        <w:rPr>
          <w:rFonts w:hint="default" w:ascii="Times New Roman" w:hAnsi="Times New Roman" w:cs="Times New Roman"/>
          <w:color w:val="auto"/>
          <w:highlight w:val="none"/>
        </w:rPr>
        <w:t>1.评价原则</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（四）公开透明。绩效评价结果应依法依规公开，并自觉接受社会监督。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21" w:name="_Toc165277233"/>
      <w:r>
        <w:rPr>
          <w:rFonts w:hint="default" w:ascii="Times New Roman" w:hAnsi="Times New Roman" w:eastAsia="仿宋" w:cs="Times New Roman"/>
          <w:color w:val="auto"/>
          <w:highlight w:val="none"/>
          <w:lang w:bidi="en-US"/>
        </w:rPr>
        <w:t>2.评价指标体系</w:t>
      </w:r>
      <w:bookmarkEnd w:id="21"/>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本项目的评价指标体系建立如下表所示。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25"/>
        <w:gridCol w:w="2575"/>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62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57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57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57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57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57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57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625"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建设（改造、修缮）工程数量</w:t>
            </w:r>
          </w:p>
        </w:tc>
        <w:tc>
          <w:tcPr>
            <w:tcW w:w="2575"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625"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新建消防水池及外网工程容积</w:t>
            </w:r>
          </w:p>
        </w:tc>
        <w:tc>
          <w:tcPr>
            <w:tcW w:w="2575"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625"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搭建室外电缆电线长度</w:t>
            </w:r>
          </w:p>
        </w:tc>
        <w:tc>
          <w:tcPr>
            <w:tcW w:w="2575"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竣工验收合格率（%）</w:t>
            </w:r>
          </w:p>
        </w:tc>
        <w:tc>
          <w:tcPr>
            <w:tcW w:w="257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85"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w:t>
            </w:r>
            <w:r>
              <w:rPr>
                <w:rFonts w:hint="eastAsia" w:ascii="Times New Roman" w:hAnsi="Times New Roman" w:eastAsia="宋体" w:cs="Times New Roman"/>
                <w:color w:val="auto"/>
                <w:kern w:val="0"/>
                <w:sz w:val="22"/>
                <w:highlight w:val="none"/>
                <w:lang w:val="en-US" w:eastAsia="zh-CN"/>
              </w:rPr>
              <w:t>支付</w:t>
            </w:r>
            <w:r>
              <w:rPr>
                <w:rFonts w:hint="default" w:ascii="Times New Roman" w:hAnsi="Times New Roman" w:eastAsia="宋体" w:cs="Times New Roman"/>
                <w:color w:val="auto"/>
                <w:kern w:val="0"/>
                <w:sz w:val="22"/>
                <w:highlight w:val="none"/>
              </w:rPr>
              <w:t>及时率</w:t>
            </w:r>
          </w:p>
        </w:tc>
        <w:tc>
          <w:tcPr>
            <w:tcW w:w="2575"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625" w:type="dxa"/>
            <w:tcBorders>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项目成本控制率</w:t>
            </w:r>
          </w:p>
        </w:tc>
        <w:tc>
          <w:tcPr>
            <w:tcW w:w="2575"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625" w:type="dxa"/>
            <w:tcBorders>
              <w:top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维修维护费</w:t>
            </w:r>
          </w:p>
        </w:tc>
        <w:tc>
          <w:tcPr>
            <w:tcW w:w="2575"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rPr>
              <w:t>为师生提供良好安全的学习工作环境</w:t>
            </w:r>
          </w:p>
        </w:tc>
        <w:tc>
          <w:tcPr>
            <w:tcW w:w="2575"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生态效益</w:t>
            </w:r>
          </w:p>
        </w:tc>
        <w:tc>
          <w:tcPr>
            <w:tcW w:w="162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培养学生特长</w:t>
            </w:r>
          </w:p>
        </w:tc>
        <w:tc>
          <w:tcPr>
            <w:tcW w:w="2575"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22" w:name="_Toc165277234"/>
      <w:bookmarkStart w:id="23" w:name="_Hlk67586038"/>
      <w:r>
        <w:rPr>
          <w:rFonts w:hint="default" w:ascii="Times New Roman" w:hAnsi="Times New Roman" w:cs="Times New Roman"/>
          <w:color w:val="auto"/>
          <w:highlight w:val="none"/>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480" w:lineRule="auto"/>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根据本项目（</w:t>
      </w:r>
      <w:r>
        <w:rPr>
          <w:rFonts w:hint="default" w:ascii="Times New Roman" w:hAnsi="Times New Roman" w:cs="Times New Roman"/>
          <w:kern w:val="0"/>
          <w:sz w:val="32"/>
          <w:szCs w:val="32"/>
          <w:lang w:bidi="en-US"/>
        </w:rPr>
        <w:t>乌</w:t>
      </w:r>
      <w:r>
        <w:rPr>
          <w:rFonts w:hint="default" w:ascii="Times New Roman" w:hAnsi="Times New Roman" w:cs="Times New Roman"/>
          <w:color w:val="auto"/>
          <w:highlight w:val="none"/>
        </w:rPr>
        <w:t>财科教【2021】96号关于提前下达2022年城乡义务教育项目直达资金校舍安全保障机制经费 ）的特点，本次评价主要采用</w:t>
      </w:r>
      <w:r>
        <w:rPr>
          <w:rFonts w:hint="eastAsia"/>
          <w:color w:val="auto"/>
          <w:highlight w:val="none"/>
          <w:lang w:val="en-US" w:eastAsia="zh-CN"/>
        </w:rPr>
        <w:t>比较法</w:t>
      </w:r>
      <w:r>
        <w:rPr>
          <w:rFonts w:hint="default" w:ascii="Times New Roman" w:hAnsi="Times New Roman" w:cs="Times New Roman"/>
          <w:color w:val="auto"/>
          <w:highlight w:val="none"/>
        </w:rPr>
        <w:t>，本次评价主要采用比较法，</w:t>
      </w:r>
      <w:r>
        <w:rPr>
          <w:rFonts w:hint="eastAsia" w:ascii="Times New Roman" w:hAnsi="Times New Roman" w:cs="Times New Roman"/>
          <w:color w:val="auto"/>
          <w:highlight w:val="none"/>
          <w:lang w:val="en-US" w:eastAsia="zh-CN"/>
        </w:rPr>
        <w:t>2022年该项目预算400万元，同比减少197.28万元；执行136万元，同比减少61.27万元。项目的实施达到预期效果</w:t>
      </w:r>
      <w:r>
        <w:rPr>
          <w:rFonts w:hint="default" w:ascii="Times New Roman" w:hAnsi="Times New Roman" w:cs="Times New Roman"/>
          <w:color w:val="auto"/>
          <w:highlight w:val="none"/>
        </w:rPr>
        <w:t>。</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24" w:name="_Toc165277235"/>
      <w:r>
        <w:rPr>
          <w:rFonts w:hint="default" w:ascii="Times New Roman" w:hAnsi="Times New Roman" w:cs="Times New Roman"/>
          <w:color w:val="auto"/>
          <w:highlight w:val="none"/>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spacing w:line="560" w:lineRule="exact"/>
        <w:ind w:firstLine="560" w:firstLineChars="200"/>
        <w:rPr>
          <w:rFonts w:hint="eastAsia" w:ascii="Times New Roman" w:hAnsi="Times New Roman" w:eastAsia="仿宋_GB2312"/>
          <w:color w:val="auto"/>
          <w:szCs w:val="32"/>
          <w:highlight w:val="none"/>
          <w:lang w:eastAsia="zh-CN"/>
        </w:rPr>
      </w:pPr>
      <w:r>
        <w:rPr>
          <w:rFonts w:hint="default" w:ascii="Times New Roman" w:hAnsi="Times New Roman" w:eastAsia="黑体" w:cs="Times New Roman"/>
          <w:color w:val="auto"/>
          <w:szCs w:val="28"/>
          <w:highlight w:val="none"/>
        </w:rPr>
        <w:t>·</w:t>
      </w:r>
      <w:r>
        <w:rPr>
          <w:rFonts w:hint="eastAsia" w:ascii="Times New Roman" w:hAnsi="Times New Roman"/>
          <w:color w:val="auto"/>
          <w:szCs w:val="32"/>
          <w:highlight w:val="none"/>
          <w:lang w:eastAsia="zh-CN"/>
        </w:rPr>
        <w:t>《</w:t>
      </w:r>
      <w:r>
        <w:rPr>
          <w:rFonts w:ascii="Times New Roman" w:hAnsi="Times New Roman"/>
          <w:color w:val="auto"/>
          <w:szCs w:val="32"/>
          <w:highlight w:val="none"/>
        </w:rPr>
        <w:t>自治区党委 自治区人民政府关于全面实施预算绩效管理的实施意见（新党发〔2018〕30号）</w:t>
      </w:r>
      <w:r>
        <w:rPr>
          <w:rFonts w:hint="eastAsia" w:ascii="Times New Roman" w:hAnsi="Times New Roman"/>
          <w:color w:val="auto"/>
          <w:szCs w:val="32"/>
          <w:highlight w:val="none"/>
          <w:lang w:eastAsia="zh-CN"/>
        </w:rPr>
        <w:t>》</w:t>
      </w:r>
    </w:p>
    <w:p>
      <w:pPr>
        <w:spacing w:line="560" w:lineRule="exact"/>
        <w:ind w:firstLine="560" w:firstLineChars="200"/>
        <w:rPr>
          <w:rFonts w:hint="eastAsia" w:ascii="Times New Roman" w:hAnsi="Times New Roman" w:eastAsia="仿宋_GB2312"/>
          <w:color w:val="auto"/>
          <w:szCs w:val="32"/>
          <w:highlight w:val="none"/>
          <w:lang w:eastAsia="zh-CN"/>
        </w:rPr>
      </w:pPr>
      <w:r>
        <w:rPr>
          <w:rFonts w:hint="default" w:ascii="Times New Roman" w:hAnsi="Times New Roman" w:eastAsia="黑体" w:cs="Times New Roman"/>
          <w:color w:val="auto"/>
          <w:szCs w:val="28"/>
          <w:highlight w:val="none"/>
        </w:rPr>
        <w:t>·</w:t>
      </w:r>
      <w:r>
        <w:rPr>
          <w:rFonts w:hint="eastAsia" w:ascii="Times New Roman" w:hAnsi="Times New Roman"/>
          <w:color w:val="auto"/>
          <w:szCs w:val="32"/>
          <w:highlight w:val="none"/>
          <w:lang w:eastAsia="zh-CN"/>
        </w:rPr>
        <w:t>《</w:t>
      </w:r>
      <w:r>
        <w:rPr>
          <w:rFonts w:ascii="Times New Roman" w:hAnsi="Times New Roman"/>
          <w:color w:val="auto"/>
          <w:szCs w:val="32"/>
          <w:highlight w:val="none"/>
        </w:rPr>
        <w:t>关于印发《自治区本级部门预算绩效目标管理暂行办法》的通知（新财预〔2018〕21号）；</w:t>
      </w:r>
      <w:r>
        <w:rPr>
          <w:rFonts w:hint="eastAsia" w:ascii="Times New Roman" w:hAnsi="Times New Roman"/>
          <w:color w:val="auto"/>
          <w:szCs w:val="32"/>
          <w:highlight w:val="none"/>
          <w:lang w:eastAsia="zh-CN"/>
        </w:rPr>
        <w:t>》</w:t>
      </w:r>
    </w:p>
    <w:p>
      <w:pPr>
        <w:spacing w:line="560" w:lineRule="exact"/>
        <w:ind w:firstLine="560" w:firstLineChars="200"/>
        <w:rPr>
          <w:rFonts w:hint="eastAsia" w:ascii="Times New Roman" w:hAnsi="Times New Roman" w:eastAsia="仿宋_GB2312"/>
          <w:color w:val="auto"/>
          <w:szCs w:val="32"/>
          <w:highlight w:val="none"/>
          <w:lang w:eastAsia="zh-CN"/>
        </w:rPr>
      </w:pPr>
      <w:r>
        <w:rPr>
          <w:rFonts w:hint="default" w:ascii="Times New Roman" w:hAnsi="Times New Roman" w:eastAsia="黑体" w:cs="Times New Roman"/>
          <w:color w:val="auto"/>
          <w:szCs w:val="28"/>
          <w:highlight w:val="none"/>
        </w:rPr>
        <w:t>·</w:t>
      </w:r>
      <w:r>
        <w:rPr>
          <w:rFonts w:hint="eastAsia" w:ascii="Times New Roman" w:hAnsi="Times New Roman"/>
          <w:color w:val="auto"/>
          <w:szCs w:val="32"/>
          <w:highlight w:val="none"/>
          <w:lang w:eastAsia="zh-CN"/>
        </w:rPr>
        <w:t>《</w:t>
      </w:r>
      <w:r>
        <w:rPr>
          <w:rFonts w:ascii="Times New Roman" w:hAnsi="Times New Roman"/>
          <w:color w:val="auto"/>
          <w:szCs w:val="32"/>
          <w:highlight w:val="none"/>
        </w:rPr>
        <w:t>关于印发《乌鲁木县全面实施预算绩效管理的工作方案》的通知（县财发〔2018〕65号）</w:t>
      </w:r>
      <w:r>
        <w:rPr>
          <w:rFonts w:hint="eastAsia" w:ascii="Times New Roman" w:hAnsi="Times New Roman"/>
          <w:color w:val="auto"/>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25" w:name="_Toc67911607"/>
      <w:bookmarkStart w:id="26" w:name="_Toc165277236"/>
      <w:r>
        <w:rPr>
          <w:rFonts w:hint="default" w:ascii="Times New Roman" w:hAnsi="Times New Roman" w:eastAsia="仿宋" w:cs="Times New Roman"/>
          <w:color w:val="auto"/>
          <w:highlight w:val="none"/>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w:t>
      </w:r>
      <w:r>
        <w:rPr>
          <w:rFonts w:hint="eastAsia"/>
          <w:lang w:val="en-US" w:eastAsia="zh-CN"/>
        </w:rPr>
        <w:t>资金支付申请表、发票、工程进度结算审核表、合同</w:t>
      </w:r>
      <w:r>
        <w:rPr>
          <w:rFonts w:hint="eastAsia" w:ascii="Times New Roman" w:hAnsi="Times New Roman" w:cs="Times New Roman"/>
          <w:color w:val="auto"/>
          <w:highlight w:val="none"/>
          <w:lang w:val="en-US" w:eastAsia="zh-CN"/>
        </w:rPr>
        <w:t>等材料的</w:t>
      </w:r>
      <w:r>
        <w:rPr>
          <w:rFonts w:hint="default" w:ascii="Times New Roman" w:hAnsi="Times New Roman" w:cs="Times New Roman"/>
          <w:color w:val="auto"/>
          <w:highlight w:val="none"/>
        </w:rPr>
        <w:t>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bookmarkStart w:id="27" w:name="_Toc67911608"/>
      <w:bookmarkStart w:id="28" w:name="_Toc165277237"/>
      <w:r>
        <w:rPr>
          <w:rFonts w:hint="default" w:ascii="Times New Roman" w:hAnsi="Times New Roman" w:eastAsia="仿宋" w:cs="Times New Roman"/>
          <w:color w:val="auto"/>
          <w:sz w:val="36"/>
          <w:szCs w:val="36"/>
          <w:highlight w:val="none"/>
          <w:lang w:bidi="en-US"/>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29" w:name="_Toc165277238"/>
      <w:bookmarkStart w:id="30" w:name="_Toc67911609"/>
      <w:r>
        <w:rPr>
          <w:rFonts w:hint="default" w:ascii="Times New Roman" w:hAnsi="Times New Roman" w:eastAsia="仿宋" w:cs="Times New Roman"/>
          <w:color w:val="auto"/>
          <w:highlight w:val="none"/>
          <w:lang w:bidi="en-US"/>
        </w:rPr>
        <w:t>（一）评价结论</w:t>
      </w:r>
      <w:bookmarkEnd w:id="29"/>
      <w:bookmarkEnd w:id="30"/>
    </w:p>
    <w:p>
      <w:pPr>
        <w:spacing w:line="480" w:lineRule="auto"/>
        <w:jc w:val="left"/>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w:t>
      </w:r>
      <w:r>
        <w:rPr>
          <w:rFonts w:hint="eastAsia" w:ascii="Times New Roman" w:hAnsi="Times New Roman" w:cs="Times New Roman"/>
          <w:color w:val="auto"/>
          <w:szCs w:val="28"/>
          <w:highlight w:val="none"/>
          <w:lang w:eastAsia="zh-CN"/>
        </w:rPr>
        <w:t>的</w:t>
      </w:r>
      <w:r>
        <w:rPr>
          <w:rFonts w:hint="default" w:ascii="Times New Roman" w:hAnsi="Times New Roman" w:cs="Times New Roman"/>
          <w:color w:val="auto"/>
          <w:szCs w:val="28"/>
          <w:highlight w:val="none"/>
        </w:rPr>
        <w:t>等形式，对乌财科教【2021】96号关于提前下达2022年城乡义务教育项目直达资金校舍安全保障机制经费 进行客观评价，最终评分结果为：总分为</w:t>
      </w:r>
      <w:r>
        <w:rPr>
          <w:rFonts w:hint="eastAsia" w:ascii="Times New Roman" w:hAnsi="Times New Roman" w:cs="Times New Roman"/>
          <w:color w:val="auto"/>
          <w:szCs w:val="28"/>
          <w:highlight w:val="none"/>
          <w:lang w:val="en-US" w:eastAsia="zh-CN"/>
        </w:rPr>
        <w:t>91.37</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val="en-US" w:eastAsia="zh-CN"/>
        </w:rPr>
        <w:t>良</w:t>
      </w:r>
      <w:r>
        <w:rPr>
          <w:rFonts w:hint="default" w:ascii="Times New Roman" w:hAnsi="Times New Roman" w:cs="Times New Roman"/>
          <w:color w:val="auto"/>
          <w:szCs w:val="28"/>
          <w:highlight w:val="none"/>
        </w:rPr>
        <w:t>”</w:t>
      </w:r>
      <w:r>
        <w:rPr>
          <w:rStyle w:val="22"/>
          <w:rFonts w:hint="default" w:ascii="Times New Roman" w:hAnsi="Times New Roman" w:cs="Times New Roman"/>
          <w:color w:val="auto"/>
          <w:szCs w:val="28"/>
          <w:highlight w:val="none"/>
        </w:rPr>
        <w:footnoteReference w:id="1"/>
      </w:r>
      <w:r>
        <w:rPr>
          <w:rFonts w:hint="default"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bookmarkStart w:id="31" w:name="_Toc67911610"/>
            <w:bookmarkStart w:id="32" w:name="_Toc165277239"/>
            <w:r>
              <w:rPr>
                <w:rFonts w:hint="default" w:ascii="Times New Roman" w:hAnsi="Times New Roman" w:cs="Times New Roman"/>
                <w:b/>
                <w:bCs/>
                <w:color w:val="auto"/>
                <w:kern w:val="0"/>
                <w:sz w:val="24"/>
                <w:szCs w:val="24"/>
                <w:highlight w:val="none"/>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66.67</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3.35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67</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建设（改造、修缮）工程数量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898" w:type="dxa"/>
            <w:tcBorders>
              <w:bottom w:val="single" w:color="auto" w:sz="4" w:space="0"/>
              <w:right w:val="single" w:color="auto" w:sz="4" w:space="0"/>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pPr>
              <w:widowControl/>
              <w:ind w:firstLine="240" w:firstLineChars="100"/>
              <w:jc w:val="both"/>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搭建室外电缆电线长度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898" w:type="dxa"/>
            <w:tcBorders>
              <w:top w:val="single" w:color="auto" w:sz="4" w:space="0"/>
              <w:bottom w:val="single" w:color="auto" w:sz="4" w:space="0"/>
              <w:right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pPr>
              <w:widowControl/>
              <w:ind w:left="0" w:leftChars="0" w:firstLine="240" w:firstLineChars="100"/>
              <w:jc w:val="both"/>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新建消防水池及外网工程容积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898" w:type="dxa"/>
            <w:tcBorders>
              <w:top w:val="single" w:color="auto" w:sz="4" w:space="0"/>
              <w:right w:val="single" w:color="auto" w:sz="4" w:space="0"/>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op w:val="single" w:color="auto" w:sz="4" w:space="0"/>
              <w:left w:val="single" w:color="auto" w:sz="4" w:space="0"/>
              <w:bottom w:val="single" w:color="auto" w:sz="4" w:space="0"/>
              <w:right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竣工验收合格率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op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资金到位及时率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维修维护费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6</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4.02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项目经费控制率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rPr>
            </w:pPr>
            <w:r>
              <w:rPr>
                <w:rFonts w:hint="eastAsia" w:ascii="Times New Roman" w:hAnsi="Times New Roman" w:cs="Times New Roman"/>
                <w:color w:val="auto"/>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为师生提供良好安全的学习工作环境</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培养学生特长</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w:t>
            </w:r>
            <w:r>
              <w:rPr>
                <w:rFonts w:hint="eastAsia" w:ascii="Times New Roman" w:hAnsi="Times New Roman" w:cs="Times New Roman"/>
                <w:color w:val="auto"/>
                <w:kern w:val="0"/>
                <w:sz w:val="24"/>
                <w:szCs w:val="24"/>
                <w:highlight w:val="none"/>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91.37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91.37%</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r>
        <w:rPr>
          <w:rFonts w:hint="default" w:ascii="Times New Roman" w:hAnsi="Times New Roman" w:eastAsia="仿宋" w:cs="Times New Roman"/>
          <w:color w:val="auto"/>
          <w:highlight w:val="none"/>
          <w:lang w:bidi="en-US"/>
        </w:rPr>
        <w:t>（二）主要绩效</w:t>
      </w:r>
      <w:bookmarkEnd w:id="31"/>
      <w:bookmarkEnd w:id="32"/>
    </w:p>
    <w:p>
      <w:pPr>
        <w:spacing w:line="360" w:lineRule="auto"/>
        <w:ind w:firstLine="560"/>
        <w:rPr>
          <w:rFonts w:hint="eastAsia" w:ascii="Times New Roman" w:hAnsi="Times New Roman" w:cs="Times New Roman"/>
          <w:bCs/>
          <w:color w:val="auto"/>
          <w:szCs w:val="28"/>
          <w:highlight w:val="none"/>
          <w:lang w:eastAsia="zh-CN"/>
        </w:rPr>
      </w:pPr>
      <w:r>
        <w:rPr>
          <w:rFonts w:hint="default" w:ascii="Times New Roman" w:hAnsi="Times New Roman" w:cs="Times New Roman"/>
          <w:bCs/>
          <w:color w:val="auto"/>
          <w:szCs w:val="28"/>
          <w:highlight w:val="none"/>
        </w:rPr>
        <w:t>该项目资金区财政及时拨付，单位在此次评价期间内，有序完成设定目标的部分工作任务</w:t>
      </w:r>
      <w:r>
        <w:rPr>
          <w:rFonts w:hint="default" w:ascii="Times New Roman" w:hAnsi="Times New Roman" w:cs="Times New Roman"/>
          <w:color w:val="auto"/>
          <w:szCs w:val="28"/>
          <w:highlight w:val="none"/>
          <w:lang w:eastAsia="zh-CN"/>
        </w:rPr>
        <w:t>，新建500立方米消防水池及外网工程：室外电缆电线200米、配电柜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r>
        <w:rPr>
          <w:rFonts w:hint="eastAsia" w:ascii="Times New Roman" w:hAnsi="Times New Roman" w:cs="Times New Roman"/>
          <w:color w:val="auto"/>
          <w:szCs w:val="28"/>
          <w:highlight w:val="none"/>
          <w:lang w:eastAsia="zh-CN"/>
        </w:rPr>
        <w:t>，把灯草沟中学改扩建500立方米消防水池及附属设施，彻底解决灯草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bookmarkStart w:id="33" w:name="_Toc67911611"/>
      <w:bookmarkStart w:id="34" w:name="_Toc16527724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35" w:name="_Toc165277241"/>
      <w:bookmarkStart w:id="36" w:name="_Toc67911612"/>
      <w:r>
        <w:rPr>
          <w:rFonts w:hint="default" w:ascii="Times New Roman" w:hAnsi="Times New Roman" w:eastAsia="仿宋" w:cs="Times New Roman"/>
          <w:color w:val="auto"/>
          <w:highlight w:val="none"/>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w:t>
      </w:r>
      <w:r>
        <w:rPr>
          <w:rFonts w:hint="eastAsia" w:ascii="Times New Roman" w:hAnsi="Times New Roman" w:cs="Times New Roman"/>
          <w:color w:val="auto"/>
          <w:szCs w:val="28"/>
          <w:highlight w:val="none"/>
          <w:lang w:val="en-US" w:eastAsia="zh-CN"/>
        </w:rPr>
        <w:t>决策</w:t>
      </w:r>
      <w:r>
        <w:rPr>
          <w:rFonts w:hint="default" w:ascii="Times New Roman" w:hAnsi="Times New Roman" w:cs="Times New Roman"/>
          <w:color w:val="auto"/>
          <w:szCs w:val="28"/>
          <w:highlight w:val="none"/>
        </w:rPr>
        <w:t>指标由3个二级指标和6个三级指标构成，权重为20分，实际得分</w:t>
      </w:r>
      <w:r>
        <w:rPr>
          <w:rFonts w:hint="eastAsia" w:ascii="Times New Roman" w:hAnsi="Times New Roman" w:cs="Times New Roman"/>
          <w:color w:val="auto"/>
          <w:szCs w:val="28"/>
          <w:highlight w:val="none"/>
          <w:lang w:val="en-US" w:eastAsia="zh-CN"/>
        </w:rPr>
        <w:t>19</w:t>
      </w:r>
      <w:r>
        <w:rPr>
          <w:rFonts w:hint="default" w:ascii="Times New Roman" w:hAnsi="Times New Roman" w:cs="Times New Roman"/>
          <w:color w:val="auto"/>
          <w:szCs w:val="28"/>
          <w:highlight w:val="none"/>
        </w:rPr>
        <w:t>分。</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37" w:name="_Toc165277242"/>
      <w:r>
        <w:rPr>
          <w:rFonts w:hint="default" w:ascii="Times New Roman" w:hAnsi="Times New Roman" w:cs="Times New Roman"/>
          <w:color w:val="auto"/>
          <w:highlight w:val="none"/>
        </w:rPr>
        <w:t>1.项目立项</w:t>
      </w:r>
      <w:bookmarkEnd w:id="37"/>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立项依据充分性：</w:t>
      </w:r>
      <w:r>
        <w:rPr>
          <w:rFonts w:hint="default" w:ascii="Times New Roman" w:hAnsi="Times New Roman" w:cs="Times New Roman"/>
          <w:color w:val="auto"/>
          <w:szCs w:val="28"/>
          <w:highlight w:val="none"/>
          <w:lang w:val="en-US" w:eastAsia="zh-CN"/>
        </w:rPr>
        <w:t>乌财科教【2021】96号项目主管单位根据乌鲁木齐县政府决策和财政局要求进行了申报，立项符合</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lang w:val="en-US" w:eastAsia="zh-CN"/>
        </w:rPr>
        <w:t>乌财科教乌财科教【2021】96号关于提前下达2022年城乡义务教育项目直达资金校舍安全保障机制经费项目预算资金的通知</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lang w:val="en-US" w:eastAsia="zh-CN"/>
        </w:rPr>
        <w:t>要求，项目属于公共财政支持范围。因此，立项依据充分，得4分。</w:t>
      </w:r>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lang w:val="en-US" w:eastAsia="zh-CN"/>
        </w:rPr>
        <w:t>立项程序规范性: 单位</w:t>
      </w:r>
      <w:r>
        <w:rPr>
          <w:rFonts w:hint="eastAsia" w:ascii="Times New Roman" w:hAnsi="Times New Roman" w:cs="Times New Roman"/>
          <w:color w:val="auto"/>
          <w:szCs w:val="28"/>
          <w:highlight w:val="none"/>
          <w:lang w:val="en-US" w:eastAsia="zh-CN"/>
        </w:rPr>
        <w:t>支委会</w:t>
      </w:r>
      <w:r>
        <w:rPr>
          <w:rFonts w:hint="default" w:ascii="Times New Roman" w:hAnsi="Times New Roman" w:cs="Times New Roman"/>
          <w:color w:val="auto"/>
          <w:szCs w:val="28"/>
          <w:highlight w:val="none"/>
          <w:lang w:val="en-US" w:eastAsia="zh-CN"/>
        </w:rPr>
        <w:t>会议纪要</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lang w:val="en-US" w:eastAsia="zh-CN"/>
        </w:rPr>
        <w:t>项目事前已经过必要的风险评估、绩效评估和单位</w:t>
      </w:r>
      <w:r>
        <w:rPr>
          <w:rFonts w:hint="eastAsia" w:ascii="Times New Roman" w:hAnsi="Times New Roman" w:cs="Times New Roman"/>
          <w:color w:val="auto"/>
          <w:szCs w:val="28"/>
          <w:highlight w:val="none"/>
          <w:lang w:val="en-US" w:eastAsia="zh-CN"/>
        </w:rPr>
        <w:t>支委会</w:t>
      </w:r>
      <w:r>
        <w:rPr>
          <w:rFonts w:hint="default" w:ascii="Times New Roman" w:hAnsi="Times New Roman" w:cs="Times New Roman"/>
          <w:color w:val="auto"/>
          <w:szCs w:val="28"/>
          <w:highlight w:val="none"/>
          <w:lang w:val="en-US" w:eastAsia="zh-CN"/>
        </w:rPr>
        <w:t>集体决策，申请预算资金时严格按照乌鲁木齐县</w:t>
      </w:r>
      <w:r>
        <w:rPr>
          <w:rFonts w:hint="eastAsia" w:ascii="Times New Roman" w:hAnsi="Times New Roman" w:cs="Times New Roman"/>
          <w:color w:val="auto"/>
          <w:szCs w:val="28"/>
          <w:highlight w:val="none"/>
          <w:lang w:val="en-US" w:eastAsia="zh-CN"/>
        </w:rPr>
        <w:t>青少年校外活动中心</w:t>
      </w:r>
      <w:r>
        <w:rPr>
          <w:rFonts w:hint="default" w:ascii="Times New Roman" w:hAnsi="Times New Roman" w:cs="Times New Roman"/>
          <w:color w:val="auto"/>
          <w:szCs w:val="28"/>
          <w:highlight w:val="none"/>
          <w:lang w:val="en-US" w:eastAsia="zh-CN"/>
        </w:rPr>
        <w:t>项目的立项要求，遵循“二上二下”的</w:t>
      </w:r>
      <w:r>
        <w:rPr>
          <w:rFonts w:hint="default" w:ascii="Times New Roman" w:hAnsi="Times New Roman" w:cs="Times New Roman"/>
          <w:color w:val="auto"/>
          <w:szCs w:val="28"/>
          <w:highlight w:val="none"/>
        </w:rPr>
        <w:t>预算流程；审批文件、材料符合相关要求，故立项程序规范，得</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w:t>
      </w:r>
      <w:r>
        <w:rPr>
          <w:rFonts w:hint="eastAsia" w:ascii="Times New Roman" w:hAnsi="Times New Roman" w:cs="Times New Roman"/>
          <w:b/>
          <w:color w:val="auto"/>
          <w:kern w:val="0"/>
          <w:szCs w:val="28"/>
          <w:highlight w:val="none"/>
          <w:lang w:val="en-US" w:eastAsia="zh-CN"/>
        </w:rPr>
        <w:t>8</w:t>
      </w:r>
      <w:r>
        <w:rPr>
          <w:rFonts w:hint="default" w:ascii="Times New Roman" w:hAnsi="Times New Roman" w:cs="Times New Roman"/>
          <w:b/>
          <w:color w:val="auto"/>
          <w:kern w:val="0"/>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38" w:name="_Toc165277243"/>
      <w:r>
        <w:rPr>
          <w:rFonts w:hint="default" w:ascii="Times New Roman" w:hAnsi="Times New Roman" w:cs="Times New Roman"/>
          <w:color w:val="auto"/>
          <w:highlight w:val="none"/>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本项目的绩效目标按照产出、效益和满意度构建绩效评价指标，且具有可衡量性、可实现性、相关性和时限性等特点，</w:t>
      </w:r>
      <w:r>
        <w:rPr>
          <w:rFonts w:hint="eastAsia" w:ascii="Times New Roman" w:hAnsi="Times New Roman" w:cs="Times New Roman"/>
          <w:color w:val="auto"/>
          <w:szCs w:val="28"/>
          <w:highlight w:val="none"/>
          <w:lang w:val="en-US" w:eastAsia="zh-CN"/>
        </w:rPr>
        <w:t>在成本指标的设置上可以进一步细化，设置为分项成本控制数，</w:t>
      </w:r>
      <w:r>
        <w:rPr>
          <w:rFonts w:hint="default" w:ascii="Times New Roman" w:hAnsi="Times New Roman" w:cs="Times New Roman"/>
          <w:color w:val="auto"/>
          <w:szCs w:val="28"/>
          <w:highlight w:val="none"/>
        </w:rPr>
        <w:t>能较为全面地反映本项目的产出和效益，故绩效目标合理性指标得分</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default" w:ascii="Times New Roman" w:hAnsi="Times New Roman" w:cs="Times New Roman"/>
          <w:color w:val="auto"/>
          <w:kern w:val="0"/>
          <w:szCs w:val="28"/>
          <w:highlight w:val="none"/>
        </w:rPr>
        <w:t>其中，目标已细化为具体的绩效指标</w:t>
      </w:r>
      <w:r>
        <w:rPr>
          <w:rFonts w:hint="eastAsia" w:ascii="Times New Roman" w:hAnsi="Times New Roman" w:cs="Times New Roman"/>
          <w:color w:val="auto"/>
          <w:kern w:val="0"/>
          <w:szCs w:val="28"/>
          <w:highlight w:val="none"/>
          <w:lang w:val="en-US" w:eastAsia="zh-CN"/>
        </w:rPr>
        <w:t>3个</w:t>
      </w:r>
      <w:r>
        <w:rPr>
          <w:rFonts w:hint="default" w:ascii="Times New Roman" w:hAnsi="Times New Roman" w:cs="Times New Roman"/>
          <w:color w:val="auto"/>
          <w:kern w:val="0"/>
          <w:szCs w:val="28"/>
          <w:highlight w:val="none"/>
        </w:rPr>
        <w:t>，可通过数量指标、质量指标、时效指标和成本指标予以量化(和绩效目标框架保持一致)，并具有确切的评价标准，且指标设定均与目标相关。各项指标均能在现实条件下收集到</w:t>
      </w:r>
      <w:r>
        <w:rPr>
          <w:rFonts w:hint="eastAsia"/>
          <w:lang w:val="en-US" w:eastAsia="zh-CN"/>
        </w:rPr>
        <w:t>资金支付申请表、发票、工程进度结算审核表、合同等</w:t>
      </w:r>
      <w:r>
        <w:rPr>
          <w:rFonts w:hint="default" w:ascii="Times New Roman" w:hAnsi="Times New Roman" w:cs="Times New Roman"/>
          <w:color w:val="auto"/>
          <w:kern w:val="0"/>
          <w:szCs w:val="28"/>
          <w:highlight w:val="none"/>
        </w:rPr>
        <w:t>相关数据进行佐证，并与当年项目年度计划相对应，故绩效目标明确性指标得分3分。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39" w:name="_Toc165277244"/>
      <w:r>
        <w:rPr>
          <w:rFonts w:hint="default" w:ascii="Times New Roman" w:hAnsi="Times New Roman" w:cs="Times New Roman"/>
          <w:color w:val="auto"/>
          <w:highlight w:val="none"/>
        </w:rPr>
        <w:t>3.资金投入</w:t>
      </w:r>
      <w:bookmarkEnd w:id="39"/>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color w:val="auto"/>
          <w:kern w:val="0"/>
          <w:szCs w:val="28"/>
          <w:highlight w:val="none"/>
        </w:rPr>
      </w:pPr>
      <w:r>
        <w:rPr>
          <w:rFonts w:hint="default" w:ascii="Times New Roman" w:hAnsi="Times New Roman" w:cs="Times New Roman"/>
          <w:b/>
          <w:bCs/>
          <w:color w:val="auto"/>
          <w:highlight w:val="none"/>
        </w:rPr>
        <w:t>预算编制科学性：</w:t>
      </w:r>
      <w:r>
        <w:rPr>
          <w:rFonts w:hint="eastAsia" w:ascii="Times New Roman" w:hAnsi="Times New Roman" w:cs="Times New Roman"/>
          <w:color w:val="auto"/>
          <w:kern w:val="0"/>
          <w:szCs w:val="28"/>
          <w:highlight w:val="none"/>
          <w:lang w:val="en-US" w:eastAsia="zh-CN"/>
        </w:rPr>
        <w:t>该项目主要的工程内容为新建500立方米消防水池及附属设施建设，施工内容包括全套施工图纸范围内的施工内容，</w:t>
      </w:r>
      <w:r>
        <w:rPr>
          <w:rFonts w:hint="eastAsia" w:ascii="Times New Roman" w:hAnsi="Times New Roman" w:eastAsia="仿宋_GB2312" w:cs="Times New Roman"/>
          <w:kern w:val="2"/>
          <w:sz w:val="28"/>
          <w:szCs w:val="22"/>
          <w:lang w:val="en-US" w:eastAsia="zh-CN" w:bidi="ar-SA"/>
        </w:rPr>
        <w:t>2022年安排预算数400万，截至2022年底执行了197.28万，结转至2023年预算数为202.72万</w:t>
      </w:r>
      <w:r>
        <w:rPr>
          <w:rFonts w:hint="eastAsia" w:ascii="Times New Roman" w:hAnsi="Times New Roman" w:cs="Times New Roman"/>
          <w:kern w:val="2"/>
          <w:sz w:val="28"/>
          <w:szCs w:val="22"/>
          <w:lang w:val="en-US" w:eastAsia="zh-CN" w:bidi="ar-SA"/>
        </w:rPr>
        <w:t>，</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w:t>
      </w:r>
      <w:r>
        <w:rPr>
          <w:rFonts w:hint="eastAsia" w:ascii="Times New Roman" w:hAnsi="Times New Roman" w:cs="Times New Roman"/>
          <w:color w:val="auto"/>
          <w:kern w:val="0"/>
          <w:szCs w:val="28"/>
          <w:highlight w:val="none"/>
          <w:lang w:val="en-US" w:eastAsia="zh-CN"/>
        </w:rPr>
        <w:t>乌</w:t>
      </w:r>
      <w:r>
        <w:rPr>
          <w:rFonts w:hint="default" w:ascii="Times New Roman" w:hAnsi="Times New Roman" w:cs="Times New Roman"/>
          <w:color w:val="auto"/>
          <w:kern w:val="0"/>
          <w:szCs w:val="28"/>
          <w:highlight w:val="none"/>
        </w:rPr>
        <w:t>财科教【2021】96号关于提前下达2022年城乡义务教育项目直达资金校舍安全保障机制经费</w:t>
      </w:r>
      <w:r>
        <w:rPr>
          <w:rFonts w:hint="eastAsia" w:ascii="Times New Roman" w:hAnsi="Times New Roman" w:cs="Times New Roman"/>
          <w:color w:val="auto"/>
          <w:kern w:val="0"/>
          <w:szCs w:val="28"/>
          <w:highlight w:val="none"/>
          <w:lang w:val="en-US" w:eastAsia="zh-CN"/>
        </w:rPr>
        <w:t>资金配备合理合规，</w:t>
      </w:r>
      <w:r>
        <w:rPr>
          <w:rFonts w:hint="eastAsia" w:ascii="Times New Roman" w:hAnsi="Times New Roman" w:cs="Times New Roman"/>
          <w:kern w:val="0"/>
          <w:szCs w:val="28"/>
        </w:rPr>
        <w:t>符合中央、地方事权支出责任划分原则，</w:t>
      </w:r>
      <w:r>
        <w:rPr>
          <w:rFonts w:hint="eastAsia" w:ascii="Times New Roman" w:hAnsi="Times New Roman" w:cs="Times New Roman"/>
          <w:color w:val="auto"/>
          <w:kern w:val="0"/>
          <w:szCs w:val="28"/>
          <w:highlight w:val="none"/>
          <w:lang w:val="en-US" w:eastAsia="zh-CN"/>
        </w:rPr>
        <w:t>主要适用于使用于</w:t>
      </w:r>
      <w:r>
        <w:rPr>
          <w:rFonts w:hint="default" w:ascii="Times New Roman" w:hAnsi="Times New Roman" w:cs="Times New Roman"/>
          <w:color w:val="auto"/>
          <w:kern w:val="0"/>
          <w:szCs w:val="28"/>
          <w:highlight w:val="none"/>
        </w:rPr>
        <w:t>新建500立方米消防水池及外网工程：室外电缆电线200米、配电柜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r>
        <w:rPr>
          <w:rFonts w:hint="eastAsia" w:ascii="Times New Roman" w:hAnsi="Times New Roman" w:cs="Times New Roman"/>
          <w:color w:val="auto"/>
          <w:kern w:val="0"/>
          <w:szCs w:val="28"/>
          <w:highlight w:val="none"/>
          <w:lang w:val="en-US" w:eastAsia="zh-CN"/>
        </w:rPr>
        <w:t>等方面</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40" w:name="_Toc165277245"/>
      <w:bookmarkStart w:id="41" w:name="_Toc67911613"/>
      <w:r>
        <w:rPr>
          <w:rFonts w:hint="default" w:ascii="Times New Roman" w:hAnsi="Times New Roman" w:eastAsia="仿宋" w:cs="Times New Roman"/>
          <w:color w:val="auto"/>
          <w:highlight w:val="none"/>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18.35</w:t>
      </w:r>
      <w:r>
        <w:rPr>
          <w:rFonts w:hint="default" w:ascii="Times New Roman" w:hAnsi="Times New Roman" w:cs="Times New Roman"/>
          <w:color w:val="auto"/>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42" w:name="_Toc165277246"/>
      <w:r>
        <w:rPr>
          <w:rFonts w:hint="default" w:ascii="Times New Roman" w:hAnsi="Times New Roman" w:cs="Times New Roman"/>
          <w:color w:val="auto"/>
          <w:highlight w:val="none"/>
        </w:rPr>
        <w:t>1.资金管理</w:t>
      </w:r>
      <w:bookmarkEnd w:id="4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r>
        <w:rPr>
          <w:rFonts w:hint="eastAsia" w:ascii="Times New Roman" w:hAnsi="Times New Roman" w:cs="Times New Roman"/>
          <w:b w:val="0"/>
          <w:bCs w:val="0"/>
          <w:color w:val="auto"/>
          <w:szCs w:val="28"/>
          <w:highlight w:val="none"/>
          <w:lang w:val="en-US" w:eastAsia="zh-CN"/>
        </w:rPr>
        <w:t>乌</w:t>
      </w:r>
      <w:r>
        <w:rPr>
          <w:rFonts w:hint="default" w:ascii="Times New Roman" w:hAnsi="Times New Roman" w:cs="Times New Roman"/>
          <w:b w:val="0"/>
          <w:bCs w:val="0"/>
          <w:color w:val="auto"/>
          <w:kern w:val="0"/>
          <w:szCs w:val="28"/>
          <w:highlight w:val="none"/>
        </w:rPr>
        <w:t>财</w:t>
      </w:r>
      <w:r>
        <w:rPr>
          <w:rFonts w:hint="default" w:ascii="Times New Roman" w:hAnsi="Times New Roman" w:cs="Times New Roman"/>
          <w:color w:val="auto"/>
          <w:kern w:val="0"/>
          <w:szCs w:val="28"/>
          <w:highlight w:val="none"/>
        </w:rPr>
        <w:t>科教【2021】96号关于提前下达2022年城乡义务教育项目直达资金校舍安全保障机制经费</w:t>
      </w:r>
      <w:r>
        <w:rPr>
          <w:rFonts w:hint="eastAsia" w:ascii="Times New Roman" w:hAnsi="Times New Roman" w:cs="Times New Roman"/>
          <w:color w:val="auto"/>
          <w:highlight w:val="none"/>
          <w:lang w:val="en-US" w:eastAsia="zh-CN"/>
        </w:rPr>
        <w:t>2022年结转资金202.72万元，实际到账资金202.72万元，资金与2023年1月28日拨付到位，资金到位率100%</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预算执行率：</w:t>
      </w:r>
      <w:r>
        <w:rPr>
          <w:rFonts w:hint="eastAsia" w:ascii="Times New Roman" w:hAnsi="Times New Roman" w:cs="Times New Roman"/>
          <w:b w:val="0"/>
          <w:bCs w:val="0"/>
          <w:color w:val="auto"/>
          <w:szCs w:val="28"/>
          <w:highlight w:val="none"/>
          <w:lang w:val="en-US" w:eastAsia="zh-CN"/>
        </w:rPr>
        <w:t>乌</w:t>
      </w:r>
      <w:r>
        <w:rPr>
          <w:rFonts w:hint="default" w:ascii="Times New Roman" w:hAnsi="Times New Roman" w:cs="Times New Roman"/>
          <w:color w:val="auto"/>
          <w:kern w:val="0"/>
          <w:szCs w:val="28"/>
          <w:highlight w:val="none"/>
        </w:rPr>
        <w:t>财科教【2021】96号关于提前下达2022年城乡义务教育项目直达资金校舍安全保障机制经费</w:t>
      </w:r>
      <w:r>
        <w:rPr>
          <w:rFonts w:hint="eastAsia" w:ascii="Times New Roman" w:hAnsi="Times New Roman" w:cs="Times New Roman"/>
          <w:color w:val="auto"/>
          <w:highlight w:val="none"/>
          <w:lang w:val="en-US" w:eastAsia="zh-CN"/>
        </w:rPr>
        <w:t>2022年结转资金202.72万元，实际到账资金136万元，资金到账率67.09</w:t>
      </w:r>
      <w:r>
        <w:rPr>
          <w:rFonts w:hint="default" w:ascii="Times New Roman" w:hAnsi="Times New Roman" w:cs="Times New Roman"/>
          <w:b/>
          <w:bCs/>
          <w:color w:val="auto"/>
          <w:szCs w:val="28"/>
          <w:highlight w:val="none"/>
        </w:rPr>
        <w:t>。</w:t>
      </w:r>
      <w:r>
        <w:rPr>
          <w:rFonts w:hint="default" w:ascii="Times New Roman" w:hAnsi="Times New Roman" w:cs="Times New Roman"/>
          <w:color w:val="auto"/>
          <w:szCs w:val="28"/>
          <w:highlight w:val="none"/>
        </w:rPr>
        <w:t>故预算执行率得分为</w:t>
      </w:r>
      <w:r>
        <w:rPr>
          <w:rFonts w:hint="eastAsia" w:ascii="Times New Roman" w:hAnsi="Times New Roman" w:cs="Times New Roman"/>
          <w:color w:val="auto"/>
          <w:szCs w:val="28"/>
          <w:highlight w:val="none"/>
          <w:lang w:val="en-US" w:eastAsia="zh-CN"/>
        </w:rPr>
        <w:t>3.35</w:t>
      </w:r>
      <w:r>
        <w:rPr>
          <w:rFonts w:hint="default" w:ascii="Times New Roman" w:hAnsi="Times New Roman" w:cs="Times New Roman"/>
          <w:color w:val="auto"/>
          <w:szCs w:val="28"/>
          <w:highlight w:val="none"/>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w:t>
      </w:r>
      <w:r>
        <w:rPr>
          <w:rFonts w:hint="eastAsia" w:ascii="Times New Roman" w:hAnsi="Times New Roman" w:cs="Times New Roman"/>
          <w:color w:val="auto"/>
          <w:szCs w:val="28"/>
          <w:highlight w:val="none"/>
          <w:lang w:val="en-US" w:eastAsia="zh-CN"/>
        </w:rPr>
        <w:t>乌鲁木齐县灯草沟中学专项经费管理办法</w:t>
      </w:r>
      <w:r>
        <w:rPr>
          <w:rFonts w:hint="default" w:ascii="Times New Roman" w:hAnsi="Times New Roman" w:cs="Times New Roman"/>
          <w:color w:val="auto"/>
          <w:szCs w:val="28"/>
          <w:highlight w:val="none"/>
        </w:rPr>
        <w:t>和</w:t>
      </w:r>
      <w:r>
        <w:rPr>
          <w:rFonts w:hint="eastAsia" w:ascii="Times New Roman" w:hAnsi="Times New Roman" w:cs="Times New Roman"/>
          <w:color w:val="auto"/>
          <w:szCs w:val="28"/>
          <w:highlight w:val="none"/>
          <w:lang w:val="en-US" w:eastAsia="zh-CN"/>
        </w:rPr>
        <w:t>乌鲁木齐县教育局财务</w:t>
      </w:r>
      <w:r>
        <w:rPr>
          <w:rFonts w:hint="default" w:ascii="Times New Roman" w:hAnsi="Times New Roman" w:cs="Times New Roman"/>
          <w:color w:val="auto"/>
          <w:szCs w:val="28"/>
          <w:highlight w:val="none"/>
        </w:rPr>
        <w:t>管理制度以及有关</w:t>
      </w:r>
      <w:r>
        <w:rPr>
          <w:rFonts w:hint="eastAsia" w:ascii="Times New Roman" w:hAnsi="Times New Roman" w:cs="Times New Roman"/>
          <w:color w:val="auto"/>
          <w:szCs w:val="28"/>
          <w:highlight w:val="none"/>
          <w:lang w:val="en-US" w:eastAsia="zh-CN"/>
        </w:rPr>
        <w:t>项目</w:t>
      </w:r>
      <w:r>
        <w:rPr>
          <w:rFonts w:hint="default" w:ascii="Times New Roman" w:hAnsi="Times New Roman" w:cs="Times New Roman"/>
          <w:color w:val="auto"/>
          <w:szCs w:val="28"/>
          <w:highlight w:val="none"/>
        </w:rPr>
        <w:t>专项资金管理办法的规定。同时，资金的拨付有</w:t>
      </w:r>
      <w:r>
        <w:rPr>
          <w:rFonts w:hint="eastAsia" w:ascii="Times New Roman" w:hAnsi="Times New Roman" w:cs="Times New Roman"/>
          <w:color w:val="auto"/>
          <w:szCs w:val="28"/>
          <w:highlight w:val="none"/>
          <w:lang w:val="en-US" w:eastAsia="zh-CN"/>
        </w:rPr>
        <w:t>县教育局下发的中小学经费</w:t>
      </w:r>
      <w:r>
        <w:rPr>
          <w:rFonts w:hint="default" w:ascii="Times New Roman" w:hAnsi="Times New Roman" w:cs="Times New Roman"/>
          <w:color w:val="auto"/>
          <w:szCs w:val="28"/>
          <w:highlight w:val="none"/>
        </w:rPr>
        <w:t>审批程序，需要</w:t>
      </w:r>
      <w:r>
        <w:rPr>
          <w:rFonts w:hint="eastAsia" w:ascii="Times New Roman" w:hAnsi="Times New Roman" w:cs="Times New Roman"/>
          <w:color w:val="auto"/>
          <w:szCs w:val="28"/>
          <w:highlight w:val="none"/>
          <w:lang w:val="en-US" w:eastAsia="zh-CN"/>
        </w:rPr>
        <w:t>财务</w:t>
      </w:r>
      <w:r>
        <w:rPr>
          <w:rFonts w:hint="default" w:ascii="Times New Roman" w:hAnsi="Times New Roman" w:cs="Times New Roman"/>
          <w:color w:val="auto"/>
          <w:szCs w:val="28"/>
          <w:highlight w:val="none"/>
        </w:rPr>
        <w:t>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11.35</w:t>
      </w:r>
      <w:r>
        <w:rPr>
          <w:rFonts w:hint="default" w:ascii="Times New Roman" w:hAnsi="Times New Roman" w:cs="Times New Roman"/>
          <w:b/>
          <w:color w:val="auto"/>
          <w:kern w:val="0"/>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43" w:name="_Toc165277247"/>
      <w:r>
        <w:rPr>
          <w:rFonts w:hint="default" w:ascii="Times New Roman" w:hAnsi="Times New Roman" w:cs="Times New Roman"/>
          <w:color w:val="auto"/>
          <w:highlight w:val="none"/>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default" w:ascii="Times New Roman" w:hAnsi="Times New Roman" w:cs="Times New Roman"/>
          <w:color w:val="auto"/>
          <w:kern w:val="0"/>
          <w:szCs w:val="28"/>
          <w:highlight w:val="none"/>
        </w:rPr>
        <w:t>财科教【2021】96号关于提前下达2022年城乡义务教育项目直达资金校舍安全保障机制经费</w:t>
      </w:r>
      <w:r>
        <w:rPr>
          <w:rFonts w:hint="default" w:ascii="Times New Roman" w:hAnsi="Times New Roman" w:cs="Times New Roman"/>
          <w:color w:val="auto"/>
          <w:szCs w:val="28"/>
          <w:highlight w:val="none"/>
        </w:rPr>
        <w:t>已制定相应的</w:t>
      </w:r>
      <w:r>
        <w:rPr>
          <w:rFonts w:hint="eastAsia" w:ascii="Times New Roman" w:hAnsi="Times New Roman" w:cs="Times New Roman"/>
          <w:color w:val="auto"/>
          <w:szCs w:val="28"/>
          <w:highlight w:val="none"/>
          <w:lang w:val="en-US" w:eastAsia="zh-CN"/>
        </w:rPr>
        <w:t>资金管理办法</w:t>
      </w:r>
      <w:r>
        <w:rPr>
          <w:rFonts w:hint="default" w:ascii="Times New Roman" w:hAnsi="Times New Roman" w:cs="Times New Roman"/>
          <w:color w:val="auto"/>
          <w:szCs w:val="28"/>
          <w:highlight w:val="none"/>
        </w:rPr>
        <w:t>和</w:t>
      </w:r>
      <w:r>
        <w:rPr>
          <w:rFonts w:hint="eastAsia" w:ascii="Times New Roman" w:hAnsi="Times New Roman" w:cs="Times New Roman"/>
          <w:color w:val="auto"/>
          <w:szCs w:val="28"/>
          <w:highlight w:val="none"/>
          <w:lang w:val="en-US" w:eastAsia="zh-CN"/>
        </w:rPr>
        <w:t>经费支出</w:t>
      </w:r>
      <w:r>
        <w:rPr>
          <w:rFonts w:hint="default" w:ascii="Times New Roman" w:hAnsi="Times New Roman" w:cs="Times New Roman"/>
          <w:color w:val="auto"/>
          <w:szCs w:val="28"/>
          <w:highlight w:val="none"/>
        </w:rPr>
        <w:t>管理制度，且制度合法、合规、完整，为项目顺利实施提供重要保障。故管理制度健全性得分为3分。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根据评价小组核查情况，</w:t>
      </w:r>
      <w:r>
        <w:rPr>
          <w:rFonts w:hint="eastAsia" w:ascii="Times New Roman" w:hAnsi="Times New Roman" w:cs="Times New Roman"/>
          <w:color w:val="auto"/>
          <w:szCs w:val="28"/>
          <w:highlight w:val="none"/>
          <w:lang w:val="en-US" w:eastAsia="zh-CN"/>
        </w:rPr>
        <w:t>青少年校外活动中心</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Cs w:val="28"/>
          <w:highlight w:val="none"/>
        </w:rPr>
      </w:pPr>
      <w:bookmarkStart w:id="44" w:name="_Hlk67670213"/>
      <w:r>
        <w:rPr>
          <w:rFonts w:hint="default" w:ascii="Times New Roman" w:hAnsi="Times New Roman" w:cs="Times New Roman"/>
          <w:b/>
          <w:color w:val="auto"/>
          <w:kern w:val="0"/>
          <w:szCs w:val="28"/>
          <w:highlight w:val="none"/>
        </w:rPr>
        <w:t>综上，该指标满分7分，得分7分。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45" w:name="_Toc165277248"/>
      <w:bookmarkStart w:id="46" w:name="_Toc67911614"/>
      <w:r>
        <w:rPr>
          <w:rFonts w:hint="default" w:ascii="Times New Roman" w:hAnsi="Times New Roman" w:eastAsia="仿宋" w:cs="Times New Roman"/>
          <w:color w:val="auto"/>
          <w:highlight w:val="none"/>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val="en-US" w:eastAsia="zh-CN"/>
        </w:rPr>
        <w:t>34.02</w:t>
      </w:r>
      <w:r>
        <w:rPr>
          <w:rFonts w:hint="default" w:ascii="Times New Roman" w:hAnsi="Times New Roman" w:cs="Times New Roman"/>
          <w:color w:val="auto"/>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47" w:name="_Toc165277249"/>
      <w:r>
        <w:rPr>
          <w:rFonts w:hint="default" w:ascii="Times New Roman" w:hAnsi="Times New Roman" w:cs="Times New Roman"/>
          <w:color w:val="auto"/>
          <w:highlight w:val="none"/>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color w:val="auto"/>
          <w:szCs w:val="28"/>
          <w:highlight w:val="none"/>
          <w:lang w:val="en-US"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建设（改造、修缮）工程数量</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1个</w:t>
      </w:r>
      <w:r>
        <w:rPr>
          <w:rFonts w:hint="default" w:ascii="Times New Roman" w:hAnsi="Times New Roman" w:cs="Times New Roman"/>
          <w:bCs/>
          <w:color w:val="auto"/>
          <w:szCs w:val="28"/>
          <w:highlight w:val="none"/>
        </w:rPr>
        <w:t>，2023年度</w:t>
      </w:r>
      <w:r>
        <w:rPr>
          <w:rFonts w:hint="eastAsia" w:ascii="Times New Roman" w:hAnsi="Times New Roman" w:cs="Times New Roman"/>
          <w:bCs/>
          <w:color w:val="auto"/>
          <w:szCs w:val="28"/>
          <w:highlight w:val="none"/>
          <w:lang w:val="en-US" w:eastAsia="zh-CN"/>
        </w:rPr>
        <w:t>实际完成改造修建工程1个</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实际完成值1个，完成率100%。</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color w:val="auto"/>
          <w:szCs w:val="28"/>
          <w:highlight w:val="none"/>
          <w:lang w:val="en-US"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新建消防水池及外网工程容积</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&gt;=500立方</w:t>
      </w:r>
      <w:r>
        <w:rPr>
          <w:rFonts w:hint="default" w:ascii="Times New Roman" w:hAnsi="Times New Roman" w:cs="Times New Roman"/>
          <w:bCs/>
          <w:color w:val="auto"/>
          <w:szCs w:val="28"/>
          <w:highlight w:val="none"/>
        </w:rPr>
        <w:t>，2023年度</w:t>
      </w:r>
      <w:r>
        <w:rPr>
          <w:rFonts w:hint="eastAsia" w:ascii="Times New Roman" w:hAnsi="Times New Roman" w:cs="Times New Roman"/>
          <w:bCs/>
          <w:color w:val="auto"/>
          <w:szCs w:val="28"/>
          <w:highlight w:val="none"/>
          <w:lang w:val="en-US" w:eastAsia="zh-CN"/>
        </w:rPr>
        <w:t>实际修建500立方</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实际完成值500立方，完成率100%。</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color w:val="auto"/>
          <w:szCs w:val="28"/>
          <w:highlight w:val="none"/>
          <w:lang w:val="en-US"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搭建室外电缆电线长度</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&gt;=200米</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实际完成值200米，完成率100%。</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实际完成率：</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48" w:name="_Toc165277250"/>
      <w:r>
        <w:rPr>
          <w:rFonts w:hint="default" w:ascii="Times New Roman" w:hAnsi="Times New Roman" w:cs="Times New Roman"/>
          <w:color w:val="auto"/>
          <w:highlight w:val="none"/>
        </w:rPr>
        <w:t>2.产出质量</w:t>
      </w:r>
      <w:bookmarkEnd w:id="4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color w:val="auto"/>
          <w:szCs w:val="28"/>
          <w:highlight w:val="none"/>
          <w:lang w:val="en-US" w:eastAsia="zh-CN"/>
        </w:rPr>
      </w:pPr>
      <w:r>
        <w:rPr>
          <w:rFonts w:hint="eastAsia" w:ascii="Times New Roman" w:hAnsi="Times New Roman" w:cs="Times New Roman"/>
          <w:b/>
          <w:bCs w:val="0"/>
          <w:color w:val="auto"/>
          <w:szCs w:val="28"/>
          <w:highlight w:val="none"/>
          <w:lang w:val="en-US" w:eastAsia="zh-CN"/>
        </w:rPr>
        <w:t>竣工验收合格率</w:t>
      </w:r>
      <w:r>
        <w:rPr>
          <w:rFonts w:hint="default" w:ascii="Times New Roman" w:hAnsi="Times New Roman" w:cs="Times New Roman"/>
          <w:b/>
          <w:bCs w:val="0"/>
          <w:color w:val="auto"/>
          <w:szCs w:val="28"/>
          <w:highlight w:val="none"/>
        </w:rPr>
        <w:t>：</w:t>
      </w:r>
      <w:r>
        <w:rPr>
          <w:rFonts w:hint="eastAsia" w:ascii="Times New Roman" w:hAnsi="Times New Roman" w:cs="Times New Roman"/>
          <w:b w:val="0"/>
          <w:bCs w:val="0"/>
          <w:color w:val="auto"/>
          <w:szCs w:val="28"/>
          <w:highlight w:val="none"/>
          <w:lang w:val="en-US" w:eastAsia="zh-CN"/>
        </w:rPr>
        <w:t>乌</w:t>
      </w:r>
      <w:r>
        <w:rPr>
          <w:rFonts w:hint="default" w:ascii="Times New Roman" w:hAnsi="Times New Roman" w:cs="Times New Roman"/>
          <w:color w:val="auto"/>
          <w:kern w:val="0"/>
          <w:szCs w:val="28"/>
          <w:highlight w:val="none"/>
        </w:rPr>
        <w:t>财科教【2021】96号关于提前下达2022年城乡义务教育项目直达资金校舍安全保障机制经费</w:t>
      </w:r>
      <w:r>
        <w:rPr>
          <w:rFonts w:hint="eastAsia" w:ascii="Times New Roman" w:hAnsi="Times New Roman" w:cs="Times New Roman"/>
          <w:color w:val="auto"/>
          <w:kern w:val="0"/>
          <w:szCs w:val="28"/>
          <w:highlight w:val="none"/>
          <w:lang w:val="en-US" w:eastAsia="zh-CN"/>
        </w:rPr>
        <w:t>项目2022年开始，2023年结束，项目验收合，有基建项目竣工决算报告，该项目</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竣工验收合格率（%）</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100%</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实际完成值100%，得分10分。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49" w:name="_Toc165277251"/>
      <w:r>
        <w:rPr>
          <w:rFonts w:hint="default" w:ascii="Times New Roman" w:hAnsi="Times New Roman" w:cs="Times New Roman"/>
          <w:color w:val="auto"/>
          <w:highlight w:val="none"/>
        </w:rPr>
        <w:t>3.产出时效</w:t>
      </w:r>
      <w:bookmarkEnd w:id="49"/>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eastAsia" w:ascii="Times New Roman" w:hAnsi="Times New Roman" w:cs="Times New Roman"/>
          <w:b/>
          <w:bCs/>
          <w:color w:val="auto"/>
          <w:szCs w:val="28"/>
          <w:highlight w:val="none"/>
          <w:lang w:val="en-US" w:eastAsia="zh-CN"/>
        </w:rPr>
        <w:t>资金到位及时率：</w:t>
      </w:r>
      <w:r>
        <w:rPr>
          <w:rFonts w:hint="eastAsia" w:ascii="Times New Roman" w:hAnsi="Times New Roman" w:cs="Times New Roman"/>
          <w:b w:val="0"/>
          <w:bCs w:val="0"/>
          <w:color w:val="auto"/>
          <w:szCs w:val="28"/>
          <w:highlight w:val="none"/>
          <w:lang w:val="en-US" w:eastAsia="zh-CN"/>
        </w:rPr>
        <w:t>乌</w:t>
      </w:r>
      <w:r>
        <w:rPr>
          <w:rFonts w:hint="default" w:ascii="Times New Roman" w:hAnsi="Times New Roman" w:cs="Times New Roman"/>
          <w:b w:val="0"/>
          <w:bCs w:val="0"/>
          <w:color w:val="auto"/>
          <w:kern w:val="0"/>
          <w:szCs w:val="28"/>
          <w:highlight w:val="none"/>
        </w:rPr>
        <w:t>财</w:t>
      </w:r>
      <w:r>
        <w:rPr>
          <w:rFonts w:hint="default" w:ascii="Times New Roman" w:hAnsi="Times New Roman" w:cs="Times New Roman"/>
          <w:color w:val="auto"/>
          <w:kern w:val="0"/>
          <w:szCs w:val="28"/>
          <w:highlight w:val="none"/>
        </w:rPr>
        <w:t>科教【2021】96号关于提前下达2022年城乡义务教育项目直达资金校舍安全保障机制经费</w:t>
      </w:r>
      <w:r>
        <w:rPr>
          <w:rFonts w:hint="eastAsia" w:ascii="Times New Roman" w:hAnsi="Times New Roman" w:cs="Times New Roman"/>
          <w:color w:val="auto"/>
          <w:highlight w:val="none"/>
          <w:lang w:val="en-US" w:eastAsia="zh-CN"/>
        </w:rPr>
        <w:t>2022年结转资金202.72万元，实际到账资金202.72万元，资金与2023年1月28日拨付到位，资金到位率100%</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10</w:t>
      </w:r>
      <w:r>
        <w:rPr>
          <w:rFonts w:hint="default" w:ascii="Times New Roman" w:hAnsi="Times New Roman" w:cs="Times New Roman"/>
          <w:color w:val="auto"/>
          <w:kern w:val="0"/>
          <w:szCs w:val="28"/>
          <w:highlight w:val="none"/>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50" w:name="_Toc165277252"/>
      <w:r>
        <w:rPr>
          <w:rFonts w:hint="default" w:ascii="Times New Roman" w:hAnsi="Times New Roman" w:cs="Times New Roman"/>
          <w:color w:val="auto"/>
          <w:highlight w:val="none"/>
        </w:rPr>
        <w:t>4.产出成本</w:t>
      </w:r>
      <w:bookmarkEnd w:id="50"/>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color w:val="auto"/>
          <w:szCs w:val="28"/>
          <w:highlight w:val="none"/>
        </w:rPr>
      </w:pPr>
      <w:r>
        <w:rPr>
          <w:rFonts w:hint="default" w:ascii="Times New Roman" w:hAnsi="Times New Roman" w:cs="Times New Roman"/>
          <w:b/>
          <w:bCs/>
          <w:color w:val="auto"/>
          <w:szCs w:val="28"/>
          <w:highlight w:val="none"/>
        </w:rPr>
        <w:t>项目经费控制率</w:t>
      </w:r>
      <w:r>
        <w:rPr>
          <w:rFonts w:hint="eastAsia" w:ascii="Times New Roman" w:hAnsi="Times New Roman" w:cs="Times New Roman"/>
          <w:b/>
          <w:bCs/>
          <w:color w:val="auto"/>
          <w:szCs w:val="28"/>
          <w:highlight w:val="none"/>
          <w:lang w:eastAsia="zh-CN"/>
        </w:rPr>
        <w:t>：</w:t>
      </w:r>
      <w:r>
        <w:rPr>
          <w:rFonts w:hint="default" w:ascii="Times New Roman" w:hAnsi="Times New Roman" w:cs="Times New Roman"/>
          <w:bCs/>
          <w:color w:val="auto"/>
          <w:szCs w:val="28"/>
          <w:highlight w:val="none"/>
        </w:rPr>
        <w:t xml:space="preserve">本项目实际支出 </w:t>
      </w:r>
      <w:r>
        <w:rPr>
          <w:rFonts w:hint="eastAsia" w:ascii="Times New Roman" w:hAnsi="Times New Roman" w:cs="Times New Roman"/>
          <w:bCs/>
          <w:color w:val="auto"/>
          <w:szCs w:val="28"/>
          <w:highlight w:val="none"/>
          <w:lang w:val="en-US" w:eastAsia="zh-CN"/>
        </w:rPr>
        <w:t>136</w:t>
      </w:r>
      <w:r>
        <w:rPr>
          <w:rFonts w:hint="default" w:ascii="Times New Roman" w:hAnsi="Times New Roman" w:cs="Times New Roman"/>
          <w:bCs/>
          <w:color w:val="auto"/>
          <w:szCs w:val="28"/>
          <w:highlight w:val="none"/>
        </w:rPr>
        <w:t>万元，</w:t>
      </w:r>
      <w:r>
        <w:rPr>
          <w:rFonts w:hint="eastAsia" w:ascii="Times New Roman" w:hAnsi="Times New Roman" w:cs="Times New Roman"/>
          <w:bCs/>
          <w:color w:val="auto"/>
          <w:szCs w:val="28"/>
          <w:highlight w:val="none"/>
          <w:lang w:val="en-US" w:eastAsia="zh-CN"/>
        </w:rPr>
        <w:t>虽然项目已经验收通过，正在使用但是</w:t>
      </w:r>
      <w:r>
        <w:rPr>
          <w:rFonts w:hint="eastAsia" w:ascii="Times New Roman" w:hAnsi="Times New Roman" w:cs="Times New Roman"/>
          <w:b w:val="0"/>
          <w:bCs w:val="0"/>
          <w:color w:val="auto"/>
          <w:szCs w:val="28"/>
          <w:highlight w:val="none"/>
          <w:lang w:val="en-US" w:eastAsia="zh-CN"/>
        </w:rPr>
        <w:t>财政紧张</w:t>
      </w:r>
      <w:r>
        <w:rPr>
          <w:rFonts w:hint="default" w:ascii="Times New Roman" w:hAnsi="Times New Roman" w:cs="Times New Roman"/>
          <w:color w:val="auto"/>
          <w:kern w:val="0"/>
          <w:szCs w:val="28"/>
          <w:highlight w:val="none"/>
        </w:rPr>
        <w:t>城乡义务教育项目直达资金校舍安全保障机制经费</w:t>
      </w:r>
      <w:r>
        <w:rPr>
          <w:rFonts w:hint="eastAsia" w:ascii="Times New Roman" w:hAnsi="Times New Roman" w:cs="Times New Roman"/>
          <w:color w:val="auto"/>
          <w:kern w:val="0"/>
          <w:szCs w:val="28"/>
          <w:highlight w:val="none"/>
          <w:lang w:val="en-US" w:eastAsia="zh-CN"/>
        </w:rPr>
        <w:t>项目未支付66.72万元</w:t>
      </w:r>
      <w:r>
        <w:rPr>
          <w:rFonts w:hint="default" w:ascii="Times New Roman" w:hAnsi="Times New Roman" w:cs="Times New Roman"/>
          <w:bCs/>
          <w:color w:val="auto"/>
          <w:szCs w:val="28"/>
          <w:highlight w:val="none"/>
        </w:rPr>
        <w:t>，得分为</w:t>
      </w:r>
      <w:r>
        <w:rPr>
          <w:rFonts w:hint="eastAsia" w:ascii="Times New Roman" w:hAnsi="Times New Roman" w:cs="Times New Roman"/>
          <w:bCs/>
          <w:color w:val="auto"/>
          <w:szCs w:val="28"/>
          <w:highlight w:val="none"/>
          <w:lang w:val="en-US" w:eastAsia="zh-CN"/>
        </w:rPr>
        <w:t>0</w:t>
      </w:r>
      <w:r>
        <w:rPr>
          <w:rFonts w:hint="default" w:ascii="Times New Roman" w:hAnsi="Times New Roman" w:cs="Times New Roman"/>
          <w:bCs/>
          <w:color w:val="auto"/>
          <w:szCs w:val="28"/>
          <w:highlight w:val="none"/>
        </w:rPr>
        <w:t>。</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eastAsia="仿宋_GB2312" w:cs="Times New Roman"/>
          <w:bCs/>
          <w:color w:val="auto"/>
          <w:szCs w:val="28"/>
          <w:highlight w:val="none"/>
          <w:lang w:eastAsia="zh-CN"/>
        </w:rPr>
      </w:pPr>
      <w:r>
        <w:rPr>
          <w:rFonts w:hint="default" w:ascii="Times New Roman" w:hAnsi="Times New Roman" w:cs="Times New Roman"/>
          <w:b/>
          <w:bCs/>
          <w:color w:val="auto"/>
          <w:szCs w:val="28"/>
          <w:highlight w:val="none"/>
        </w:rPr>
        <w:t>维修维护费</w:t>
      </w:r>
      <w:r>
        <w:rPr>
          <w:rFonts w:hint="eastAsia" w:ascii="Times New Roman" w:hAnsi="Times New Roman" w:cs="Times New Roman"/>
          <w:b/>
          <w:bCs/>
          <w:color w:val="auto"/>
          <w:szCs w:val="28"/>
          <w:highlight w:val="none"/>
          <w:lang w:eastAsia="zh-CN"/>
        </w:rPr>
        <w:t>：</w:t>
      </w:r>
      <w:r>
        <w:rPr>
          <w:rFonts w:hint="eastAsia" w:ascii="Times New Roman" w:hAnsi="Times New Roman" w:cs="Times New Roman"/>
          <w:bCs/>
          <w:color w:val="auto"/>
          <w:szCs w:val="28"/>
          <w:highlight w:val="none"/>
          <w:lang w:eastAsia="zh-CN"/>
        </w:rPr>
        <w:t>截至年底，支付了136万维修维护费，该项目还有尾款未付，</w:t>
      </w:r>
      <w:r>
        <w:rPr>
          <w:rFonts w:hint="eastAsia" w:ascii="Times New Roman" w:hAnsi="Times New Roman" w:cs="Times New Roman"/>
          <w:bCs/>
          <w:color w:val="auto"/>
          <w:szCs w:val="28"/>
          <w:highlight w:val="none"/>
          <w:lang w:val="en-US" w:eastAsia="zh-CN"/>
        </w:rPr>
        <w:t>完成率67.09%，得分4.02分</w:t>
      </w:r>
      <w:r>
        <w:rPr>
          <w:rFonts w:hint="eastAsia" w:ascii="Times New Roman" w:hAnsi="Times New Roman" w:cs="Times New Roman"/>
          <w:bCs/>
          <w:color w:val="auto"/>
          <w:szCs w:val="28"/>
          <w:highlight w:val="none"/>
          <w:lang w:eastAsia="zh-CN"/>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综上，该部分指标满分40分，得分</w:t>
      </w:r>
      <w:r>
        <w:rPr>
          <w:rFonts w:hint="eastAsia" w:ascii="Times New Roman" w:hAnsi="Times New Roman" w:cs="Times New Roman"/>
          <w:b/>
          <w:bCs/>
          <w:color w:val="auto"/>
          <w:szCs w:val="28"/>
          <w:highlight w:val="none"/>
          <w:lang w:val="en-US" w:eastAsia="zh-CN"/>
        </w:rPr>
        <w:t>34.02</w:t>
      </w:r>
      <w:r>
        <w:rPr>
          <w:rFonts w:hint="default" w:ascii="Times New Roman" w:hAnsi="Times New Roman" w:cs="Times New Roman"/>
          <w:b/>
          <w:color w:val="auto"/>
          <w:kern w:val="0"/>
          <w:szCs w:val="28"/>
          <w:highlight w:val="none"/>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51" w:name="_Toc67911615"/>
      <w:bookmarkStart w:id="52" w:name="_Toc165277253"/>
      <w:r>
        <w:rPr>
          <w:rFonts w:hint="default" w:ascii="Times New Roman" w:hAnsi="Times New Roman" w:eastAsia="仿宋" w:cs="Times New Roman"/>
          <w:color w:val="auto"/>
          <w:highlight w:val="none"/>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项目效益指标由1个二级指标和2个三级指标构成，权重为20分，实际得分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highlight w:val="none"/>
        </w:rPr>
      </w:pPr>
      <w:bookmarkStart w:id="53" w:name="_Toc165277254"/>
      <w:r>
        <w:rPr>
          <w:rFonts w:hint="default" w:ascii="Times New Roman" w:hAnsi="Times New Roman" w:cs="Times New Roman"/>
          <w:color w:val="auto"/>
          <w:highlight w:val="none"/>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为师生提供良好安全的学习工作环境</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效果明显</w:t>
      </w:r>
      <w:r>
        <w:rPr>
          <w:rFonts w:hint="default" w:ascii="Times New Roman" w:hAnsi="Times New Roman" w:cs="Times New Roman"/>
          <w:color w:val="auto"/>
          <w:szCs w:val="28"/>
          <w:highlight w:val="none"/>
        </w:rPr>
        <w:t>，实际完成值：</w:t>
      </w:r>
      <w:r>
        <w:rPr>
          <w:rFonts w:hint="eastAsia" w:ascii="Times New Roman" w:hAnsi="Times New Roman" w:cs="Times New Roman"/>
          <w:color w:val="auto"/>
          <w:szCs w:val="28"/>
          <w:highlight w:val="none"/>
          <w:lang w:val="en-US" w:eastAsia="zh-CN"/>
        </w:rPr>
        <w:t>完全达到预期指标目标，</w:t>
      </w:r>
      <w:r>
        <w:rPr>
          <w:rFonts w:hint="default" w:ascii="Times New Roman" w:hAnsi="Times New Roman" w:cs="Times New Roman"/>
          <w:color w:val="auto"/>
          <w:szCs w:val="28"/>
          <w:highlight w:val="none"/>
        </w:rPr>
        <w:t>达成年度指标。本项目的实施</w:t>
      </w:r>
      <w:r>
        <w:rPr>
          <w:rFonts w:hint="eastAsia" w:ascii="Times New Roman" w:hAnsi="Times New Roman" w:cs="Times New Roman"/>
          <w:color w:val="auto"/>
          <w:szCs w:val="28"/>
          <w:highlight w:val="none"/>
          <w:lang w:val="en-US" w:eastAsia="zh-CN"/>
        </w:rPr>
        <w:t>10分。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学生特长</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效果明显</w:t>
      </w:r>
      <w:r>
        <w:rPr>
          <w:rFonts w:hint="default" w:ascii="Times New Roman" w:hAnsi="Times New Roman" w:cs="Times New Roman"/>
          <w:color w:val="auto"/>
          <w:szCs w:val="28"/>
          <w:highlight w:val="none"/>
        </w:rPr>
        <w:t>，实际完成值：</w:t>
      </w:r>
      <w:r>
        <w:rPr>
          <w:rFonts w:hint="eastAsia" w:ascii="Times New Roman" w:hAnsi="Times New Roman" w:cs="Times New Roman"/>
          <w:color w:val="auto"/>
          <w:szCs w:val="28"/>
          <w:highlight w:val="none"/>
          <w:lang w:val="en-US" w:eastAsia="zh-CN"/>
        </w:rPr>
        <w:t>完全达到预期指标目标，</w:t>
      </w:r>
      <w:r>
        <w:rPr>
          <w:rFonts w:hint="default" w:ascii="Times New Roman" w:hAnsi="Times New Roman" w:cs="Times New Roman"/>
          <w:color w:val="auto"/>
          <w:szCs w:val="28"/>
          <w:highlight w:val="none"/>
        </w:rPr>
        <w:t>达成年度指标。本项目的实施</w:t>
      </w:r>
      <w:r>
        <w:rPr>
          <w:rFonts w:hint="eastAsia" w:ascii="Times New Roman" w:hAnsi="Times New Roman" w:cs="Times New Roman"/>
          <w:color w:val="auto"/>
          <w:szCs w:val="28"/>
          <w:highlight w:val="none"/>
          <w:lang w:val="en-US" w:eastAsia="zh-CN"/>
        </w:rPr>
        <w:t>10分。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auto"/>
          <w:kern w:val="0"/>
          <w:sz w:val="15"/>
          <w:szCs w:val="15"/>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20</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20</w:t>
      </w:r>
      <w:r>
        <w:rPr>
          <w:rFonts w:hint="default" w:ascii="Times New Roman" w:hAnsi="Times New Roman" w:cs="Times New Roman"/>
          <w:b/>
          <w:color w:val="auto"/>
          <w:kern w:val="0"/>
          <w:szCs w:val="28"/>
          <w:highlight w:val="none"/>
        </w:rPr>
        <w:t>分。</w:t>
      </w:r>
      <w:bookmarkStart w:id="63" w:name="_GoBack"/>
      <w:bookmarkEnd w:id="63"/>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bookmarkStart w:id="54" w:name="_Toc67911617"/>
      <w:bookmarkStart w:id="55" w:name="_Toc165277256"/>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五、主要经验及做法、存在的问题及原因分析</w:t>
      </w:r>
      <w:bookmarkEnd w:id="54"/>
      <w:bookmarkEnd w:id="55"/>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56" w:name="_Toc67911618"/>
      <w:bookmarkStart w:id="57" w:name="_Toc165277257"/>
      <w:r>
        <w:rPr>
          <w:rFonts w:hint="default" w:ascii="Times New Roman" w:hAnsi="Times New Roman" w:eastAsia="仿宋" w:cs="Times New Roman"/>
          <w:color w:val="auto"/>
          <w:highlight w:val="none"/>
          <w:lang w:bidi="en-US"/>
        </w:rPr>
        <w:t>（一）主要经验及做法</w:t>
      </w:r>
      <w:bookmarkEnd w:id="56"/>
      <w:bookmarkEnd w:id="57"/>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imes New Roman" w:hAnsi="Times New Roman"/>
          <w:szCs w:val="32"/>
          <w:highlight w:val="none"/>
        </w:rPr>
      </w:pPr>
      <w:r>
        <w:rPr>
          <w:rFonts w:hint="eastAsia" w:ascii="Times New Roman" w:hAnsi="Times New Roman"/>
          <w:szCs w:val="32"/>
          <w:highlight w:val="none"/>
          <w:lang w:val="en-US" w:eastAsia="zh-CN"/>
        </w:rPr>
        <w:t>主</w:t>
      </w:r>
      <w:r>
        <w:rPr>
          <w:rFonts w:hint="eastAsia" w:ascii="Times New Roman" w:hAnsi="Times New Roman"/>
          <w:szCs w:val="32"/>
          <w:highlight w:val="none"/>
        </w:rPr>
        <w:t>要经验与做法是通过绩效评价总结出来的可能有助于开展其他类似项目或提高被评价项目成效的信息，具体包括项目在实施过程的最佳实践和突出问题，及其对项目绩效的影响。经验教训需要针对被评价项目，立在客观证据的基础之上指出其参考价值。</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auto"/>
          <w:highlight w:val="none"/>
          <w:lang w:bidi="en-US"/>
        </w:rPr>
      </w:pPr>
      <w:bookmarkStart w:id="58" w:name="_Toc165277258"/>
      <w:r>
        <w:rPr>
          <w:rFonts w:hint="default" w:ascii="Times New Roman" w:hAnsi="Times New Roman" w:eastAsia="仿宋" w:cs="Times New Roman"/>
          <w:color w:val="auto"/>
          <w:highlight w:val="none"/>
          <w:lang w:bidi="en-US"/>
        </w:rPr>
        <w:t>（二）存在的问题及原因分析</w:t>
      </w:r>
      <w:bookmarkEnd w:id="58"/>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r>
        <w:rPr>
          <w:rFonts w:hint="eastAsia" w:ascii="Times New Roman" w:hAnsi="Times New Roman" w:cs="Times New Roman"/>
          <w:kern w:val="0"/>
          <w:szCs w:val="28"/>
        </w:rPr>
        <w:t>该项目落实资金</w:t>
      </w:r>
      <w:r>
        <w:rPr>
          <w:rFonts w:hint="eastAsia" w:ascii="Times New Roman" w:hAnsi="Times New Roman" w:cs="Times New Roman"/>
          <w:kern w:val="0"/>
          <w:szCs w:val="28"/>
          <w:lang w:val="en-US" w:eastAsia="zh-CN"/>
        </w:rPr>
        <w:t>202.72</w:t>
      </w:r>
      <w:r>
        <w:rPr>
          <w:rFonts w:hint="eastAsia" w:ascii="Times New Roman" w:hAnsi="Times New Roman" w:cs="Times New Roman"/>
          <w:kern w:val="0"/>
          <w:szCs w:val="28"/>
        </w:rPr>
        <w:t>万元，资金落实率</w:t>
      </w:r>
      <w:r>
        <w:rPr>
          <w:rFonts w:hint="eastAsia" w:ascii="Times New Roman" w:hAnsi="Times New Roman" w:cs="Times New Roman"/>
          <w:kern w:val="0"/>
          <w:szCs w:val="28"/>
          <w:lang w:val="en-US" w:eastAsia="zh-CN"/>
        </w:rPr>
        <w:t>136万元</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2023年</w:t>
      </w:r>
      <w:r>
        <w:rPr>
          <w:rFonts w:hint="eastAsia" w:ascii="Times New Roman" w:hAnsi="Times New Roman" w:cs="Times New Roman"/>
          <w:kern w:val="0"/>
          <w:szCs w:val="28"/>
        </w:rPr>
        <w:t>实际支出资金</w:t>
      </w:r>
      <w:r>
        <w:rPr>
          <w:rFonts w:hint="eastAsia" w:ascii="Times New Roman" w:hAnsi="Times New Roman" w:cs="Times New Roman"/>
          <w:kern w:val="0"/>
          <w:szCs w:val="28"/>
          <w:lang w:val="en-US" w:eastAsia="zh-CN"/>
        </w:rPr>
        <w:t>136</w:t>
      </w:r>
      <w:r>
        <w:rPr>
          <w:rFonts w:hint="eastAsia" w:ascii="Times New Roman" w:hAnsi="Times New Roman" w:cs="Times New Roman"/>
          <w:kern w:val="0"/>
          <w:szCs w:val="28"/>
        </w:rPr>
        <w:t>万元，预算执行率</w:t>
      </w:r>
      <w:r>
        <w:rPr>
          <w:rFonts w:hint="eastAsia" w:ascii="Times New Roman" w:hAnsi="Times New Roman" w:cs="Times New Roman"/>
          <w:kern w:val="0"/>
          <w:szCs w:val="28"/>
          <w:lang w:val="en-US" w:eastAsia="zh-CN"/>
        </w:rPr>
        <w:t>67.09</w:t>
      </w:r>
      <w:r>
        <w:rPr>
          <w:rFonts w:hint="eastAsia" w:ascii="Times New Roman" w:hAnsi="Times New Roman" w:cs="Times New Roman"/>
          <w:kern w:val="0"/>
          <w:szCs w:val="28"/>
        </w:rPr>
        <w:t>%，项目管理各项制度齐全，</w:t>
      </w:r>
      <w:r>
        <w:rPr>
          <w:rFonts w:hint="default" w:ascii="Times New Roman" w:hAnsi="Times New Roman" w:cs="Times New Roman"/>
          <w:kern w:val="0"/>
          <w:szCs w:val="28"/>
        </w:rPr>
        <w:t>城乡义务教育项目直达资金校舍安全保障机制经费</w:t>
      </w:r>
      <w:r>
        <w:rPr>
          <w:rFonts w:hint="eastAsia" w:ascii="Times New Roman" w:hAnsi="Times New Roman" w:cs="Times New Roman"/>
          <w:kern w:val="0"/>
          <w:szCs w:val="28"/>
          <w:lang w:val="en-US" w:eastAsia="zh-CN"/>
        </w:rPr>
        <w:t>项目2022年开始，2023年结束，项目验收合格，有基建项目竣工决算报告，虽然项目已经验收通过，正在使用，但是财政紧张</w:t>
      </w:r>
      <w:r>
        <w:rPr>
          <w:rFonts w:hint="default" w:ascii="Times New Roman" w:hAnsi="Times New Roman" w:cs="Times New Roman"/>
          <w:kern w:val="0"/>
          <w:szCs w:val="28"/>
        </w:rPr>
        <w:t>城乡义务教育项目直达资金校舍安全保障机制经费</w:t>
      </w:r>
      <w:r>
        <w:rPr>
          <w:rFonts w:hint="eastAsia" w:ascii="Times New Roman" w:hAnsi="Times New Roman" w:cs="Times New Roman"/>
          <w:kern w:val="0"/>
          <w:szCs w:val="28"/>
          <w:lang w:val="en-US" w:eastAsia="zh-CN"/>
        </w:rPr>
        <w:t>项目未支付66.72万元，</w:t>
      </w:r>
      <w:r>
        <w:rPr>
          <w:rFonts w:hint="default" w:ascii="Times New Roman" w:hAnsi="Times New Roman" w:cs="Times New Roman"/>
          <w:kern w:val="0"/>
          <w:szCs w:val="28"/>
        </w:rPr>
        <w:t>学校</w:t>
      </w:r>
      <w:r>
        <w:rPr>
          <w:rFonts w:hint="eastAsia" w:ascii="Times New Roman" w:hAnsi="Times New Roman" w:cs="Times New Roman"/>
          <w:kern w:val="0"/>
          <w:szCs w:val="28"/>
          <w:lang w:val="en-US" w:eastAsia="zh-CN"/>
        </w:rPr>
        <w:t>项目</w:t>
      </w:r>
      <w:r>
        <w:rPr>
          <w:rFonts w:hint="default" w:ascii="Times New Roman" w:hAnsi="Times New Roman" w:cs="Times New Roman"/>
          <w:kern w:val="0"/>
          <w:szCs w:val="28"/>
        </w:rPr>
        <w:t>管理中的过程性管理不够实、不够细，评价</w:t>
      </w:r>
      <w:r>
        <w:rPr>
          <w:rFonts w:hint="eastAsia" w:ascii="Times New Roman" w:hAnsi="Times New Roman" w:cs="Times New Roman"/>
          <w:kern w:val="0"/>
          <w:szCs w:val="28"/>
          <w:lang w:val="en-US" w:eastAsia="zh-CN"/>
        </w:rPr>
        <w:t>项目</w:t>
      </w:r>
      <w:r>
        <w:rPr>
          <w:rFonts w:hint="default" w:ascii="Times New Roman" w:hAnsi="Times New Roman" w:cs="Times New Roman"/>
          <w:kern w:val="0"/>
          <w:szCs w:val="28"/>
        </w:rPr>
        <w:t>考核机制还需及时调整、完善</w:t>
      </w:r>
      <w:r>
        <w:rPr>
          <w:rFonts w:hint="eastAsia" w:ascii="Times New Roman" w:hAnsi="Times New Roman" w:cs="Times New Roman"/>
          <w:kern w:val="0"/>
          <w:szCs w:val="28"/>
          <w:lang w:val="en-US" w:eastAsia="zh-CN"/>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kern w:val="0"/>
          <w:szCs w:val="28"/>
          <w:lang w:val="en-US" w:eastAsia="zh-CN"/>
        </w:rPr>
      </w:pP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560" w:lineRule="exact"/>
        <w:ind w:firstLine="0" w:firstLineChars="0"/>
        <w:jc w:val="left"/>
        <w:textAlignment w:val="auto"/>
        <w:rPr>
          <w:rFonts w:hint="default"/>
          <w:highlight w:val="none"/>
        </w:rPr>
      </w:pPr>
      <w:bookmarkStart w:id="59" w:name="_Toc165277259"/>
      <w:bookmarkStart w:id="60" w:name="_Toc67911620"/>
      <w:bookmarkStart w:id="61" w:name="_Toc67911619"/>
      <w:r>
        <w:rPr>
          <w:rFonts w:hint="default" w:ascii="Times New Roman" w:hAnsi="Times New Roman" w:eastAsia="仿宋" w:cs="Times New Roman"/>
          <w:color w:val="auto"/>
          <w:sz w:val="36"/>
          <w:szCs w:val="36"/>
          <w:highlight w:val="none"/>
          <w:lang w:bidi="en-US"/>
        </w:rPr>
        <w:t>有关建议</w:t>
      </w:r>
      <w:bookmarkEnd w:id="59"/>
      <w:bookmarkEnd w:id="60"/>
    </w:p>
    <w:p>
      <w:pPr>
        <w:spacing w:line="360" w:lineRule="auto"/>
        <w:ind w:firstLine="560"/>
        <w:rPr>
          <w:rFonts w:hint="default" w:ascii="Times New Roman" w:hAnsi="Times New Roman" w:eastAsia="仿宋" w:cs="Times New Roman"/>
          <w:color w:val="auto"/>
          <w:sz w:val="36"/>
          <w:szCs w:val="36"/>
          <w:highlight w:val="none"/>
          <w:lang w:bidi="en-US"/>
        </w:rPr>
      </w:pPr>
      <w:r>
        <w:rPr>
          <w:rFonts w:hint="eastAsia" w:ascii="Times New Roman" w:hAnsi="Times New Roman" w:cs="Times New Roman"/>
          <w:color w:val="auto"/>
          <w:szCs w:val="28"/>
          <w:highlight w:val="none"/>
        </w:rPr>
        <w:t>根据绩效评价结果，薄弱学校校舍改造项目资金是件有利于民生的大好事，是一项关心老百姓、深得民心的好项目，该项工作应当继续深化开展。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w:t>
      </w:r>
      <w:r>
        <w:rPr>
          <w:rFonts w:hint="eastAsia" w:ascii="Times New Roman" w:hAnsi="Times New Roman" w:cs="Times New Roman"/>
          <w:color w:val="auto"/>
          <w:szCs w:val="28"/>
          <w:highlight w:val="none"/>
          <w:lang w:val="en-US" w:eastAsia="zh-CN"/>
        </w:rPr>
        <w:t>项目</w:t>
      </w:r>
      <w:r>
        <w:rPr>
          <w:rFonts w:hint="eastAsia" w:ascii="Times New Roman" w:hAnsi="Times New Roman" w:cs="Times New Roman"/>
          <w:color w:val="auto"/>
          <w:szCs w:val="28"/>
          <w:highlight w:val="none"/>
        </w:rPr>
        <w:t>管理机制，便于有效考核执行效果。</w:t>
      </w:r>
      <w:r>
        <w:rPr>
          <w:rFonts w:hint="eastAsia" w:ascii="Times New Roman" w:hAnsi="Times New Roman" w:cs="Times New Roman"/>
          <w:color w:val="auto"/>
          <w:szCs w:val="28"/>
          <w:highlight w:val="none"/>
          <w:lang w:val="en-US" w:eastAsia="zh-CN"/>
        </w:rPr>
        <w:t>加强项目管理中的过程性管理，经常性总结项目实施过程中遇到的问题、以及好的经验，调整、完善项目考核机制。</w:t>
      </w:r>
      <w:bookmarkStart w:id="62" w:name="_Toc16527726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61"/>
      <w:bookmarkEnd w:id="6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spacing w:line="360" w:lineRule="auto"/>
        <w:ind w:firstLine="560"/>
        <w:rPr>
          <w:rFonts w:hint="default" w:ascii="Times New Roman" w:hAnsi="Times New Roman" w:cs="Times New Roman"/>
          <w:color w:val="auto"/>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9"/>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1B8B6"/>
    <w:multiLevelType w:val="singleLevel"/>
    <w:tmpl w:val="0161B8B6"/>
    <w:lvl w:ilvl="0" w:tentative="0">
      <w:start w:val="6"/>
      <w:numFmt w:val="chineseCounting"/>
      <w:suff w:val="nothing"/>
      <w:lvlText w:val="%1、"/>
      <w:lvlJc w:val="left"/>
      <w:rPr>
        <w:rFonts w:hint="eastAsia" w:ascii="仿宋" w:hAnsi="仿宋" w:eastAsia="仿宋" w:cs="仿宋"/>
        <w:sz w:val="36"/>
        <w:szCs w:val="3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2OTc0YWE2OTQ0YmVjMGRkZWJhZDk0YzQ3MWQ5MT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FF5615"/>
    <w:rsid w:val="054315EA"/>
    <w:rsid w:val="0DDE0CB9"/>
    <w:rsid w:val="0E6B25E0"/>
    <w:rsid w:val="0F1B7718"/>
    <w:rsid w:val="141C4F27"/>
    <w:rsid w:val="1546095D"/>
    <w:rsid w:val="15BC4477"/>
    <w:rsid w:val="162C6AF9"/>
    <w:rsid w:val="1A0C2EC9"/>
    <w:rsid w:val="1EEB11AF"/>
    <w:rsid w:val="211E5650"/>
    <w:rsid w:val="21246D4B"/>
    <w:rsid w:val="23F90CF2"/>
    <w:rsid w:val="256E6613"/>
    <w:rsid w:val="2C2B17E8"/>
    <w:rsid w:val="2D6A3D37"/>
    <w:rsid w:val="2F9C6646"/>
    <w:rsid w:val="30296927"/>
    <w:rsid w:val="310D2BEB"/>
    <w:rsid w:val="31D125D7"/>
    <w:rsid w:val="31F745C9"/>
    <w:rsid w:val="33564A45"/>
    <w:rsid w:val="34D16D92"/>
    <w:rsid w:val="37A05337"/>
    <w:rsid w:val="3BB57B15"/>
    <w:rsid w:val="40633754"/>
    <w:rsid w:val="421B33FA"/>
    <w:rsid w:val="4292691A"/>
    <w:rsid w:val="43FB08EE"/>
    <w:rsid w:val="48D847C0"/>
    <w:rsid w:val="4A5D7DEA"/>
    <w:rsid w:val="4CDC67EF"/>
    <w:rsid w:val="4E1C29D4"/>
    <w:rsid w:val="55D310BC"/>
    <w:rsid w:val="58EF691C"/>
    <w:rsid w:val="595A7924"/>
    <w:rsid w:val="59F76DDC"/>
    <w:rsid w:val="5C7D2A85"/>
    <w:rsid w:val="5CB048FD"/>
    <w:rsid w:val="5CB801B7"/>
    <w:rsid w:val="5E4156D4"/>
    <w:rsid w:val="5F2F6338"/>
    <w:rsid w:val="61C277CE"/>
    <w:rsid w:val="64C71494"/>
    <w:rsid w:val="66C35C8B"/>
    <w:rsid w:val="6B3C7DBA"/>
    <w:rsid w:val="6D187EAB"/>
    <w:rsid w:val="6DCF55D8"/>
    <w:rsid w:val="6ECD726F"/>
    <w:rsid w:val="6F490CF7"/>
    <w:rsid w:val="6F716602"/>
    <w:rsid w:val="70716758"/>
    <w:rsid w:val="716B13F9"/>
    <w:rsid w:val="72CF4D6A"/>
    <w:rsid w:val="734168B5"/>
    <w:rsid w:val="736D293D"/>
    <w:rsid w:val="74B25248"/>
    <w:rsid w:val="7A2F08E8"/>
    <w:rsid w:val="7D680EDC"/>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5">
    <w:name w:val="annotation subject"/>
    <w:basedOn w:val="5"/>
    <w:next w:val="5"/>
    <w:link w:val="33"/>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qFormat/>
    <w:uiPriority w:val="0"/>
    <w:rPr>
      <w:b/>
      <w:bCs/>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autoRedefine/>
    <w:semiHidden/>
    <w:unhideWhenUsed/>
    <w:qFormat/>
    <w:uiPriority w:val="99"/>
    <w:rPr>
      <w:vertAlign w:val="superscript"/>
    </w:rPr>
  </w:style>
  <w:style w:type="character" w:customStyle="1" w:styleId="23">
    <w:name w:val="页眉 Char"/>
    <w:basedOn w:val="18"/>
    <w:link w:val="10"/>
    <w:autoRedefine/>
    <w:qFormat/>
    <w:uiPriority w:val="99"/>
    <w:rPr>
      <w:sz w:val="18"/>
      <w:szCs w:val="18"/>
    </w:rPr>
  </w:style>
  <w:style w:type="character" w:customStyle="1" w:styleId="24">
    <w:name w:val="页脚 Char"/>
    <w:basedOn w:val="18"/>
    <w:link w:val="9"/>
    <w:autoRedefine/>
    <w:qFormat/>
    <w:uiPriority w:val="99"/>
    <w:rPr>
      <w:sz w:val="18"/>
      <w:szCs w:val="18"/>
    </w:rPr>
  </w:style>
  <w:style w:type="character" w:customStyle="1" w:styleId="25">
    <w:name w:val="日期 Char"/>
    <w:basedOn w:val="18"/>
    <w:link w:val="7"/>
    <w:autoRedefine/>
    <w:semiHidden/>
    <w:qFormat/>
    <w:uiPriority w:val="99"/>
    <w:rPr>
      <w:rFonts w:ascii="Calibri" w:hAnsi="Calibri" w:eastAsia="仿宋_GB2312" w:cs="黑体"/>
      <w:sz w:val="28"/>
    </w:rPr>
  </w:style>
  <w:style w:type="character" w:customStyle="1" w:styleId="26">
    <w:name w:val="标题 2 Char"/>
    <w:basedOn w:val="18"/>
    <w:link w:val="3"/>
    <w:autoRedefine/>
    <w:qFormat/>
    <w:uiPriority w:val="9"/>
    <w:rPr>
      <w:rFonts w:asciiTheme="majorHAnsi" w:hAnsiTheme="majorHAnsi" w:eastAsiaTheme="majorEastAsia" w:cstheme="majorBidi"/>
      <w:b/>
      <w:bCs/>
      <w:sz w:val="32"/>
      <w:szCs w:val="32"/>
    </w:rPr>
  </w:style>
  <w:style w:type="character" w:customStyle="1" w:styleId="27">
    <w:name w:val="脚注文本 Char"/>
    <w:basedOn w:val="18"/>
    <w:link w:val="12"/>
    <w:autoRedefine/>
    <w:semiHidden/>
    <w:qFormat/>
    <w:uiPriority w:val="99"/>
    <w:rPr>
      <w:rFonts w:ascii="Calibri" w:hAnsi="Calibri" w:eastAsia="仿宋_GB2312" w:cs="黑体"/>
      <w:sz w:val="18"/>
      <w:szCs w:val="18"/>
    </w:rPr>
  </w:style>
  <w:style w:type="paragraph" w:styleId="28">
    <w:name w:val="List Paragraph"/>
    <w:basedOn w:val="1"/>
    <w:autoRedefine/>
    <w:qFormat/>
    <w:uiPriority w:val="34"/>
    <w:pPr>
      <w:ind w:firstLine="420"/>
    </w:pPr>
  </w:style>
  <w:style w:type="table" w:customStyle="1" w:styleId="29">
    <w:name w:val="网格型1"/>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8"/>
    <w:link w:val="2"/>
    <w:autoRedefine/>
    <w:qFormat/>
    <w:uiPriority w:val="9"/>
    <w:rPr>
      <w:rFonts w:ascii="Calibri" w:hAnsi="Calibri" w:eastAsia="仿宋_GB2312" w:cs="黑体"/>
      <w:b/>
      <w:bCs/>
      <w:kern w:val="44"/>
      <w:sz w:val="44"/>
      <w:szCs w:val="44"/>
    </w:rPr>
  </w:style>
  <w:style w:type="paragraph" w:customStyle="1" w:styleId="31">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8"/>
    <w:link w:val="5"/>
    <w:autoRedefine/>
    <w:qFormat/>
    <w:uiPriority w:val="99"/>
    <w:rPr>
      <w:rFonts w:ascii="Calibri" w:hAnsi="Calibri" w:eastAsia="仿宋_GB2312" w:cs="黑体"/>
      <w:sz w:val="28"/>
    </w:rPr>
  </w:style>
  <w:style w:type="character" w:customStyle="1" w:styleId="33">
    <w:name w:val="批注主题 Char"/>
    <w:basedOn w:val="32"/>
    <w:link w:val="15"/>
    <w:autoRedefine/>
    <w:semiHidden/>
    <w:qFormat/>
    <w:uiPriority w:val="99"/>
    <w:rPr>
      <w:rFonts w:ascii="Calibri" w:hAnsi="Calibri" w:eastAsia="仿宋_GB2312" w:cs="黑体"/>
      <w:b/>
      <w:bCs/>
      <w:sz w:val="28"/>
    </w:rPr>
  </w:style>
  <w:style w:type="character" w:customStyle="1" w:styleId="34">
    <w:name w:val="批注框文本 Char"/>
    <w:basedOn w:val="18"/>
    <w:link w:val="8"/>
    <w:autoRedefine/>
    <w:semiHidden/>
    <w:qFormat/>
    <w:uiPriority w:val="99"/>
    <w:rPr>
      <w:rFonts w:ascii="Calibri" w:hAnsi="Calibri" w:eastAsia="仿宋_GB2312" w:cs="黑体"/>
      <w:sz w:val="18"/>
      <w:szCs w:val="18"/>
    </w:rPr>
  </w:style>
  <w:style w:type="character" w:customStyle="1" w:styleId="35">
    <w:name w:val="标题 3 Char"/>
    <w:basedOn w:val="18"/>
    <w:link w:val="4"/>
    <w:autoRedefine/>
    <w:qFormat/>
    <w:uiPriority w:val="9"/>
    <w:rPr>
      <w:rFonts w:ascii="Calibri" w:hAnsi="Calibri" w:eastAsia="仿宋_GB2312" w:cs="黑体"/>
      <w:b/>
      <w:bCs/>
      <w:sz w:val="32"/>
      <w:szCs w:val="32"/>
    </w:rPr>
  </w:style>
  <w:style w:type="paragraph" w:customStyle="1" w:styleId="36">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26</Pages>
  <Words>11445</Words>
  <Characters>12380</Characters>
  <Lines>82</Lines>
  <Paragraphs>23</Paragraphs>
  <TotalTime>20</TotalTime>
  <ScaleCrop>false</ScaleCrop>
  <LinksUpToDate>false</LinksUpToDate>
  <CharactersWithSpaces>12524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2024-06-06T04:10:53Z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