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rPr>
      </w:pPr>
    </w:p>
    <w:p>
      <w:pPr>
        <w:spacing w:line="480" w:lineRule="auto"/>
        <w:ind w:firstLine="0" w:firstLineChars="0"/>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before="120" w:after="120" w:line="480" w:lineRule="auto"/>
        <w:ind w:firstLine="0" w:firstLineChars="0"/>
        <w:jc w:val="center"/>
        <w:rPr>
          <w:rFonts w:ascii="Times New Roman" w:hAnsi="Times New Roman" w:cs="Times New Roman"/>
          <w:b/>
          <w:sz w:val="44"/>
          <w:szCs w:val="44"/>
        </w:rPr>
      </w:pPr>
      <w:r>
        <w:rPr>
          <w:rFonts w:hint="eastAsia"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firstLine="0" w:firstLineChars="0"/>
        <w:jc w:val="center"/>
        <w:rPr>
          <w:rFonts w:ascii="Times New Roman" w:hAnsi="Times New Roman" w:eastAsia="黑体" w:cs="Times New Roman"/>
          <w:b/>
          <w:kern w:val="0"/>
          <w:sz w:val="50"/>
          <w:szCs w:val="50"/>
        </w:rPr>
      </w:pPr>
    </w:p>
    <w:p>
      <w:pPr>
        <w:spacing w:line="480" w:lineRule="auto"/>
        <w:ind w:left="3006" w:leftChars="502" w:hanging="1600" w:hangingChars="500"/>
        <w:jc w:val="left"/>
        <w:rPr>
          <w:rFonts w:ascii="Times New Roman" w:hAnsi="Times New Roman" w:cs="Times New Roman"/>
          <w:kern w:val="0"/>
          <w:sz w:val="32"/>
          <w:szCs w:val="32"/>
        </w:rPr>
      </w:pPr>
      <w:r>
        <w:rPr>
          <w:rFonts w:hint="eastAsia" w:ascii="Times New Roman" w:hAnsi="Times New Roman" w:cs="Times New Roman"/>
          <w:kern w:val="0"/>
          <w:sz w:val="32"/>
          <w:szCs w:val="32"/>
        </w:rPr>
        <w:t>项目名称：关于下达中央疫情防控财力补助预算的通知</w:t>
      </w:r>
      <w:r>
        <w:rPr>
          <w:rFonts w:ascii="Times New Roman" w:hAnsi="Times New Roman" w:cs="Times New Roman"/>
          <w:kern w:val="0"/>
          <w:sz w:val="32"/>
          <w:szCs w:val="32"/>
        </w:rPr>
        <w:t xml:space="preserve"> </w:t>
      </w:r>
    </w:p>
    <w:p>
      <w:pPr>
        <w:spacing w:line="480" w:lineRule="auto"/>
        <w:ind w:left="2966" w:leftChars="488" w:hanging="1600" w:hangingChars="500"/>
        <w:jc w:val="left"/>
        <w:rPr>
          <w:rFonts w:ascii="Times New Roman" w:hAnsi="Times New Roman" w:cs="Times New Roman"/>
          <w:kern w:val="0"/>
          <w:sz w:val="32"/>
          <w:szCs w:val="32"/>
        </w:rPr>
      </w:pPr>
      <w:r>
        <w:rPr>
          <w:rFonts w:hint="eastAsia" w:ascii="Times New Roman" w:hAnsi="Times New Roman" w:cs="Times New Roman"/>
          <w:kern w:val="0"/>
          <w:sz w:val="32"/>
          <w:szCs w:val="32"/>
        </w:rPr>
        <w:t>项目单位：乌鲁木齐县应急管理局（矿山安全监督管理局）</w:t>
      </w:r>
    </w:p>
    <w:p>
      <w:pPr>
        <w:spacing w:line="480" w:lineRule="auto"/>
        <w:ind w:left="2966" w:leftChars="488" w:hanging="1600" w:hangingChars="500"/>
        <w:jc w:val="left"/>
        <w:rPr>
          <w:rFonts w:ascii="Times New Roman" w:hAnsi="Times New Roman" w:cs="Times New Roman"/>
          <w:kern w:val="0"/>
          <w:sz w:val="32"/>
          <w:szCs w:val="32"/>
        </w:rPr>
      </w:pPr>
      <w:r>
        <w:rPr>
          <w:rFonts w:hint="eastAsia" w:ascii="Times New Roman" w:hAnsi="Times New Roman" w:cs="Times New Roman"/>
          <w:kern w:val="0"/>
          <w:sz w:val="32"/>
          <w:szCs w:val="32"/>
        </w:rPr>
        <w:t>主管部门：乌鲁木齐县应急管理局（矿山安全监督管理局）</w:t>
      </w:r>
    </w:p>
    <w:p>
      <w:pPr>
        <w:spacing w:line="480" w:lineRule="auto"/>
        <w:ind w:left="280" w:leftChars="100" w:firstLine="1091" w:firstLineChars="341"/>
        <w:jc w:val="left"/>
        <w:rPr>
          <w:rFonts w:ascii="Times New Roman" w:hAnsi="Times New Roman" w:cs="Times New Roman"/>
          <w:kern w:val="0"/>
          <w:sz w:val="32"/>
          <w:szCs w:val="32"/>
        </w:rPr>
      </w:pPr>
    </w:p>
    <w:p>
      <w:pPr>
        <w:spacing w:line="480" w:lineRule="auto"/>
        <w:ind w:firstLine="1411" w:firstLineChars="441"/>
        <w:jc w:val="left"/>
        <w:rPr>
          <w:rFonts w:ascii="Times New Roman" w:hAnsi="Times New Roman" w:cs="Times New Roman"/>
          <w:kern w:val="0"/>
          <w:sz w:val="32"/>
          <w:szCs w:val="32"/>
        </w:rPr>
      </w:pPr>
    </w:p>
    <w:p>
      <w:pPr>
        <w:spacing w:line="480" w:lineRule="auto"/>
        <w:ind w:firstLine="0" w:firstLineChars="0"/>
        <w:rPr>
          <w:rFonts w:ascii="Times New Roman" w:hAnsi="Times New Roman" w:eastAsia="黑体" w:cs="Times New Roman"/>
          <w:b/>
          <w:kern w:val="0"/>
          <w:sz w:val="32"/>
          <w:szCs w:val="32"/>
        </w:rPr>
      </w:pPr>
    </w:p>
    <w:p>
      <w:pPr>
        <w:spacing w:line="480" w:lineRule="auto"/>
        <w:ind w:firstLine="0" w:firstLineChars="0"/>
        <w:jc w:val="center"/>
        <w:rPr>
          <w:rFonts w:ascii="Times New Roman" w:hAnsi="Times New Roman" w:cs="Times New Roman"/>
          <w:kern w:val="0"/>
          <w:sz w:val="32"/>
          <w:szCs w:val="32"/>
        </w:rPr>
      </w:pPr>
      <w:r>
        <w:rPr>
          <w:rFonts w:ascii="Times New Roman" w:hAnsi="Times New Roman" w:cs="Times New Roman"/>
          <w:kern w:val="0"/>
          <w:sz w:val="32"/>
          <w:szCs w:val="32"/>
        </w:rPr>
        <w:t>2023</w:t>
      </w:r>
      <w:r>
        <w:rPr>
          <w:rFonts w:hint="eastAsia" w:ascii="Times New Roman" w:hAnsi="Times New Roman" w:cs="Times New Roman"/>
          <w:kern w:val="0"/>
          <w:sz w:val="32"/>
          <w:szCs w:val="32"/>
        </w:rPr>
        <w:t>年</w:t>
      </w:r>
      <w:r>
        <w:rPr>
          <w:rFonts w:ascii="Times New Roman" w:hAnsi="Times New Roman" w:cs="Times New Roman"/>
          <w:kern w:val="0"/>
          <w:sz w:val="32"/>
          <w:szCs w:val="32"/>
        </w:rPr>
        <w:t>05</w:t>
      </w:r>
      <w:r>
        <w:rPr>
          <w:rFonts w:hint="eastAsia" w:ascii="Times New Roman" w:hAnsi="Times New Roman" w:cs="Times New Roman"/>
          <w:kern w:val="0"/>
          <w:sz w:val="32"/>
          <w:szCs w:val="32"/>
        </w:rPr>
        <w:t>月</w:t>
      </w:r>
    </w:p>
    <w:p>
      <w:pPr>
        <w:tabs>
          <w:tab w:val="left" w:pos="3324"/>
        </w:tabs>
        <w:spacing w:line="480" w:lineRule="auto"/>
        <w:ind w:firstLine="0" w:firstLineChars="0"/>
        <w:rPr>
          <w:rFonts w:ascii="Times New Roman" w:hAnsi="Times New Roman" w:cs="Times New Roman"/>
          <w:kern w:val="0"/>
          <w:sz w:val="32"/>
          <w:szCs w:val="32"/>
        </w:rPr>
      </w:pPr>
      <w:r>
        <w:rPr>
          <w:rFonts w:ascii="Times New Roman" w:hAnsi="Times New Roman" w:cs="Times New Roman"/>
          <w:kern w:val="0"/>
          <w:sz w:val="32"/>
          <w:szCs w:val="32"/>
        </w:rPr>
        <w:tab/>
      </w:r>
    </w:p>
    <w:p>
      <w:pPr>
        <w:pStyle w:val="35"/>
        <w:ind w:firstLine="560"/>
        <w:jc w:val="center"/>
        <w:rPr>
          <w:rFonts w:hint="eastAsia" w:ascii="黑体" w:hAnsi="黑体" w:eastAsia="黑体" w:cs="黑体"/>
          <w:color w:val="auto"/>
          <w:sz w:val="44"/>
          <w:szCs w:val="44"/>
          <w:lang w:val="zh-CN"/>
        </w:rPr>
      </w:pPr>
      <w:r>
        <w:rPr>
          <w:rFonts w:hint="eastAsia" w:ascii="黑体" w:hAnsi="黑体" w:eastAsia="黑体" w:cs="黑体"/>
          <w:color w:val="auto"/>
          <w:sz w:val="44"/>
          <w:szCs w:val="44"/>
          <w:lang w:val="zh-CN"/>
        </w:rPr>
        <w:t>目录</w:t>
      </w:r>
    </w:p>
    <w:p>
      <w:pPr>
        <w:ind w:firstLine="560"/>
        <w:rPr>
          <w:lang w:val="zh-CN"/>
        </w:rPr>
      </w:pPr>
    </w:p>
    <w:p>
      <w:pPr>
        <w:pStyle w:val="11"/>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_Toc16767 </w:instrText>
      </w:r>
      <w:r>
        <w:rPr>
          <w:rFonts w:hint="default" w:ascii="Times New Roman" w:hAnsi="Times New Roman" w:cs="Times New Roman"/>
        </w:rPr>
        <w:fldChar w:fldCharType="separate"/>
      </w:r>
      <w:r>
        <w:rPr>
          <w:rFonts w:hint="default" w:ascii="Times New Roman" w:hAnsi="Times New Roman" w:eastAsia="仿宋" w:cs="Times New Roman"/>
          <w:szCs w:val="36"/>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_Toc16767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_Toc29677 </w:instrText>
      </w:r>
      <w:r>
        <w:rPr>
          <w:rFonts w:hint="default" w:ascii="Times New Roman" w:hAnsi="Times New Roman" w:cs="Times New Roman"/>
        </w:rPr>
        <w:fldChar w:fldCharType="separate"/>
      </w:r>
      <w:r>
        <w:rPr>
          <w:rFonts w:hint="default" w:ascii="Times New Roman" w:hAnsi="Times New Roman" w:eastAsia="仿宋" w:cs="Times New Roman"/>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_Toc29677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_Toc3120 </w:instrText>
      </w:r>
      <w:r>
        <w:rPr>
          <w:rFonts w:hint="default" w:ascii="Times New Roman" w:hAnsi="Times New Roman" w:cs="Times New Roman"/>
        </w:rPr>
        <w:fldChar w:fldCharType="separate"/>
      </w:r>
      <w:r>
        <w:rPr>
          <w:rFonts w:hint="default" w:ascii="Times New Roman" w:hAnsi="Times New Roman" w:eastAsia="仿宋" w:cs="Times New Roman"/>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_Toc3120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_Toc15343 </w:instrText>
      </w:r>
      <w:r>
        <w:rPr>
          <w:rFonts w:hint="default" w:ascii="Times New Roman" w:hAnsi="Times New Roman" w:cs="Times New Roman"/>
        </w:rPr>
        <w:fldChar w:fldCharType="separate"/>
      </w:r>
      <w:r>
        <w:rPr>
          <w:rFonts w:hint="default" w:ascii="Times New Roman" w:hAnsi="Times New Roman" w:eastAsia="仿宋" w:cs="Times New Roman"/>
          <w:szCs w:val="36"/>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_Toc15343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_Toc7888 </w:instrText>
      </w:r>
      <w:r>
        <w:rPr>
          <w:rFonts w:hint="default" w:ascii="Times New Roman" w:hAnsi="Times New Roman" w:cs="Times New Roman"/>
        </w:rPr>
        <w:fldChar w:fldCharType="separate"/>
      </w:r>
      <w:r>
        <w:rPr>
          <w:rFonts w:hint="default" w:ascii="Times New Roman" w:hAnsi="Times New Roman" w:eastAsia="仿宋" w:cs="Times New Roman"/>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_Toc7888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_Toc28336 </w:instrText>
      </w:r>
      <w:r>
        <w:rPr>
          <w:rFonts w:hint="default" w:ascii="Times New Roman" w:hAnsi="Times New Roman" w:cs="Times New Roman"/>
        </w:rPr>
        <w:fldChar w:fldCharType="separate"/>
      </w:r>
      <w:r>
        <w:rPr>
          <w:rFonts w:hint="default" w:ascii="Times New Roman" w:hAnsi="Times New Roman" w:cs="Times New Roman"/>
        </w:rPr>
        <w:t>1.绩效评价完整性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_Toc28336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_Toc12276 </w:instrText>
      </w:r>
      <w:r>
        <w:rPr>
          <w:rFonts w:hint="default" w:ascii="Times New Roman" w:hAnsi="Times New Roman" w:cs="Times New Roman"/>
        </w:rPr>
        <w:fldChar w:fldCharType="separate"/>
      </w:r>
      <w:r>
        <w:rPr>
          <w:rFonts w:hint="default" w:ascii="Times New Roman" w:hAnsi="Times New Roman" w:cs="Times New Roman"/>
        </w:rPr>
        <w:t>2.评价目的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_Toc12276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_Toc18987 </w:instrText>
      </w:r>
      <w:r>
        <w:rPr>
          <w:rFonts w:hint="default" w:ascii="Times New Roman" w:hAnsi="Times New Roman" w:cs="Times New Roman"/>
        </w:rPr>
        <w:fldChar w:fldCharType="separate"/>
      </w:r>
      <w:r>
        <w:rPr>
          <w:rFonts w:hint="default" w:ascii="Times New Roman" w:hAnsi="Times New Roman" w:cs="Times New Roman"/>
        </w:rPr>
        <w:t>3.评价对象</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_Toc18987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_Toc14881 </w:instrText>
      </w:r>
      <w:r>
        <w:rPr>
          <w:rFonts w:hint="default" w:ascii="Times New Roman" w:hAnsi="Times New Roman" w:cs="Times New Roman"/>
        </w:rPr>
        <w:fldChar w:fldCharType="separate"/>
      </w:r>
      <w:r>
        <w:rPr>
          <w:rFonts w:hint="default" w:ascii="Times New Roman" w:hAnsi="Times New Roman" w:cs="Times New Roman"/>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_Toc14881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_Toc26636 </w:instrText>
      </w:r>
      <w:r>
        <w:rPr>
          <w:rFonts w:hint="default" w:ascii="Times New Roman" w:hAnsi="Times New Roman" w:cs="Times New Roman"/>
        </w:rPr>
        <w:fldChar w:fldCharType="separate"/>
      </w:r>
      <w:r>
        <w:rPr>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_Toc26636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_Toc15335 </w:instrText>
      </w:r>
      <w:r>
        <w:rPr>
          <w:rFonts w:hint="default" w:ascii="Times New Roman" w:hAnsi="Times New Roman" w:cs="Times New Roman"/>
        </w:rPr>
        <w:fldChar w:fldCharType="separate"/>
      </w:r>
      <w:r>
        <w:rPr>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_Toc15335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_Toc28781 </w:instrText>
      </w:r>
      <w:r>
        <w:rPr>
          <w:rFonts w:hint="default" w:ascii="Times New Roman" w:hAnsi="Times New Roman" w:cs="Times New Roman"/>
        </w:rPr>
        <w:fldChar w:fldCharType="separate"/>
      </w:r>
      <w:r>
        <w:rPr>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_Toc28781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_Toc10181 </w:instrText>
      </w:r>
      <w:r>
        <w:rPr>
          <w:rFonts w:hint="default" w:ascii="Times New Roman" w:hAnsi="Times New Roman" w:cs="Times New Roman"/>
        </w:rPr>
        <w:fldChar w:fldCharType="separate"/>
      </w:r>
      <w:r>
        <w:rPr>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_Toc10181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_Toc4979 </w:instrText>
      </w:r>
      <w:r>
        <w:rPr>
          <w:rFonts w:hint="default" w:ascii="Times New Roman" w:hAnsi="Times New Roman" w:cs="Times New Roman"/>
        </w:rPr>
        <w:fldChar w:fldCharType="separate"/>
      </w:r>
      <w:r>
        <w:rPr>
          <w:rFonts w:hint="default" w:ascii="Times New Roman" w:hAnsi="Times New Roman" w:eastAsia="仿宋" w:cs="Times New Roman"/>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_Toc4979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_Toc10748 </w:instrText>
      </w:r>
      <w:r>
        <w:rPr>
          <w:rFonts w:hint="default" w:ascii="Times New Roman" w:hAnsi="Times New Roman" w:cs="Times New Roman"/>
        </w:rPr>
        <w:fldChar w:fldCharType="separate"/>
      </w:r>
      <w:r>
        <w:rPr>
          <w:rFonts w:hint="default" w:ascii="Times New Roman" w:hAnsi="Times New Roman" w:eastAsia="仿宋" w:cs="Times New Roman"/>
          <w:szCs w:val="36"/>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_Toc10748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_Toc28053 </w:instrText>
      </w:r>
      <w:r>
        <w:rPr>
          <w:rFonts w:hint="default" w:ascii="Times New Roman" w:hAnsi="Times New Roman" w:cs="Times New Roman"/>
        </w:rPr>
        <w:fldChar w:fldCharType="separate"/>
      </w:r>
      <w:r>
        <w:rPr>
          <w:rFonts w:hint="default" w:ascii="Times New Roman" w:hAnsi="Times New Roman" w:eastAsia="仿宋" w:cs="Times New Roman"/>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_Toc28053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_Toc4448 </w:instrText>
      </w:r>
      <w:r>
        <w:rPr>
          <w:rFonts w:hint="default" w:ascii="Times New Roman" w:hAnsi="Times New Roman" w:cs="Times New Roman"/>
        </w:rPr>
        <w:fldChar w:fldCharType="separate"/>
      </w:r>
      <w:r>
        <w:rPr>
          <w:rFonts w:hint="default" w:ascii="Times New Roman" w:hAnsi="Times New Roman" w:eastAsia="仿宋" w:cs="Times New Roman"/>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_Toc4448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_Toc3501 </w:instrText>
      </w:r>
      <w:r>
        <w:rPr>
          <w:rFonts w:hint="default" w:ascii="Times New Roman" w:hAnsi="Times New Roman" w:cs="Times New Roman"/>
        </w:rPr>
        <w:fldChar w:fldCharType="separate"/>
      </w:r>
      <w:r>
        <w:rPr>
          <w:rFonts w:hint="default" w:ascii="Times New Roman" w:hAnsi="Times New Roman" w:eastAsia="仿宋" w:cs="Times New Roman"/>
          <w:szCs w:val="36"/>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_Toc3501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_Toc1900 </w:instrText>
      </w:r>
      <w:r>
        <w:rPr>
          <w:rFonts w:hint="default" w:ascii="Times New Roman" w:hAnsi="Times New Roman" w:cs="Times New Roman"/>
        </w:rPr>
        <w:fldChar w:fldCharType="separate"/>
      </w:r>
      <w:r>
        <w:rPr>
          <w:rFonts w:hint="default" w:ascii="Times New Roman" w:hAnsi="Times New Roman" w:eastAsia="仿宋" w:cs="Times New Roman"/>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_Toc1900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_Toc7465 </w:instrText>
      </w:r>
      <w:r>
        <w:rPr>
          <w:rFonts w:hint="default" w:ascii="Times New Roman" w:hAnsi="Times New Roman" w:cs="Times New Roman"/>
        </w:rPr>
        <w:fldChar w:fldCharType="separate"/>
      </w:r>
      <w:r>
        <w:rPr>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_Toc7465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_Toc9778 </w:instrText>
      </w:r>
      <w:r>
        <w:rPr>
          <w:rFonts w:hint="default" w:ascii="Times New Roman" w:hAnsi="Times New Roman" w:cs="Times New Roman"/>
        </w:rPr>
        <w:fldChar w:fldCharType="separate"/>
      </w:r>
      <w:r>
        <w:rPr>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_Toc9778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_Toc29385 </w:instrText>
      </w:r>
      <w:r>
        <w:rPr>
          <w:rFonts w:hint="default" w:ascii="Times New Roman" w:hAnsi="Times New Roman" w:cs="Times New Roman"/>
        </w:rPr>
        <w:fldChar w:fldCharType="separate"/>
      </w:r>
      <w:r>
        <w:rPr>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_Toc29385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_Toc11348 </w:instrText>
      </w:r>
      <w:r>
        <w:rPr>
          <w:rFonts w:hint="default" w:ascii="Times New Roman" w:hAnsi="Times New Roman" w:cs="Times New Roman"/>
        </w:rPr>
        <w:fldChar w:fldCharType="separate"/>
      </w:r>
      <w:r>
        <w:rPr>
          <w:rFonts w:hint="default" w:ascii="Times New Roman" w:hAnsi="Times New Roman" w:eastAsia="仿宋" w:cs="Times New Roman"/>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_Toc11348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_Toc13773 </w:instrText>
      </w:r>
      <w:r>
        <w:rPr>
          <w:rFonts w:hint="default" w:ascii="Times New Roman" w:hAnsi="Times New Roman" w:cs="Times New Roman"/>
        </w:rPr>
        <w:fldChar w:fldCharType="separate"/>
      </w:r>
      <w:r>
        <w:rPr>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_Toc13773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_Toc3814 </w:instrText>
      </w:r>
      <w:r>
        <w:rPr>
          <w:rFonts w:hint="default" w:ascii="Times New Roman" w:hAnsi="Times New Roman" w:cs="Times New Roman"/>
        </w:rPr>
        <w:fldChar w:fldCharType="separate"/>
      </w:r>
      <w:r>
        <w:rPr>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_Toc3814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_Toc1724 </w:instrText>
      </w:r>
      <w:r>
        <w:rPr>
          <w:rFonts w:hint="default" w:ascii="Times New Roman" w:hAnsi="Times New Roman" w:cs="Times New Roman"/>
        </w:rPr>
        <w:fldChar w:fldCharType="separate"/>
      </w:r>
      <w:r>
        <w:rPr>
          <w:rFonts w:hint="default" w:ascii="Times New Roman" w:hAnsi="Times New Roman" w:eastAsia="仿宋" w:cs="Times New Roman"/>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_Toc1724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_Toc10953 </w:instrText>
      </w:r>
      <w:r>
        <w:rPr>
          <w:rFonts w:hint="default" w:ascii="Times New Roman" w:hAnsi="Times New Roman" w:cs="Times New Roman"/>
        </w:rPr>
        <w:fldChar w:fldCharType="separate"/>
      </w:r>
      <w:r>
        <w:rPr>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_Toc10953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_Toc7461 </w:instrText>
      </w:r>
      <w:r>
        <w:rPr>
          <w:rFonts w:hint="default" w:ascii="Times New Roman" w:hAnsi="Times New Roman" w:cs="Times New Roman"/>
        </w:rPr>
        <w:fldChar w:fldCharType="separate"/>
      </w:r>
      <w:r>
        <w:rPr>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_Toc7461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_Toc26358 </w:instrText>
      </w:r>
      <w:r>
        <w:rPr>
          <w:rFonts w:hint="default" w:ascii="Times New Roman" w:hAnsi="Times New Roman" w:cs="Times New Roman"/>
        </w:rPr>
        <w:fldChar w:fldCharType="separate"/>
      </w:r>
      <w:r>
        <w:rPr>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_Toc26358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_Toc12681 </w:instrText>
      </w:r>
      <w:r>
        <w:rPr>
          <w:rFonts w:hint="default" w:ascii="Times New Roman" w:hAnsi="Times New Roman" w:cs="Times New Roman"/>
        </w:rPr>
        <w:fldChar w:fldCharType="separate"/>
      </w:r>
      <w:r>
        <w:rPr>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_Toc12681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_Toc31147 </w:instrText>
      </w:r>
      <w:r>
        <w:rPr>
          <w:rFonts w:hint="default" w:ascii="Times New Roman" w:hAnsi="Times New Roman" w:cs="Times New Roman"/>
        </w:rPr>
        <w:fldChar w:fldCharType="separate"/>
      </w:r>
      <w:r>
        <w:rPr>
          <w:rFonts w:hint="default" w:ascii="Times New Roman" w:hAnsi="Times New Roman" w:eastAsia="仿宋" w:cs="Times New Roman"/>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_Toc31147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_Toc2534 </w:instrText>
      </w:r>
      <w:r>
        <w:rPr>
          <w:rFonts w:hint="default" w:ascii="Times New Roman" w:hAnsi="Times New Roman" w:cs="Times New Roman"/>
        </w:rPr>
        <w:fldChar w:fldCharType="separate"/>
      </w:r>
      <w:r>
        <w:rPr>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_Toc2534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_Toc16066 </w:instrText>
      </w:r>
      <w:r>
        <w:rPr>
          <w:rFonts w:hint="default" w:ascii="Times New Roman" w:hAnsi="Times New Roman" w:cs="Times New Roman"/>
        </w:rPr>
        <w:fldChar w:fldCharType="separate"/>
      </w:r>
      <w:r>
        <w:rPr>
          <w:rFonts w:hint="default" w:ascii="Times New Roman" w:hAnsi="Times New Roman" w:eastAsia="仿宋" w:cs="Times New Roman"/>
          <w:szCs w:val="36"/>
        </w:rPr>
        <w:t>五、主要经验及做法、存在的问题及原因分析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_Toc16066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_Toc20791 </w:instrText>
      </w:r>
      <w:r>
        <w:rPr>
          <w:rFonts w:hint="default" w:ascii="Times New Roman" w:hAnsi="Times New Roman" w:cs="Times New Roman"/>
        </w:rPr>
        <w:fldChar w:fldCharType="separate"/>
      </w:r>
      <w:r>
        <w:rPr>
          <w:rFonts w:hint="default" w:ascii="Times New Roman" w:hAnsi="Times New Roman" w:eastAsia="仿宋" w:cs="Times New Roman"/>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_Toc20791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_Toc2058 </w:instrText>
      </w:r>
      <w:r>
        <w:rPr>
          <w:rFonts w:hint="default" w:ascii="Times New Roman" w:hAnsi="Times New Roman" w:cs="Times New Roman"/>
        </w:rPr>
        <w:fldChar w:fldCharType="separate"/>
      </w:r>
      <w:r>
        <w:rPr>
          <w:rFonts w:hint="default" w:ascii="Times New Roman" w:hAnsi="Times New Roman" w:eastAsia="仿宋" w:cs="Times New Roman"/>
          <w:lang w:val="en-US" w:eastAsia="zh-CN"/>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_Toc2058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_Toc16431 </w:instrText>
      </w:r>
      <w:r>
        <w:rPr>
          <w:rFonts w:hint="default" w:ascii="Times New Roman" w:hAnsi="Times New Roman" w:cs="Times New Roman"/>
        </w:rPr>
        <w:fldChar w:fldCharType="separate"/>
      </w:r>
      <w:r>
        <w:rPr>
          <w:rFonts w:hint="default" w:ascii="Times New Roman" w:hAnsi="Times New Roman" w:eastAsia="仿宋" w:cs="Times New Roman"/>
          <w:szCs w:val="36"/>
        </w:rPr>
        <w:t>六、有关建议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_Toc16431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_Toc16041 </w:instrText>
      </w:r>
      <w:r>
        <w:rPr>
          <w:rFonts w:hint="default" w:ascii="Times New Roman" w:hAnsi="Times New Roman" w:cs="Times New Roman"/>
        </w:rPr>
        <w:fldChar w:fldCharType="separate"/>
      </w:r>
      <w:r>
        <w:rPr>
          <w:rFonts w:hint="default" w:ascii="Times New Roman" w:hAnsi="Times New Roman" w:eastAsia="仿宋" w:cs="Times New Roman"/>
          <w:szCs w:val="36"/>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_Toc16041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0"/>
        <w:rPr>
          <w:rFonts w:ascii="Times New Roman" w:hAnsi="Times New Roman" w:cs="Times New Roman"/>
        </w:rPr>
      </w:pPr>
      <w:r>
        <w:rPr>
          <w:rFonts w:hint="default" w:ascii="Times New Roman" w:hAnsi="Times New Roman" w:cs="Times New Roman"/>
        </w:rPr>
        <w:fldChar w:fldCharType="end"/>
      </w:r>
    </w:p>
    <w:p>
      <w:pPr>
        <w:ind w:firstLine="598" w:firstLineChars="187"/>
        <w:rPr>
          <w:rFonts w:ascii="Times New Roman" w:hAnsi="Times New Roman" w:cs="Times New Roman"/>
          <w:sz w:val="32"/>
          <w:szCs w:val="32"/>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spacing w:before="0" w:after="0" w:line="560" w:lineRule="exact"/>
        <w:ind w:firstLine="0" w:firstLineChars="0"/>
        <w:jc w:val="left"/>
        <w:rPr>
          <w:rFonts w:ascii="Times New Roman" w:hAnsi="Times New Roman" w:eastAsia="仿宋" w:cs="Times New Roman"/>
          <w:sz w:val="36"/>
          <w:szCs w:val="36"/>
        </w:rPr>
      </w:pPr>
      <w:bookmarkStart w:id="0" w:name="_Toc67911601"/>
      <w:bookmarkStart w:id="1" w:name="_Toc16767"/>
      <w:r>
        <w:rPr>
          <w:rFonts w:hint="eastAsia" w:ascii="Times New Roman" w:hAnsi="Times New Roman" w:eastAsia="仿宋" w:cs="Times New Roman"/>
          <w:sz w:val="36"/>
          <w:szCs w:val="36"/>
        </w:rPr>
        <w:t>一、基本情况</w:t>
      </w:r>
      <w:bookmarkEnd w:id="0"/>
      <w:bookmarkEnd w:id="1"/>
    </w:p>
    <w:p>
      <w:pPr>
        <w:pStyle w:val="3"/>
        <w:spacing w:before="0" w:after="0" w:line="560" w:lineRule="exact"/>
        <w:ind w:firstLine="643"/>
        <w:rPr>
          <w:rFonts w:ascii="Times New Roman" w:hAnsi="Times New Roman" w:eastAsia="仿宋"/>
        </w:rPr>
      </w:pPr>
      <w:bookmarkStart w:id="2" w:name="_Toc67911602"/>
      <w:bookmarkStart w:id="3" w:name="_Toc29677"/>
      <w:r>
        <w:rPr>
          <w:rFonts w:hint="eastAsia" w:ascii="Times New Roman" w:hAnsi="Times New Roman" w:eastAsia="仿宋"/>
        </w:rPr>
        <w:t>（一）项目概况</w:t>
      </w:r>
      <w:bookmarkEnd w:id="2"/>
      <w:bookmarkEnd w:id="3"/>
    </w:p>
    <w:p>
      <w:pPr>
        <w:pStyle w:val="4"/>
        <w:spacing w:before="0" w:after="0" w:line="560" w:lineRule="exact"/>
        <w:ind w:firstLine="643"/>
        <w:rPr>
          <w:rFonts w:ascii="Times New Roman" w:hAnsi="Times New Roman" w:cs="Times New Roman"/>
        </w:rPr>
      </w:pPr>
      <w:bookmarkStart w:id="4" w:name="_Toc28163"/>
      <w:r>
        <w:rPr>
          <w:rFonts w:ascii="Times New Roman" w:hAnsi="Times New Roman" w:cs="Times New Roman"/>
        </w:rPr>
        <w:t>1.</w:t>
      </w:r>
      <w:r>
        <w:rPr>
          <w:rFonts w:hint="eastAsia" w:ascii="Times New Roman" w:hAnsi="Times New Roman" w:cs="Times New Roman"/>
        </w:rPr>
        <w:t>项目背景、主要内容及实施情况</w:t>
      </w:r>
      <w:bookmarkEnd w:id="4"/>
    </w:p>
    <w:p>
      <w:pPr>
        <w:pStyle w:val="36"/>
        <w:spacing w:line="560" w:lineRule="exact"/>
        <w:ind w:firstLine="562"/>
        <w:rPr>
          <w:b/>
          <w:bCs/>
        </w:rPr>
      </w:pPr>
      <w:r>
        <w:rPr>
          <w:rFonts w:hint="eastAsia"/>
          <w:b/>
          <w:bCs/>
          <w:kern w:val="2"/>
          <w:szCs w:val="22"/>
        </w:rPr>
        <w:t>（</w:t>
      </w:r>
      <w:r>
        <w:rPr>
          <w:b/>
          <w:bCs/>
          <w:kern w:val="2"/>
          <w:szCs w:val="22"/>
        </w:rPr>
        <w:t>1</w:t>
      </w:r>
      <w:r>
        <w:rPr>
          <w:rFonts w:hint="eastAsia"/>
          <w:b/>
          <w:bCs/>
          <w:kern w:val="2"/>
          <w:szCs w:val="22"/>
        </w:rPr>
        <w:t>）</w:t>
      </w:r>
      <w:r>
        <w:rPr>
          <w:rFonts w:hint="eastAsia"/>
          <w:b/>
          <w:bCs/>
        </w:rPr>
        <w:t>项目背景</w:t>
      </w:r>
    </w:p>
    <w:p>
      <w:pPr>
        <w:spacing w:line="560" w:lineRule="exact"/>
        <w:ind w:firstLine="560"/>
        <w:outlineLvl w:val="1"/>
        <w:rPr>
          <w:rFonts w:ascii="Times New Roman" w:hAnsi="Times New Roman"/>
          <w:szCs w:val="28"/>
        </w:rPr>
      </w:pPr>
      <w:bookmarkStart w:id="5" w:name="_Toc26064"/>
      <w:r>
        <w:rPr>
          <w:rFonts w:hint="eastAsia" w:ascii="Times New Roman" w:hAnsi="Times New Roman"/>
          <w:szCs w:val="28"/>
        </w:rPr>
        <w:t>新冠疫情的爆发，由于疫情传播速度快、感染范围广，对人们的生命健康和社会经济造成了严重影响，疫情物资的采购和供应可以保障社会的正常运转，避免因物资短缺而引发的社会恐慌和不稳定因素。因此，保障我县防疫工作的物资供应充足，做好疫情物资采购工作是非常重要的，特设立此项目。</w:t>
      </w:r>
      <w:bookmarkEnd w:id="5"/>
    </w:p>
    <w:p>
      <w:pPr>
        <w:pStyle w:val="36"/>
        <w:spacing w:line="560" w:lineRule="exact"/>
        <w:ind w:firstLine="562"/>
        <w:rPr>
          <w:b/>
          <w:bCs/>
          <w:kern w:val="2"/>
          <w:szCs w:val="22"/>
        </w:rPr>
      </w:pPr>
      <w:r>
        <w:rPr>
          <w:rFonts w:hint="eastAsia"/>
          <w:b/>
          <w:bCs/>
          <w:kern w:val="2"/>
          <w:szCs w:val="22"/>
        </w:rPr>
        <w:t>（</w:t>
      </w:r>
      <w:r>
        <w:rPr>
          <w:b/>
          <w:bCs/>
          <w:kern w:val="2"/>
          <w:szCs w:val="22"/>
        </w:rPr>
        <w:t>2</w:t>
      </w:r>
      <w:r>
        <w:rPr>
          <w:rFonts w:hint="eastAsia"/>
          <w:b/>
          <w:bCs/>
          <w:kern w:val="2"/>
          <w:szCs w:val="22"/>
        </w:rPr>
        <w:t>）项目主要内容</w:t>
      </w:r>
    </w:p>
    <w:p>
      <w:pPr>
        <w:spacing w:line="360" w:lineRule="auto"/>
        <w:ind w:firstLine="643"/>
        <w:outlineLvl w:val="2"/>
        <w:rPr>
          <w:rFonts w:ascii="Times New Roman" w:hAnsi="Times New Roman" w:cs="Times New Roman"/>
          <w:b/>
          <w:bCs/>
          <w:sz w:val="32"/>
          <w:szCs w:val="32"/>
        </w:rPr>
      </w:pPr>
      <w:bookmarkStart w:id="6" w:name="_Toc15792"/>
      <w:bookmarkStart w:id="7" w:name="_Toc6874"/>
      <w:bookmarkStart w:id="8" w:name="_Toc32238"/>
      <w:bookmarkStart w:id="9" w:name="_Toc27204"/>
      <w:r>
        <w:rPr>
          <w:rFonts w:ascii="Times New Roman" w:hAnsi="Times New Roman" w:cs="Times New Roman"/>
          <w:b/>
          <w:bCs/>
          <w:sz w:val="32"/>
          <w:szCs w:val="32"/>
        </w:rPr>
        <w:t>1.</w:t>
      </w:r>
      <w:r>
        <w:rPr>
          <w:rFonts w:hint="eastAsia" w:ascii="Times New Roman" w:hAnsi="Times New Roman" w:cs="Times New Roman"/>
          <w:b/>
          <w:bCs/>
          <w:sz w:val="32"/>
          <w:szCs w:val="32"/>
        </w:rPr>
        <w:t>实施内容</w:t>
      </w:r>
      <w:bookmarkEnd w:id="6"/>
      <w:bookmarkEnd w:id="7"/>
      <w:bookmarkEnd w:id="8"/>
      <w:bookmarkEnd w:id="9"/>
    </w:p>
    <w:p>
      <w:pPr>
        <w:spacing w:line="560" w:lineRule="exact"/>
        <w:ind w:firstLine="560"/>
        <w:outlineLvl w:val="1"/>
        <w:rPr>
          <w:rFonts w:hint="eastAsia" w:ascii="Times New Roman" w:hAnsi="Times New Roman"/>
          <w:color w:val="auto"/>
          <w:szCs w:val="28"/>
          <w:shd w:val="clear" w:fill="auto"/>
        </w:rPr>
      </w:pPr>
      <w:bookmarkStart w:id="10" w:name="_Toc25577"/>
      <w:r>
        <w:rPr>
          <w:rFonts w:hint="eastAsia" w:ascii="Times New Roman" w:hAnsi="Times New Roman" w:cs="黑体"/>
          <w:i w:val="0"/>
          <w:iCs w:val="0"/>
          <w:caps w:val="0"/>
          <w:spacing w:val="0"/>
          <w:sz w:val="28"/>
          <w:szCs w:val="28"/>
          <w:shd w:val="clear"/>
          <w:lang w:val="en-US" w:eastAsia="zh-CN"/>
        </w:rPr>
        <w:t>根据乌财预【2023】15号关于下达中央疫情防控财力补助预算的通知文件要求，</w:t>
      </w:r>
      <w:r>
        <w:rPr>
          <w:rFonts w:hint="eastAsia" w:ascii="Times New Roman" w:hAnsi="Times New Roman" w:eastAsia="仿宋_GB2312" w:cs="黑体"/>
          <w:i w:val="0"/>
          <w:iCs w:val="0"/>
          <w:caps w:val="0"/>
          <w:color w:val="auto"/>
          <w:spacing w:val="0"/>
          <w:sz w:val="28"/>
          <w:szCs w:val="28"/>
          <w:shd w:val="clear" w:fill="auto"/>
        </w:rPr>
        <w:t>保障我县域内机关干部、村组干部等防疫人员自我防护物资，口罩、消毒液等，确保我县参与防疫人员在工作期间零感染。为我县防疫宣传、公共场所消杀、值班设卡提供物资资金保障，确保我县防疫工作正常有序开展。在我县范围重要路口设置检查卡点提供物资保障。对人群密集的公共场所进行消杀提供物资保障。保障我到全民核酸物资供应</w:t>
      </w:r>
      <w:r>
        <w:rPr>
          <w:rFonts w:hint="eastAsia" w:ascii="Times New Roman" w:hAnsi="Times New Roman" w:cs="黑体"/>
          <w:i w:val="0"/>
          <w:iCs w:val="0"/>
          <w:caps w:val="0"/>
          <w:spacing w:val="0"/>
          <w:sz w:val="28"/>
          <w:szCs w:val="28"/>
          <w:shd w:val="clear"/>
          <w:lang w:eastAsia="zh-CN"/>
        </w:rPr>
        <w:t>，</w:t>
      </w:r>
      <w:r>
        <w:rPr>
          <w:rFonts w:hint="eastAsia" w:ascii="Times New Roman" w:hAnsi="Times New Roman"/>
          <w:szCs w:val="28"/>
        </w:rPr>
        <w:t>为乌</w:t>
      </w:r>
      <w:r>
        <w:rPr>
          <w:rFonts w:hint="eastAsia" w:ascii="Times New Roman" w:hAnsi="Times New Roman"/>
          <w:color w:val="auto"/>
          <w:szCs w:val="28"/>
          <w:shd w:val="clear" w:fill="auto"/>
        </w:rPr>
        <w:t>鲁木齐县辖区内的医学观察点、隔离点购买防疫物资，如口罩、防护服、消毒液、核酸检测耗材、电子门磁等</w:t>
      </w:r>
      <w:r>
        <w:rPr>
          <w:rFonts w:hint="eastAsia" w:ascii="Times New Roman" w:hAnsi="Times New Roman"/>
          <w:color w:val="auto"/>
          <w:szCs w:val="28"/>
          <w:shd w:val="clear" w:fill="auto"/>
          <w:lang w:eastAsia="zh-CN"/>
        </w:rPr>
        <w:t>，</w:t>
      </w:r>
      <w:r>
        <w:rPr>
          <w:rFonts w:hint="eastAsia" w:ascii="Times New Roman" w:hAnsi="Times New Roman"/>
          <w:color w:val="auto"/>
          <w:szCs w:val="28"/>
          <w:shd w:val="clear" w:fill="auto"/>
        </w:rPr>
        <w:t>满足疫情防控需求。</w:t>
      </w:r>
      <w:bookmarkEnd w:id="10"/>
    </w:p>
    <w:p>
      <w:pPr>
        <w:spacing w:line="360" w:lineRule="auto"/>
        <w:ind w:firstLine="643"/>
        <w:outlineLvl w:val="2"/>
        <w:rPr>
          <w:rFonts w:ascii="Times New Roman" w:hAnsi="Times New Roman" w:cs="Times New Roman"/>
          <w:b/>
          <w:bCs/>
          <w:sz w:val="32"/>
          <w:szCs w:val="32"/>
        </w:rPr>
      </w:pPr>
      <w:bookmarkStart w:id="11" w:name="_Toc25758"/>
      <w:r>
        <w:rPr>
          <w:rFonts w:ascii="Times New Roman" w:hAnsi="Times New Roman" w:cs="Times New Roman"/>
          <w:b/>
          <w:bCs/>
          <w:sz w:val="32"/>
          <w:szCs w:val="32"/>
        </w:rPr>
        <w:t>2.</w:t>
      </w:r>
      <w:r>
        <w:rPr>
          <w:rFonts w:hint="eastAsia" w:ascii="Times New Roman" w:hAnsi="Times New Roman" w:cs="Times New Roman"/>
          <w:b/>
          <w:bCs/>
          <w:sz w:val="32"/>
          <w:szCs w:val="32"/>
        </w:rPr>
        <w:t>资金投入和使用情况</w:t>
      </w:r>
      <w:bookmarkEnd w:id="11"/>
    </w:p>
    <w:p>
      <w:pPr>
        <w:spacing w:line="560" w:lineRule="exact"/>
        <w:ind w:firstLine="560"/>
        <w:outlineLvl w:val="1"/>
        <w:rPr>
          <w:rFonts w:hint="eastAsia" w:ascii="Times New Roman" w:hAnsi="Times New Roman" w:cs="Times New Roman"/>
          <w:szCs w:val="28"/>
        </w:rPr>
      </w:pPr>
      <w:bookmarkStart w:id="12" w:name="_Toc20879"/>
      <w:r>
        <w:rPr>
          <w:rFonts w:hint="eastAsia" w:ascii="Times New Roman" w:hAnsi="Times New Roman" w:cs="Times New Roman"/>
          <w:szCs w:val="28"/>
        </w:rPr>
        <w:t>该项目资金投入情况：经县财综发</w:t>
      </w:r>
      <w:r>
        <w:rPr>
          <w:rFonts w:ascii="Times New Roman" w:hAnsi="Times New Roman" w:cs="Times New Roman"/>
          <w:szCs w:val="28"/>
        </w:rPr>
        <w:t>[2023]58</w:t>
      </w:r>
      <w:r>
        <w:rPr>
          <w:rFonts w:hint="eastAsia" w:ascii="Times New Roman" w:hAnsi="Times New Roman" w:cs="Times New Roman"/>
          <w:szCs w:val="28"/>
        </w:rPr>
        <w:t>号文件批准，项目系</w:t>
      </w:r>
      <w:r>
        <w:rPr>
          <w:rFonts w:ascii="Times New Roman" w:hAnsi="Times New Roman" w:cs="Times New Roman"/>
          <w:szCs w:val="28"/>
        </w:rPr>
        <w:t>2023</w:t>
      </w:r>
      <w:r>
        <w:rPr>
          <w:rFonts w:hint="eastAsia" w:ascii="Times New Roman" w:hAnsi="Times New Roman" w:cs="Times New Roman"/>
          <w:szCs w:val="28"/>
        </w:rPr>
        <w:t>年中央等资金，共安排预算</w:t>
      </w:r>
      <w:r>
        <w:rPr>
          <w:rFonts w:ascii="Times New Roman" w:hAnsi="Times New Roman" w:cs="Times New Roman"/>
          <w:szCs w:val="28"/>
        </w:rPr>
        <w:t>301.75</w:t>
      </w:r>
      <w:r>
        <w:rPr>
          <w:rFonts w:hint="eastAsia" w:ascii="Times New Roman" w:hAnsi="Times New Roman" w:cs="Times New Roman"/>
          <w:szCs w:val="28"/>
        </w:rPr>
        <w:t>万元，未经过调增、调减，资金到位</w:t>
      </w:r>
      <w:r>
        <w:rPr>
          <w:rFonts w:ascii="Times New Roman" w:hAnsi="Times New Roman" w:cs="Times New Roman"/>
          <w:szCs w:val="28"/>
        </w:rPr>
        <w:t>301.75</w:t>
      </w:r>
      <w:r>
        <w:rPr>
          <w:rFonts w:hint="eastAsia" w:ascii="Times New Roman" w:hAnsi="Times New Roman" w:cs="Times New Roman"/>
          <w:szCs w:val="28"/>
        </w:rPr>
        <w:t>万元。</w:t>
      </w:r>
      <w:bookmarkEnd w:id="12"/>
    </w:p>
    <w:p>
      <w:pPr>
        <w:spacing w:line="560" w:lineRule="exact"/>
        <w:ind w:firstLine="560"/>
        <w:outlineLvl w:val="1"/>
        <w:rPr>
          <w:rFonts w:hint="eastAsia" w:ascii="Times New Roman" w:hAnsi="Times New Roman" w:eastAsia="仿宋_GB2312" w:cs="Times New Roman"/>
          <w:szCs w:val="28"/>
          <w:lang w:val="en-US" w:eastAsia="zh-CN"/>
        </w:rPr>
      </w:pPr>
      <w:bookmarkStart w:id="13" w:name="_Toc8704"/>
      <w:r>
        <w:rPr>
          <w:rFonts w:hint="eastAsia" w:ascii="Times New Roman" w:hAnsi="Times New Roman" w:cs="Times New Roman"/>
          <w:szCs w:val="28"/>
          <w:lang w:eastAsia="zh-CN"/>
        </w:rPr>
        <w:t>经物资保障专班研究通过，县委、政府领导采购审批后、由物资保障专班</w:t>
      </w:r>
      <w:r>
        <w:rPr>
          <w:rFonts w:hint="eastAsia" w:ascii="Times New Roman" w:hAnsi="Times New Roman" w:cs="Times New Roman"/>
          <w:szCs w:val="28"/>
        </w:rPr>
        <w:t>负责落实，</w:t>
      </w:r>
      <w:r>
        <w:rPr>
          <w:rFonts w:hint="default" w:ascii="Times New Roman" w:hAnsi="Times New Roman" w:cs="Times New Roman"/>
          <w:szCs w:val="28"/>
        </w:rPr>
        <w:t>①</w:t>
      </w:r>
      <w:r>
        <w:rPr>
          <w:rFonts w:hint="eastAsia" w:ascii="Times New Roman" w:hAnsi="Times New Roman" w:cs="Times New Roman"/>
          <w:szCs w:val="28"/>
        </w:rPr>
        <w:t>一核酸试剂及耗材100万元，明德、中元、伯杰每月需求额度为35万元；</w:t>
      </w:r>
      <w:r>
        <w:rPr>
          <w:rFonts w:hint="default" w:ascii="Times New Roman" w:hAnsi="Times New Roman" w:cs="Times New Roman"/>
          <w:szCs w:val="28"/>
        </w:rPr>
        <w:t>②</w:t>
      </w:r>
      <w:r>
        <w:rPr>
          <w:rFonts w:hint="eastAsia" w:ascii="Times New Roman" w:hAnsi="Times New Roman" w:cs="Times New Roman"/>
          <w:szCs w:val="28"/>
        </w:rPr>
        <w:t xml:space="preserve">天隆核酸试剂第月需求额度为25万元； </w:t>
      </w:r>
      <w:r>
        <w:rPr>
          <w:rFonts w:hint="default" w:ascii="Times New Roman" w:hAnsi="Times New Roman" w:cs="Times New Roman"/>
          <w:szCs w:val="28"/>
        </w:rPr>
        <w:t>③</w:t>
      </w:r>
      <w:r>
        <w:rPr>
          <w:rFonts w:hint="eastAsia" w:ascii="Times New Roman" w:hAnsi="Times New Roman" w:cs="Times New Roman"/>
          <w:szCs w:val="28"/>
        </w:rPr>
        <w:t xml:space="preserve">核酸耗材八连管每月需求额度为5万元； </w:t>
      </w:r>
      <w:r>
        <w:rPr>
          <w:rFonts w:hint="default" w:ascii="Times New Roman" w:hAnsi="Times New Roman" w:eastAsia="仿宋" w:cs="Times New Roman"/>
          <w:szCs w:val="28"/>
        </w:rPr>
        <w:t>④</w:t>
      </w:r>
      <w:r>
        <w:rPr>
          <w:rFonts w:hint="eastAsia" w:ascii="Times New Roman" w:hAnsi="Times New Roman" w:cs="Times New Roman"/>
          <w:szCs w:val="28"/>
        </w:rPr>
        <w:t>核酸检测耗材枪头每月需求额度为25万元；</w:t>
      </w:r>
      <w:r>
        <w:rPr>
          <w:rFonts w:hint="default" w:ascii="Times New Roman" w:hAnsi="Times New Roman" w:eastAsia="仿宋" w:cs="Times New Roman"/>
          <w:szCs w:val="28"/>
        </w:rPr>
        <w:t>⑤</w:t>
      </w:r>
      <w:r>
        <w:rPr>
          <w:rFonts w:hint="eastAsia" w:ascii="Times New Roman" w:hAnsi="Times New Roman" w:cs="Times New Roman"/>
          <w:szCs w:val="28"/>
        </w:rPr>
        <w:t>采样管10 万元，共计100万元；</w:t>
      </w:r>
      <w:r>
        <w:rPr>
          <w:rFonts w:hint="default" w:ascii="Times New Roman" w:hAnsi="Times New Roman" w:eastAsia="仿宋" w:cs="Times New Roman"/>
          <w:szCs w:val="28"/>
        </w:rPr>
        <w:t>⑥</w:t>
      </w:r>
      <w:r>
        <w:rPr>
          <w:rFonts w:hint="eastAsia" w:ascii="Times New Roman" w:hAnsi="Times New Roman" w:cs="Times New Roman"/>
          <w:szCs w:val="28"/>
        </w:rPr>
        <w:t xml:space="preserve">防疫物资（包括消杀、防护物资款201.75万元） </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其中：</w:t>
      </w:r>
      <w:r>
        <w:rPr>
          <w:rFonts w:hint="eastAsia" w:ascii="Times New Roman" w:hAnsi="Times New Roman" w:cs="Times New Roman"/>
          <w:szCs w:val="28"/>
        </w:rPr>
        <w:t>防护服需求额度为50万元； 医用防护口罩需求额度为40万元； 其他防护用品需求额度为111.75万元</w:t>
      </w:r>
      <w:r>
        <w:rPr>
          <w:rFonts w:hint="eastAsia" w:ascii="Times New Roman" w:hAnsi="Times New Roman" w:cs="Times New Roman"/>
          <w:szCs w:val="28"/>
          <w:lang w:eastAsia="zh-CN"/>
        </w:rPr>
        <w:t>。</w:t>
      </w:r>
      <w:bookmarkEnd w:id="13"/>
    </w:p>
    <w:p>
      <w:pPr>
        <w:pStyle w:val="3"/>
        <w:spacing w:before="0" w:after="0" w:line="560" w:lineRule="exact"/>
        <w:ind w:firstLine="643"/>
        <w:rPr>
          <w:rFonts w:hint="eastAsia" w:ascii="Times New Roman" w:hAnsi="Times New Roman" w:eastAsia="仿宋_GB2312" w:cs="Times New Roman"/>
          <w:b w:val="0"/>
          <w:bCs w:val="0"/>
          <w:kern w:val="2"/>
          <w:sz w:val="28"/>
          <w:szCs w:val="28"/>
          <w:lang w:val="en-US" w:eastAsia="zh-CN" w:bidi="ar-SA"/>
        </w:rPr>
      </w:pPr>
      <w:bookmarkStart w:id="14" w:name="_Toc32143"/>
      <w:r>
        <w:rPr>
          <w:rFonts w:hint="eastAsia" w:ascii="Times New Roman" w:hAnsi="Times New Roman" w:eastAsia="仿宋_GB2312" w:cs="Times New Roman"/>
          <w:b w:val="0"/>
          <w:bCs w:val="0"/>
          <w:kern w:val="2"/>
          <w:sz w:val="28"/>
          <w:szCs w:val="28"/>
          <w:lang w:val="en-US" w:eastAsia="zh-CN" w:bidi="ar-SA"/>
        </w:rPr>
        <w:t>该项目资金使用情况：</w:t>
      </w:r>
      <w:bookmarkStart w:id="15" w:name="_Toc67911603"/>
      <w:r>
        <w:rPr>
          <w:rFonts w:hint="eastAsia" w:ascii="Times New Roman" w:hAnsi="Times New Roman" w:eastAsia="仿宋_GB2312" w:cs="Times New Roman"/>
          <w:b w:val="0"/>
          <w:bCs w:val="0"/>
          <w:kern w:val="2"/>
          <w:sz w:val="28"/>
          <w:szCs w:val="28"/>
          <w:lang w:val="en-US" w:eastAsia="zh-CN" w:bidi="ar-SA"/>
        </w:rPr>
        <w:t>使用项目资金298.90万元，其中核酸检测费物资费105.03万元，消杀费用10.02万元，拉运疫情物资资费1.2万元，生活物资费用30.4万元，防疫物资费用152.24万元，预算执行率99.06%。</w:t>
      </w:r>
      <w:bookmarkEnd w:id="14"/>
    </w:p>
    <w:p>
      <w:pPr>
        <w:pStyle w:val="3"/>
        <w:spacing w:before="0" w:after="0" w:line="560" w:lineRule="exact"/>
        <w:ind w:firstLine="643"/>
        <w:rPr>
          <w:rFonts w:ascii="Times New Roman" w:hAnsi="Times New Roman" w:eastAsia="仿宋"/>
        </w:rPr>
      </w:pPr>
      <w:bookmarkStart w:id="16" w:name="_Toc3120"/>
      <w:r>
        <w:rPr>
          <w:rFonts w:hint="eastAsia" w:ascii="Times New Roman" w:hAnsi="Times New Roman" w:eastAsia="仿宋"/>
        </w:rPr>
        <w:t>（二）项目绩效目标</w:t>
      </w:r>
      <w:bookmarkEnd w:id="15"/>
      <w:bookmarkEnd w:id="16"/>
    </w:p>
    <w:p>
      <w:pPr>
        <w:spacing w:line="360" w:lineRule="auto"/>
        <w:ind w:firstLine="560"/>
        <w:rPr>
          <w:rFonts w:ascii="Times New Roman" w:hAnsi="Times New Roman" w:cs="Times New Roman"/>
          <w:szCs w:val="28"/>
        </w:rPr>
      </w:pPr>
      <w:r>
        <w:rPr>
          <w:rFonts w:hint="eastAsia" w:ascii="Times New Roman" w:hAnsi="Times New Roman" w:cs="Times New Roman"/>
          <w:szCs w:val="28"/>
        </w:rPr>
        <w:t>本项目依据《中共中央</w:t>
      </w:r>
      <w:r>
        <w:rPr>
          <w:rFonts w:ascii="Times New Roman" w:hAnsi="Times New Roman" w:cs="Times New Roman"/>
          <w:szCs w:val="28"/>
        </w:rPr>
        <w:t xml:space="preserve"> </w:t>
      </w:r>
      <w:r>
        <w:rPr>
          <w:rFonts w:hint="eastAsia" w:ascii="Times New Roman" w:hAnsi="Times New Roman" w:cs="Times New Roman"/>
          <w:szCs w:val="28"/>
        </w:rPr>
        <w:t>国务院关于全面实施预算绩效管理的意见》（中发〔</w:t>
      </w:r>
      <w:r>
        <w:rPr>
          <w:rFonts w:ascii="Times New Roman" w:hAnsi="Times New Roman" w:cs="Times New Roman"/>
          <w:szCs w:val="28"/>
        </w:rPr>
        <w:t>2018</w:t>
      </w:r>
      <w:r>
        <w:rPr>
          <w:rFonts w:hint="eastAsia" w:ascii="Times New Roman" w:hAnsi="Times New Roman" w:cs="Times New Roman"/>
          <w:szCs w:val="28"/>
        </w:rPr>
        <w:t>〕</w:t>
      </w:r>
      <w:r>
        <w:rPr>
          <w:rFonts w:ascii="Times New Roman" w:hAnsi="Times New Roman" w:cs="Times New Roman"/>
          <w:szCs w:val="28"/>
        </w:rPr>
        <w:t>34</w:t>
      </w:r>
      <w:r>
        <w:rPr>
          <w:rFonts w:hint="eastAsia" w:ascii="Times New Roman" w:hAnsi="Times New Roman" w:cs="Times New Roman"/>
          <w:szCs w:val="28"/>
        </w:rPr>
        <w:t>号）、《关于印发</w:t>
      </w:r>
      <w:r>
        <w:rPr>
          <w:rFonts w:ascii="Times New Roman" w:hAnsi="Times New Roman" w:cs="Times New Roman"/>
          <w:szCs w:val="28"/>
        </w:rPr>
        <w:t>&lt;</w:t>
      </w:r>
      <w:r>
        <w:rPr>
          <w:rFonts w:hint="eastAsia" w:ascii="Times New Roman" w:hAnsi="Times New Roman" w:cs="Times New Roman"/>
          <w:szCs w:val="28"/>
        </w:rPr>
        <w:t>乌鲁木齐市本级部门预算绩效目标管理暂行办法</w:t>
      </w:r>
      <w:r>
        <w:rPr>
          <w:rFonts w:ascii="Times New Roman" w:hAnsi="Times New Roman" w:cs="Times New Roman"/>
          <w:szCs w:val="28"/>
        </w:rPr>
        <w:t>&gt;</w:t>
      </w:r>
      <w:r>
        <w:rPr>
          <w:rFonts w:hint="eastAsia" w:ascii="Times New Roman" w:hAnsi="Times New Roman" w:cs="Times New Roman"/>
          <w:szCs w:val="28"/>
        </w:rPr>
        <w:t>的通知》（乌财预</w:t>
      </w:r>
      <w:bookmarkStart w:id="17" w:name="_Hlk67566397"/>
      <w:r>
        <w:rPr>
          <w:rFonts w:hint="eastAsia" w:ascii="Times New Roman" w:hAnsi="Times New Roman" w:cs="Times New Roman"/>
          <w:szCs w:val="28"/>
        </w:rPr>
        <w:t>〔</w:t>
      </w:r>
      <w:r>
        <w:rPr>
          <w:rFonts w:ascii="Times New Roman" w:hAnsi="Times New Roman" w:cs="Times New Roman"/>
          <w:szCs w:val="28"/>
        </w:rPr>
        <w:t>2018</w:t>
      </w:r>
      <w:r>
        <w:rPr>
          <w:rFonts w:hint="eastAsia" w:ascii="Times New Roman" w:hAnsi="Times New Roman" w:cs="Times New Roman"/>
          <w:szCs w:val="28"/>
        </w:rPr>
        <w:t>〕</w:t>
      </w:r>
      <w:r>
        <w:rPr>
          <w:rFonts w:ascii="Times New Roman" w:hAnsi="Times New Roman" w:cs="Times New Roman"/>
          <w:szCs w:val="28"/>
        </w:rPr>
        <w:t>56</w:t>
      </w:r>
      <w:r>
        <w:rPr>
          <w:rFonts w:hint="eastAsia" w:ascii="Times New Roman" w:hAnsi="Times New Roman" w:cs="Times New Roman"/>
          <w:szCs w:val="28"/>
        </w:rPr>
        <w:t>号</w:t>
      </w:r>
      <w:bookmarkEnd w:id="17"/>
      <w:r>
        <w:rPr>
          <w:rFonts w:hint="eastAsia" w:ascii="Times New Roman" w:hAnsi="Times New Roman" w:cs="Times New Roman"/>
          <w:szCs w:val="28"/>
        </w:rPr>
        <w:t>）、《关于做好</w:t>
      </w:r>
      <w:r>
        <w:rPr>
          <w:rFonts w:ascii="Times New Roman" w:hAnsi="Times New Roman" w:cs="Times New Roman"/>
          <w:szCs w:val="28"/>
        </w:rPr>
        <w:t>2019</w:t>
      </w:r>
      <w:r>
        <w:rPr>
          <w:rFonts w:hint="eastAsia" w:ascii="Times New Roman" w:hAnsi="Times New Roman" w:cs="Times New Roman"/>
          <w:szCs w:val="28"/>
        </w:rPr>
        <w:t>年部门预算项目支出绩效目标管理有关事宜的通知》（乌财预〔</w:t>
      </w:r>
      <w:r>
        <w:rPr>
          <w:rFonts w:ascii="Times New Roman" w:hAnsi="Times New Roman" w:cs="Times New Roman"/>
          <w:szCs w:val="28"/>
        </w:rPr>
        <w:t>2018</w:t>
      </w:r>
      <w:r>
        <w:rPr>
          <w:rFonts w:hint="eastAsia" w:ascii="Times New Roman" w:hAnsi="Times New Roman" w:cs="Times New Roman"/>
          <w:szCs w:val="28"/>
        </w:rPr>
        <w:t>〕</w:t>
      </w:r>
      <w:r>
        <w:rPr>
          <w:rFonts w:ascii="Times New Roman" w:hAnsi="Times New Roman" w:cs="Times New Roman"/>
          <w:szCs w:val="28"/>
        </w:rPr>
        <w:t>76</w:t>
      </w:r>
      <w:r>
        <w:rPr>
          <w:rFonts w:hint="eastAsia" w:ascii="Times New Roman" w:hAnsi="Times New Roman" w:cs="Times New Roman"/>
          <w:szCs w:val="28"/>
        </w:rPr>
        <w:t>号）和《项目支出绩效评价管理办法》（财预〔</w:t>
      </w:r>
      <w:r>
        <w:rPr>
          <w:rFonts w:ascii="Times New Roman" w:hAnsi="Times New Roman" w:cs="Times New Roman"/>
          <w:szCs w:val="28"/>
        </w:rPr>
        <w:t>2020</w:t>
      </w:r>
      <w:r>
        <w:rPr>
          <w:rFonts w:hint="eastAsia" w:ascii="Times New Roman" w:hAnsi="Times New Roman" w:cs="Times New Roman"/>
          <w:szCs w:val="28"/>
        </w:rPr>
        <w:t>〕</w:t>
      </w:r>
      <w:r>
        <w:rPr>
          <w:rFonts w:ascii="Times New Roman" w:hAnsi="Times New Roman" w:cs="Times New Roman"/>
          <w:szCs w:val="28"/>
        </w:rPr>
        <w:t>10</w:t>
      </w:r>
      <w:r>
        <w:rPr>
          <w:rFonts w:hint="eastAsia" w:ascii="Times New Roman" w:hAnsi="Times New Roman" w:cs="Times New Roman"/>
          <w:szCs w:val="28"/>
        </w:rPr>
        <w:t>号）等文件要求，结合项目开展情况，按照</w:t>
      </w:r>
      <w:r>
        <w:rPr>
          <w:rFonts w:ascii="Times New Roman" w:hAnsi="Times New Roman" w:cs="Times New Roman"/>
          <w:szCs w:val="28"/>
        </w:rPr>
        <w:t>“</w:t>
      </w:r>
      <w:r>
        <w:rPr>
          <w:rFonts w:hint="eastAsia" w:ascii="Times New Roman" w:hAnsi="Times New Roman" w:cs="Times New Roman"/>
          <w:szCs w:val="28"/>
        </w:rPr>
        <w:t>谁申请资金，谁编制目标</w:t>
      </w:r>
      <w:r>
        <w:rPr>
          <w:rFonts w:ascii="Times New Roman" w:hAnsi="Times New Roman" w:cs="Times New Roman"/>
          <w:szCs w:val="28"/>
        </w:rPr>
        <w:t>”</w:t>
      </w:r>
      <w:r>
        <w:rPr>
          <w:rFonts w:hint="eastAsia" w:ascii="Times New Roman" w:hAnsi="Times New Roman" w:cs="Times New Roman"/>
          <w:szCs w:val="28"/>
        </w:rPr>
        <w:t>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540" w:lineRule="exact"/>
        <w:ind w:firstLine="560"/>
        <w:outlineLvl w:val="0"/>
        <w:rPr>
          <w:rFonts w:ascii="Times New Roman" w:hAnsi="Times New Roman" w:cs="Times New Roman"/>
          <w:szCs w:val="28"/>
        </w:rPr>
      </w:pPr>
      <w:bookmarkStart w:id="18" w:name="_Toc9368"/>
      <w:bookmarkStart w:id="19" w:name="_Toc67911604"/>
      <w:r>
        <w:rPr>
          <w:rFonts w:hint="eastAsia" w:ascii="Times New Roman" w:hAnsi="Times New Roman" w:cs="Times New Roman"/>
          <w:szCs w:val="28"/>
        </w:rPr>
        <w:t>项目总体目标是保障我县防疫工作的物资供应充足，确保防疫工作的正常有序开展。</w:t>
      </w:r>
      <w:bookmarkEnd w:id="18"/>
    </w:p>
    <w:p>
      <w:pPr>
        <w:spacing w:line="540" w:lineRule="exact"/>
        <w:ind w:firstLine="560"/>
        <w:outlineLvl w:val="0"/>
        <w:rPr>
          <w:rFonts w:ascii="Times New Roman" w:hAnsi="Times New Roman" w:cs="Times New Roman"/>
          <w:szCs w:val="28"/>
        </w:rPr>
      </w:pPr>
      <w:bookmarkStart w:id="20" w:name="_Toc21998"/>
      <w:r>
        <w:rPr>
          <w:rFonts w:ascii="Times New Roman" w:hAnsi="Times New Roman" w:cs="Times New Roman"/>
          <w:szCs w:val="28"/>
        </w:rPr>
        <w:t>该项目阶段性目标为：</w:t>
      </w:r>
      <w:r>
        <w:rPr>
          <w:rFonts w:hint="eastAsia" w:ascii="Times New Roman" w:hAnsi="Times New Roman" w:cs="Times New Roman"/>
          <w:szCs w:val="28"/>
        </w:rPr>
        <w:t>保障我县防疫工作的物资供应充足，保障购买突发疫情期间隔离人员物资批次至少5次，有效提升群众卫生防疫意识，确保防疫工作的正常有序开展。</w:t>
      </w:r>
      <w:bookmarkEnd w:id="20"/>
    </w:p>
    <w:p>
      <w:pPr>
        <w:pStyle w:val="2"/>
        <w:spacing w:before="0" w:after="0" w:line="560" w:lineRule="exact"/>
        <w:ind w:firstLine="0" w:firstLineChars="0"/>
        <w:jc w:val="left"/>
        <w:rPr>
          <w:rFonts w:hint="eastAsia" w:ascii="Times New Roman" w:hAnsi="Times New Roman" w:eastAsia="仿宋" w:cs="Times New Roman"/>
          <w:sz w:val="36"/>
          <w:szCs w:val="36"/>
        </w:rPr>
      </w:pPr>
    </w:p>
    <w:p>
      <w:pPr>
        <w:pStyle w:val="2"/>
        <w:spacing w:before="0" w:after="0" w:line="560" w:lineRule="exact"/>
        <w:ind w:firstLine="0" w:firstLineChars="0"/>
        <w:jc w:val="left"/>
        <w:rPr>
          <w:rFonts w:ascii="Times New Roman" w:hAnsi="Times New Roman" w:eastAsia="仿宋" w:cs="Times New Roman"/>
          <w:sz w:val="36"/>
          <w:szCs w:val="36"/>
        </w:rPr>
      </w:pPr>
      <w:bookmarkStart w:id="21" w:name="_Toc15343"/>
      <w:r>
        <w:rPr>
          <w:rFonts w:hint="eastAsia" w:ascii="Times New Roman" w:hAnsi="Times New Roman" w:eastAsia="仿宋" w:cs="Times New Roman"/>
          <w:sz w:val="36"/>
          <w:szCs w:val="36"/>
        </w:rPr>
        <w:t>二、绩效评价工作开展情况</w:t>
      </w:r>
      <w:bookmarkEnd w:id="19"/>
      <w:bookmarkEnd w:id="21"/>
    </w:p>
    <w:p>
      <w:pPr>
        <w:pStyle w:val="3"/>
        <w:spacing w:before="0" w:after="0" w:line="560" w:lineRule="exact"/>
        <w:ind w:firstLine="643"/>
        <w:rPr>
          <w:rFonts w:ascii="Times New Roman" w:hAnsi="Times New Roman" w:eastAsia="仿宋"/>
        </w:rPr>
      </w:pPr>
      <w:bookmarkStart w:id="22" w:name="_Toc67911605"/>
      <w:bookmarkStart w:id="23" w:name="_Toc7888"/>
      <w:r>
        <w:rPr>
          <w:rFonts w:hint="eastAsia" w:ascii="Times New Roman" w:hAnsi="Times New Roman" w:eastAsia="仿宋"/>
        </w:rPr>
        <w:t>（一）绩效评价目的、对象和范围</w:t>
      </w:r>
      <w:bookmarkEnd w:id="22"/>
      <w:bookmarkEnd w:id="23"/>
    </w:p>
    <w:p>
      <w:pPr>
        <w:pStyle w:val="4"/>
        <w:spacing w:before="0" w:after="0" w:line="560" w:lineRule="exact"/>
        <w:ind w:firstLine="643"/>
        <w:rPr>
          <w:rFonts w:ascii="Times New Roman" w:hAnsi="Times New Roman" w:cs="Times New Roman"/>
        </w:rPr>
      </w:pPr>
      <w:bookmarkStart w:id="24" w:name="_Toc28336"/>
      <w:r>
        <w:rPr>
          <w:rFonts w:ascii="Times New Roman" w:hAnsi="Times New Roman" w:cs="Times New Roman"/>
        </w:rPr>
        <w:t>1.</w:t>
      </w:r>
      <w:r>
        <w:rPr>
          <w:rFonts w:hint="eastAsia" w:ascii="Times New Roman" w:hAnsi="Times New Roman" w:cs="Times New Roman"/>
        </w:rPr>
        <w:t>绩效评价完整性</w:t>
      </w:r>
      <w:bookmarkEnd w:id="24"/>
    </w:p>
    <w:p>
      <w:pPr>
        <w:spacing w:line="360" w:lineRule="auto"/>
        <w:ind w:firstLine="560"/>
        <w:rPr>
          <w:rFonts w:ascii="Times New Roman" w:hAnsi="Times New Roman" w:cs="Times New Roman"/>
          <w:szCs w:val="28"/>
        </w:rPr>
      </w:pPr>
      <w:r>
        <w:rPr>
          <w:rFonts w:ascii="Times New Roman" w:hAnsi="Times New Roman" w:cs="Times New Roman"/>
          <w:szCs w:val="28"/>
        </w:rPr>
        <w:t>该项目通过设置数量指标：</w:t>
      </w:r>
      <w:r>
        <w:rPr>
          <w:rFonts w:hint="eastAsia" w:ascii="Times New Roman" w:hAnsi="Times New Roman" w:cs="Times New Roman"/>
          <w:szCs w:val="28"/>
        </w:rPr>
        <w:t>购买物资批次</w:t>
      </w:r>
      <w:r>
        <w:rPr>
          <w:rFonts w:ascii="Arial" w:hAnsi="Arial" w:cs="Arial"/>
          <w:szCs w:val="28"/>
        </w:rPr>
        <w:t>≥</w:t>
      </w:r>
      <w:r>
        <w:rPr>
          <w:rFonts w:hint="eastAsia" w:ascii="Times New Roman" w:hAnsi="Times New Roman" w:cs="Times New Roman"/>
          <w:szCs w:val="28"/>
        </w:rPr>
        <w:t>5次、购买突发疫情期间隔离人员物资批次</w:t>
      </w:r>
      <w:r>
        <w:rPr>
          <w:rFonts w:ascii="Arial" w:hAnsi="Arial" w:cs="Arial"/>
          <w:szCs w:val="28"/>
        </w:rPr>
        <w:t>≥</w:t>
      </w:r>
      <w:r>
        <w:rPr>
          <w:rFonts w:hint="eastAsia" w:ascii="Times New Roman" w:hAnsi="Times New Roman" w:cs="Times New Roman"/>
          <w:szCs w:val="28"/>
        </w:rPr>
        <w:t>5次，质量指标防疫物资验收合格率</w:t>
      </w:r>
      <w:r>
        <w:rPr>
          <w:rFonts w:ascii="Arial" w:hAnsi="Arial" w:cs="Arial"/>
          <w:szCs w:val="28"/>
        </w:rPr>
        <w:t>≥</w:t>
      </w:r>
      <w:r>
        <w:rPr>
          <w:rFonts w:hint="eastAsia" w:ascii="Times New Roman" w:hAnsi="Times New Roman" w:cs="Times New Roman"/>
          <w:szCs w:val="28"/>
        </w:rPr>
        <w:t>90%、政府采购率</w:t>
      </w:r>
      <w:r>
        <w:rPr>
          <w:rFonts w:ascii="Arial" w:hAnsi="Arial" w:cs="Arial"/>
          <w:szCs w:val="28"/>
        </w:rPr>
        <w:t>≥</w:t>
      </w:r>
      <w:r>
        <w:rPr>
          <w:rFonts w:hint="eastAsia" w:ascii="Times New Roman" w:hAnsi="Times New Roman" w:cs="Times New Roman"/>
          <w:szCs w:val="28"/>
        </w:rPr>
        <w:t>90%，时效指标项目资金到位及时性</w:t>
      </w:r>
      <w:r>
        <w:rPr>
          <w:rFonts w:ascii="Arial" w:hAnsi="Arial" w:cs="Arial"/>
          <w:szCs w:val="28"/>
        </w:rPr>
        <w:t>≥</w:t>
      </w:r>
      <w:r>
        <w:rPr>
          <w:rFonts w:hint="eastAsia" w:ascii="Times New Roman" w:hAnsi="Times New Roman" w:cs="Times New Roman"/>
          <w:szCs w:val="28"/>
        </w:rPr>
        <w:t>95%，社会效益指标保障我县防疫工作的正常有序开展、提升群众卫生防疫意识</w:t>
      </w:r>
      <w:r>
        <w:rPr>
          <w:rFonts w:ascii="Times New Roman" w:hAnsi="Times New Roman" w:cs="Times New Roman"/>
          <w:szCs w:val="28"/>
        </w:rPr>
        <w:t>，能够通过绩效评价指标体系完整地体现。</w:t>
      </w:r>
    </w:p>
    <w:p>
      <w:pPr>
        <w:spacing w:line="360" w:lineRule="auto"/>
        <w:ind w:firstLine="560"/>
        <w:rPr>
          <w:rFonts w:ascii="Times New Roman" w:hAnsi="Times New Roman" w:cs="Times New Roman"/>
          <w:szCs w:val="28"/>
        </w:rPr>
      </w:pPr>
      <w:r>
        <w:rPr>
          <w:rFonts w:ascii="Times New Roman" w:hAnsi="Times New Roman" w:cs="Times New Roman"/>
          <w:szCs w:val="28"/>
        </w:rPr>
        <w:t>为保障该项目的顺利实施，我单位按照自治区、市工作安排部署，</w:t>
      </w:r>
      <w:r>
        <w:rPr>
          <w:rFonts w:hint="eastAsia" w:ascii="Times New Roman" w:hAnsi="Times New Roman" w:cs="Times New Roman"/>
          <w:szCs w:val="28"/>
          <w:lang w:eastAsia="zh-CN"/>
        </w:rPr>
        <w:t>经物资保障专班研究通过，县委、政府领导采购审批后、由物资保障专班</w:t>
      </w:r>
      <w:r>
        <w:rPr>
          <w:rFonts w:hint="eastAsia" w:ascii="Times New Roman" w:hAnsi="Times New Roman" w:cs="Times New Roman"/>
          <w:szCs w:val="28"/>
        </w:rPr>
        <w:t>负责落实，由单位主管领导进行签字盖章审批，递交财政局审核无误后，提交财政平台进行支付，确保疫情防控财力补助</w:t>
      </w:r>
      <w:r>
        <w:rPr>
          <w:rFonts w:ascii="Times New Roman" w:hAnsi="Times New Roman" w:cs="Times New Roman"/>
          <w:szCs w:val="28"/>
        </w:rPr>
        <w:t>工作正在有序进行。</w:t>
      </w:r>
    </w:p>
    <w:p>
      <w:pPr>
        <w:spacing w:line="360" w:lineRule="auto"/>
        <w:ind w:firstLine="560"/>
        <w:rPr>
          <w:rFonts w:ascii="Times New Roman" w:hAnsi="Times New Roman" w:cs="Times New Roman"/>
          <w:szCs w:val="28"/>
        </w:rPr>
      </w:pPr>
      <w:r>
        <w:rPr>
          <w:rFonts w:ascii="Times New Roman" w:hAnsi="Times New Roman" w:cs="Times New Roman"/>
          <w:szCs w:val="28"/>
        </w:rPr>
        <w:t>该项目评</w:t>
      </w:r>
      <w:r>
        <w:rPr>
          <w:rFonts w:ascii="Times New Roman" w:hAnsi="Times New Roman" w:cs="Times New Roman"/>
          <w:szCs w:val="28"/>
          <w:highlight w:val="none"/>
        </w:rPr>
        <w:t>价数据依据</w:t>
      </w:r>
      <w:r>
        <w:rPr>
          <w:rFonts w:hint="eastAsia" w:ascii="Times New Roman" w:hAnsi="Times New Roman" w:cs="Times New Roman"/>
          <w:szCs w:val="28"/>
          <w:highlight w:val="none"/>
        </w:rPr>
        <w:t>会计记账凭证、明细账等资料</w:t>
      </w:r>
      <w:r>
        <w:rPr>
          <w:rFonts w:ascii="Times New Roman" w:hAnsi="Times New Roman" w:cs="Times New Roman"/>
          <w:szCs w:val="28"/>
          <w:highlight w:val="none"/>
        </w:rPr>
        <w:t>进</w:t>
      </w:r>
      <w:r>
        <w:rPr>
          <w:rFonts w:ascii="Times New Roman" w:hAnsi="Times New Roman" w:cs="Times New Roman"/>
          <w:szCs w:val="28"/>
        </w:rPr>
        <w:t>行项目自评，确保数据的准确性和完整性。</w:t>
      </w:r>
    </w:p>
    <w:p>
      <w:pPr>
        <w:pStyle w:val="3"/>
        <w:spacing w:before="0" w:after="0" w:line="560" w:lineRule="exact"/>
        <w:ind w:firstLine="643"/>
        <w:rPr>
          <w:rFonts w:ascii="Times New Roman" w:hAnsi="Times New Roman" w:eastAsia="仿宋"/>
        </w:rPr>
      </w:pPr>
      <w:bookmarkStart w:id="25" w:name="_Toc12276"/>
      <w:r>
        <w:rPr>
          <w:rFonts w:ascii="Times New Roman" w:hAnsi="Times New Roman" w:eastAsia="仿宋"/>
        </w:rPr>
        <w:t>2.</w:t>
      </w:r>
      <w:r>
        <w:rPr>
          <w:rFonts w:hint="eastAsia" w:ascii="Times New Roman" w:hAnsi="Times New Roman" w:eastAsia="仿宋"/>
        </w:rPr>
        <w:t>评价目的</w:t>
      </w:r>
      <w:bookmarkEnd w:id="25"/>
    </w:p>
    <w:p>
      <w:pPr>
        <w:spacing w:line="360" w:lineRule="auto"/>
        <w:ind w:firstLine="560"/>
        <w:rPr>
          <w:rFonts w:ascii="Times New Roman" w:hAnsi="Times New Roman" w:cs="Times New Roman"/>
          <w:b/>
          <w:bCs/>
        </w:rPr>
      </w:pPr>
      <w:r>
        <w:rPr>
          <w:rFonts w:hint="eastAsia" w:ascii="Times New Roman" w:hAnsi="Times New Roman" w:cs="Times New Roman"/>
        </w:rPr>
        <w:t>本项工作旨在落实《中共中央</w:t>
      </w:r>
      <w:r>
        <w:rPr>
          <w:rFonts w:ascii="Times New Roman" w:hAnsi="Times New Roman" w:cs="Times New Roman"/>
        </w:rPr>
        <w:t xml:space="preserve"> </w:t>
      </w:r>
      <w:r>
        <w:rPr>
          <w:rFonts w:hint="eastAsia" w:ascii="Times New Roman" w:hAnsi="Times New Roman" w:cs="Times New Roman"/>
        </w:rPr>
        <w:t>国务院关于全面实施预算绩效管理的意见》（中发〔</w:t>
      </w:r>
      <w:r>
        <w:rPr>
          <w:rFonts w:ascii="Times New Roman" w:hAnsi="Times New Roman" w:cs="Times New Roman"/>
        </w:rPr>
        <w:t>2018</w:t>
      </w:r>
      <w:r>
        <w:rPr>
          <w:rFonts w:hint="eastAsia" w:ascii="Times New Roman" w:hAnsi="Times New Roman" w:cs="Times New Roman"/>
        </w:rPr>
        <w:t>〕</w:t>
      </w:r>
      <w:r>
        <w:rPr>
          <w:rFonts w:ascii="Times New Roman" w:hAnsi="Times New Roman" w:cs="Times New Roman"/>
        </w:rPr>
        <w:t>34</w:t>
      </w:r>
      <w:r>
        <w:rPr>
          <w:rFonts w:hint="eastAsia" w:ascii="Times New Roman" w:hAnsi="Times New Roman" w:cs="Times New Roman"/>
        </w:rPr>
        <w:t>号）文件精神，全面推进预算绩效管理工作，落实预算执行及绩效管理主体责任。具体而言包括以下两点：（</w:t>
      </w:r>
      <w:r>
        <w:rPr>
          <w:rFonts w:ascii="Times New Roman" w:hAnsi="Times New Roman" w:cs="Times New Roman"/>
        </w:rPr>
        <w:t>1</w:t>
      </w:r>
      <w:r>
        <w:rPr>
          <w:rFonts w:hint="eastAsia" w:ascii="Times New Roman" w:hAnsi="Times New Roman" w:cs="Times New Roman"/>
        </w:rPr>
        <w:t>）通过对项目设立的背景、意义、项目内容、项目现状及绩效目标、资金投入、资金管理、组织实施、数量指标、质量指标、时效指标、成本指标和效益指标等进行深入调研和分析，进一步了解关于下达中央疫情防控财力补助预算的通知项目实施情况，并考察项目实施过程和效果。（</w:t>
      </w:r>
      <w:r>
        <w:rPr>
          <w:rFonts w:ascii="Times New Roman" w:hAnsi="Times New Roman" w:cs="Times New Roman"/>
        </w:rPr>
        <w:t>2</w:t>
      </w:r>
      <w:r>
        <w:rPr>
          <w:rFonts w:hint="eastAsia" w:ascii="Times New Roman" w:hAnsi="Times New Roman" w:cs="Times New Roman"/>
        </w:rPr>
        <w:t>）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spacing w:before="0" w:after="0" w:line="560" w:lineRule="exact"/>
        <w:ind w:firstLine="643"/>
        <w:rPr>
          <w:rFonts w:ascii="Times New Roman" w:hAnsi="Times New Roman" w:eastAsia="仿宋"/>
        </w:rPr>
      </w:pPr>
      <w:bookmarkStart w:id="26" w:name="_Toc18987"/>
      <w:r>
        <w:rPr>
          <w:rFonts w:ascii="Times New Roman" w:hAnsi="Times New Roman" w:eastAsia="仿宋"/>
        </w:rPr>
        <w:t>3.</w:t>
      </w:r>
      <w:r>
        <w:rPr>
          <w:rFonts w:hint="eastAsia" w:ascii="Times New Roman" w:hAnsi="Times New Roman" w:eastAsia="仿宋"/>
        </w:rPr>
        <w:t>评价对象</w:t>
      </w:r>
      <w:bookmarkEnd w:id="26"/>
    </w:p>
    <w:p>
      <w:pPr>
        <w:spacing w:line="360" w:lineRule="auto"/>
        <w:ind w:firstLine="560"/>
        <w:rPr>
          <w:rFonts w:eastAsia="仿宋"/>
        </w:rPr>
      </w:pPr>
      <w:r>
        <w:rPr>
          <w:rFonts w:hint="eastAsia"/>
        </w:rPr>
        <w:t>（</w:t>
      </w:r>
      <w:r>
        <w:t>1</w:t>
      </w:r>
      <w:r>
        <w:rPr>
          <w:rFonts w:hint="eastAsia"/>
        </w:rPr>
        <w:t>）绩效评价的对象：</w:t>
      </w:r>
      <w:r>
        <w:rPr>
          <w:rFonts w:hint="eastAsia" w:ascii="Times New Roman" w:hAnsi="Times New Roman" w:cs="Times New Roman"/>
        </w:rPr>
        <w:t>关于下达中央疫情防控财力补助预算的通知</w:t>
      </w:r>
      <w:r>
        <w:rPr>
          <w:rFonts w:eastAsia="仿宋"/>
        </w:rPr>
        <w:t>4.</w:t>
      </w:r>
      <w:r>
        <w:rPr>
          <w:rFonts w:hint="eastAsia" w:eastAsia="仿宋"/>
        </w:rPr>
        <w:t>绩效评价范围</w:t>
      </w:r>
    </w:p>
    <w:p>
      <w:pPr>
        <w:spacing w:line="360" w:lineRule="auto"/>
        <w:ind w:firstLine="56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时间范围：</w:t>
      </w:r>
      <w:r>
        <w:rPr>
          <w:rFonts w:ascii="Times New Roman" w:hAnsi="Times New Roman" w:cs="Times New Roman"/>
        </w:rPr>
        <w:t>2023</w:t>
      </w:r>
      <w:r>
        <w:rPr>
          <w:rFonts w:hint="eastAsia" w:ascii="Times New Roman" w:hAnsi="Times New Roman" w:cs="Times New Roman"/>
        </w:rPr>
        <w:t>年</w:t>
      </w:r>
      <w:r>
        <w:rPr>
          <w:rFonts w:ascii="Times New Roman" w:hAnsi="Times New Roman" w:cs="Times New Roman"/>
        </w:rPr>
        <w:t>1</w:t>
      </w:r>
      <w:r>
        <w:rPr>
          <w:rFonts w:hint="eastAsia" w:ascii="Times New Roman" w:hAnsi="Times New Roman" w:cs="Times New Roman"/>
        </w:rPr>
        <w:t>月</w:t>
      </w:r>
      <w:r>
        <w:rPr>
          <w:rFonts w:ascii="Times New Roman" w:hAnsi="Times New Roman" w:cs="Times New Roman"/>
        </w:rPr>
        <w:t>1</w:t>
      </w:r>
      <w:r>
        <w:rPr>
          <w:rFonts w:hint="eastAsia" w:ascii="Times New Roman" w:hAnsi="Times New Roman" w:cs="Times New Roman"/>
        </w:rPr>
        <w:t>日至</w:t>
      </w:r>
      <w:r>
        <w:rPr>
          <w:rFonts w:ascii="Times New Roman" w:hAnsi="Times New Roman" w:cs="Times New Roman"/>
        </w:rPr>
        <w:t>2023</w:t>
      </w:r>
      <w:r>
        <w:rPr>
          <w:rFonts w:hint="eastAsia" w:ascii="Times New Roman" w:hAnsi="Times New Roman" w:cs="Times New Roman"/>
        </w:rPr>
        <w:t>年</w:t>
      </w:r>
      <w:r>
        <w:rPr>
          <w:rFonts w:ascii="Times New Roman" w:hAnsi="Times New Roman" w:cs="Times New Roman"/>
        </w:rPr>
        <w:t>12</w:t>
      </w:r>
      <w:r>
        <w:rPr>
          <w:rFonts w:hint="eastAsia" w:ascii="Times New Roman" w:hAnsi="Times New Roman" w:cs="Times New Roman"/>
        </w:rPr>
        <w:t>月</w:t>
      </w:r>
      <w:r>
        <w:rPr>
          <w:rFonts w:ascii="Times New Roman" w:hAnsi="Times New Roman" w:cs="Times New Roman"/>
        </w:rPr>
        <w:t>31</w:t>
      </w:r>
      <w:r>
        <w:rPr>
          <w:rFonts w:hint="eastAsia" w:ascii="Times New Roman" w:hAnsi="Times New Roman" w:cs="Times New Roman"/>
        </w:rPr>
        <w:t>日。</w:t>
      </w:r>
    </w:p>
    <w:p>
      <w:pPr>
        <w:spacing w:line="560" w:lineRule="exact"/>
        <w:ind w:firstLine="560"/>
        <w:outlineLvl w:val="1"/>
        <w:rPr>
          <w:rFonts w:hint="eastAsia" w:ascii="Times New Roman" w:hAnsi="Times New Roman"/>
          <w:szCs w:val="28"/>
        </w:rPr>
      </w:pPr>
      <w:bookmarkStart w:id="27" w:name="_Toc20333"/>
      <w:r>
        <w:rPr>
          <w:rFonts w:cs="Times New Roman"/>
        </w:rPr>
        <w:t>2.</w:t>
      </w:r>
      <w:r>
        <w:rPr>
          <w:rFonts w:hint="eastAsia" w:cs="Times New Roman"/>
        </w:rPr>
        <w:t>项目范围：</w:t>
      </w:r>
      <w:bookmarkStart w:id="28" w:name="_Hlk67586765"/>
      <w:r>
        <w:rPr>
          <w:rFonts w:hint="eastAsia" w:ascii="Times New Roman" w:hAnsi="Times New Roman" w:cs="黑体"/>
          <w:i w:val="0"/>
          <w:iCs w:val="0"/>
          <w:caps w:val="0"/>
          <w:spacing w:val="0"/>
          <w:sz w:val="28"/>
          <w:szCs w:val="28"/>
          <w:shd w:val="clear"/>
          <w:lang w:val="en-US" w:eastAsia="zh-CN"/>
        </w:rPr>
        <w:t>根据乌财预【2023】15号关于下达中央疫情防控财力补助预算的通知文件要求，</w:t>
      </w:r>
      <w:r>
        <w:rPr>
          <w:rFonts w:hint="eastAsia" w:ascii="Times New Roman" w:hAnsi="Times New Roman" w:eastAsia="仿宋_GB2312" w:cs="黑体"/>
          <w:i w:val="0"/>
          <w:iCs w:val="0"/>
          <w:caps w:val="0"/>
          <w:spacing w:val="0"/>
          <w:sz w:val="28"/>
          <w:szCs w:val="28"/>
          <w:shd w:val="clear"/>
        </w:rPr>
        <w:t>保障我县域内机关干部、村组干部等防疫人员自我防护物资，口罩、消毒液等，确保我县参与防疫人员在工作期间零感染。为我县防疫宣传、公共场所消杀、值班设卡提供物资资金保障，确保我县防疫工作正常有序开展。在我县范围重要路口设置检查卡点提供物资保障。对人群密集的公共场所进行消杀提供物资保障。保障我到全民核酸物资供应</w:t>
      </w:r>
      <w:r>
        <w:rPr>
          <w:rFonts w:hint="eastAsia" w:ascii="Times New Roman" w:hAnsi="Times New Roman" w:cs="黑体"/>
          <w:i w:val="0"/>
          <w:iCs w:val="0"/>
          <w:caps w:val="0"/>
          <w:spacing w:val="0"/>
          <w:sz w:val="28"/>
          <w:szCs w:val="28"/>
          <w:shd w:val="clear"/>
          <w:lang w:eastAsia="zh-CN"/>
        </w:rPr>
        <w:t>，</w:t>
      </w:r>
      <w:r>
        <w:rPr>
          <w:rFonts w:hint="eastAsia" w:ascii="Times New Roman" w:hAnsi="Times New Roman"/>
          <w:szCs w:val="28"/>
        </w:rPr>
        <w:t>为乌鲁木齐</w:t>
      </w:r>
      <w:r>
        <w:rPr>
          <w:rFonts w:hint="eastAsia" w:ascii="Times New Roman" w:hAnsi="Times New Roman"/>
          <w:szCs w:val="28"/>
          <w:highlight w:val="none"/>
        </w:rPr>
        <w:t>县辖区内的医学观察点、隔离点购买防疫物资，如口罩、防护服、消毒液、核酸检测耗材、电子门磁等</w:t>
      </w:r>
      <w:r>
        <w:rPr>
          <w:rFonts w:hint="eastAsia" w:ascii="Times New Roman" w:hAnsi="Times New Roman"/>
          <w:szCs w:val="28"/>
          <w:highlight w:val="none"/>
          <w:lang w:eastAsia="zh-CN"/>
        </w:rPr>
        <w:t>，</w:t>
      </w:r>
      <w:r>
        <w:rPr>
          <w:rFonts w:hint="eastAsia" w:ascii="Times New Roman" w:hAnsi="Times New Roman"/>
          <w:szCs w:val="28"/>
          <w:highlight w:val="none"/>
        </w:rPr>
        <w:t>满足疫情防控需求。</w:t>
      </w:r>
      <w:bookmarkEnd w:id="27"/>
    </w:p>
    <w:p>
      <w:pPr>
        <w:spacing w:line="360" w:lineRule="auto"/>
        <w:ind w:firstLine="560"/>
        <w:rPr>
          <w:rFonts w:hint="eastAsia" w:ascii="Times New Roman" w:hAnsi="Times New Roman"/>
          <w:szCs w:val="28"/>
        </w:rPr>
      </w:pPr>
      <w:r>
        <w:rPr>
          <w:rFonts w:hint="eastAsia" w:ascii="Times New Roman" w:hAnsi="Times New Roman"/>
          <w:szCs w:val="28"/>
        </w:rPr>
        <w:t>疫情物资的采购和供应可以保障社会的正常运转，避免因物资短缺而引发的社会恐慌和不稳定因素。</w:t>
      </w:r>
      <w:r>
        <w:rPr>
          <w:rFonts w:ascii="Times New Roman" w:hAnsi="Times New Roman" w:cs="Times New Roman"/>
          <w:szCs w:val="28"/>
        </w:rPr>
        <w:t>财政部明确疫情防控期间可以不执行政府采购法规定的方式和程序，但具体按怎样的程序组织实施还缺少相应的制度规定。</w:t>
      </w:r>
      <w:r>
        <w:rPr>
          <w:rFonts w:hint="eastAsia" w:ascii="Times New Roman" w:hAnsi="Times New Roman" w:cs="Times New Roman"/>
          <w:szCs w:val="28"/>
        </w:rPr>
        <w:t>建立健全应急采购管理制度：制定疫情物资应急采购预案，明确采购流程、供应商选择标准、合同签订要求等，确保采购工作的合法性、规范性和高效性。</w:t>
      </w:r>
    </w:p>
    <w:p>
      <w:pPr>
        <w:spacing w:line="360" w:lineRule="auto"/>
        <w:ind w:firstLine="560"/>
        <w:rPr>
          <w:rFonts w:ascii="Times New Roman" w:hAnsi="Times New Roman" w:cs="Times New Roman"/>
        </w:rPr>
      </w:pPr>
    </w:p>
    <w:bookmarkEnd w:id="28"/>
    <w:p>
      <w:pPr>
        <w:pStyle w:val="4"/>
        <w:spacing w:before="0" w:after="0" w:line="560" w:lineRule="exact"/>
        <w:ind w:firstLine="643"/>
        <w:rPr>
          <w:rFonts w:hint="eastAsia" w:ascii="Times New Roman" w:hAnsi="Times New Roman" w:cs="Times New Roman"/>
        </w:rPr>
      </w:pPr>
      <w:bookmarkStart w:id="29" w:name="_Toc14881"/>
      <w:r>
        <w:rPr>
          <w:rFonts w:hint="eastAsia" w:ascii="Times New Roman" w:hAnsi="Times New Roman" w:cs="Times New Roman"/>
        </w:rPr>
        <w:t>（二）绩效评价原则、指标体系、方法及标准</w:t>
      </w:r>
      <w:bookmarkEnd w:id="29"/>
    </w:p>
    <w:p>
      <w:pPr>
        <w:pStyle w:val="4"/>
        <w:spacing w:before="0" w:after="0" w:line="560" w:lineRule="exact"/>
        <w:ind w:firstLine="643"/>
        <w:rPr>
          <w:rFonts w:ascii="Times New Roman" w:hAnsi="Times New Roman" w:cs="Times New Roman"/>
        </w:rPr>
      </w:pPr>
      <w:bookmarkStart w:id="30" w:name="_Toc26636"/>
      <w:r>
        <w:rPr>
          <w:rFonts w:ascii="Times New Roman" w:hAnsi="Times New Roman" w:cs="Times New Roman"/>
        </w:rPr>
        <w:t>1.</w:t>
      </w:r>
      <w:r>
        <w:rPr>
          <w:rFonts w:hint="eastAsia" w:ascii="Times New Roman" w:hAnsi="Times New Roman" w:cs="Times New Roman"/>
        </w:rPr>
        <w:t>评价原则</w:t>
      </w:r>
      <w:bookmarkEnd w:id="30"/>
    </w:p>
    <w:p>
      <w:pPr>
        <w:spacing w:line="360" w:lineRule="auto"/>
        <w:ind w:firstLine="560"/>
        <w:rPr>
          <w:rFonts w:ascii="Times New Roman" w:hAnsi="Times New Roman" w:cs="Times New Roman"/>
        </w:rPr>
      </w:pPr>
      <w:r>
        <w:rPr>
          <w:rFonts w:hint="eastAsia" w:ascii="Times New Roman" w:hAnsi="Times New Roman" w:cs="Times New Roman"/>
        </w:rPr>
        <w:t>（一）科学公正。绩效评价应当运用科学合理的方法，按照规范的程序，对项目绩效进行客观、公正的反映。</w:t>
      </w:r>
    </w:p>
    <w:p>
      <w:pPr>
        <w:spacing w:line="360" w:lineRule="auto"/>
        <w:ind w:firstLine="560"/>
        <w:rPr>
          <w:rFonts w:ascii="Times New Roman" w:hAnsi="Times New Roman" w:cs="Times New Roman"/>
        </w:rPr>
      </w:pPr>
      <w:r>
        <w:rPr>
          <w:rFonts w:hint="eastAsia" w:ascii="Times New Roman" w:hAnsi="Times New Roman" w:cs="Times New Roman"/>
        </w:rPr>
        <w:t>（二）统筹兼顾。单位自评、部门评价和财政评价应职责明确，各有侧重，相互衔接。单位自评应由项目单位自主实施，即</w:t>
      </w:r>
      <w:r>
        <w:rPr>
          <w:rFonts w:ascii="Times New Roman" w:hAnsi="Times New Roman" w:cs="Times New Roman"/>
        </w:rPr>
        <w:t>“</w:t>
      </w:r>
      <w:r>
        <w:rPr>
          <w:rFonts w:hint="eastAsia" w:ascii="Times New Roman" w:hAnsi="Times New Roman" w:cs="Times New Roman"/>
        </w:rPr>
        <w:t>谁支出、谁自评</w:t>
      </w:r>
      <w:r>
        <w:rPr>
          <w:rFonts w:ascii="Times New Roman" w:hAnsi="Times New Roman" w:cs="Times New Roman"/>
        </w:rPr>
        <w:t>”</w:t>
      </w:r>
      <w:r>
        <w:rPr>
          <w:rFonts w:hint="eastAsia" w:ascii="Times New Roman" w:hAnsi="Times New Roman" w:cs="Times New Roman"/>
        </w:rPr>
        <w:t>。部门评价和财政评价应在单位自评的基础上开展，必要时可委托第三方机构实施。</w:t>
      </w:r>
    </w:p>
    <w:p>
      <w:pPr>
        <w:spacing w:line="360" w:lineRule="auto"/>
        <w:ind w:firstLine="560"/>
        <w:rPr>
          <w:rFonts w:ascii="Times New Roman" w:hAnsi="Times New Roman" w:cs="Times New Roman"/>
        </w:rPr>
      </w:pPr>
      <w:r>
        <w:rPr>
          <w:rFonts w:hint="eastAsia" w:ascii="Times New Roman" w:hAnsi="Times New Roman" w:cs="Times New Roman"/>
        </w:rPr>
        <w:t>（三）激励约束。绩效评价结果应与预算安排、政策调整、改进管理实质性挂钩，体现奖优罚劣和激励相容导向，有效要安排、低效要压减、无效要问责。</w:t>
      </w:r>
    </w:p>
    <w:p>
      <w:pPr>
        <w:spacing w:line="360" w:lineRule="auto"/>
        <w:ind w:firstLine="560"/>
        <w:rPr>
          <w:rFonts w:ascii="Times New Roman" w:hAnsi="Times New Roman" w:cs="Times New Roman"/>
        </w:rPr>
      </w:pPr>
      <w:r>
        <w:rPr>
          <w:rFonts w:hint="eastAsia" w:ascii="Times New Roman" w:hAnsi="Times New Roman" w:cs="Times New Roman"/>
        </w:rPr>
        <w:t>（四）公开透明。绩效评价结果应依法依规公开，并自觉接受社会监督。</w:t>
      </w:r>
    </w:p>
    <w:p>
      <w:pPr>
        <w:pStyle w:val="3"/>
        <w:spacing w:before="0" w:after="0" w:line="560" w:lineRule="exact"/>
        <w:ind w:firstLine="643"/>
        <w:rPr>
          <w:rFonts w:ascii="Times New Roman" w:hAnsi="Times New Roman" w:eastAsia="仿宋"/>
        </w:rPr>
      </w:pPr>
      <w:bookmarkStart w:id="31" w:name="_Toc15335"/>
      <w:r>
        <w:rPr>
          <w:rFonts w:ascii="Times New Roman" w:hAnsi="Times New Roman" w:eastAsia="仿宋"/>
        </w:rPr>
        <w:t>2.</w:t>
      </w:r>
      <w:r>
        <w:rPr>
          <w:rFonts w:hint="eastAsia" w:ascii="Times New Roman" w:hAnsi="Times New Roman" w:eastAsia="仿宋"/>
        </w:rPr>
        <w:t>评价指标体系</w:t>
      </w:r>
      <w:bookmarkEnd w:id="31"/>
    </w:p>
    <w:p>
      <w:pPr>
        <w:spacing w:line="360" w:lineRule="auto"/>
        <w:ind w:firstLine="560"/>
        <w:rPr>
          <w:rFonts w:ascii="Times New Roman" w:hAnsi="Times New Roman" w:cs="Times New Roman"/>
        </w:rPr>
      </w:pPr>
      <w:r>
        <w:rPr>
          <w:rFonts w:hint="eastAsia"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1</w:t>
      </w:r>
      <w:r>
        <w:rPr>
          <w:rFonts w:hint="eastAsia" w:ascii="Times New Roman" w:hAnsi="Times New Roman" w:cs="Times New Roman"/>
        </w:rPr>
        <w:t>）相关性原则：绩效评价指标应当与绩效目标有直接的联系，能够恰当反映目标的实现程度。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w:t>
      </w:r>
      <w:r>
        <w:rPr>
          <w:rFonts w:hint="eastAsia" w:ascii="Times New Roman" w:hAnsi="Times New Roman" w:cs="Times New Roman"/>
        </w:rPr>
        <w:t>）重要性原则：应当优先使用最具评价对象代表性、最能反映评价要求的核心指标。</w:t>
      </w:r>
    </w:p>
    <w:p>
      <w:pPr>
        <w:spacing w:line="360" w:lineRule="auto"/>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w:t>
      </w:r>
      <w:r>
        <w:rPr>
          <w:rFonts w:hint="eastAsia" w:ascii="Times New Roman" w:hAnsi="Times New Roman" w:cs="Times New Roman"/>
        </w:rPr>
        <w:t>）可比性原则：对同类评价对象要设定共性的绩效评价指标，以便于评价结果可以相互比较。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4</w:t>
      </w:r>
      <w:r>
        <w:rPr>
          <w:rFonts w:hint="eastAsia" w:ascii="Times New Roman" w:hAnsi="Times New Roman" w:cs="Times New Roman"/>
        </w:rPr>
        <w:t>）系统性原则：绩效评价指标的设置应当将定量指标与定性指标相结合，能系统反映财政支出所产生的社会效益、经济效益和可持续影响等。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5</w:t>
      </w:r>
      <w:r>
        <w:rPr>
          <w:rFonts w:hint="eastAsia" w:ascii="Times New Roman" w:hAnsi="Times New Roman" w:cs="Times New Roman"/>
        </w:rPr>
        <w:t>）经济性原则：绩效评价指标设计应当通俗易懂、简便易行，数据的获得应当考虑现实条件和可操作性，符合成本效益原则。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r>
        <w:rPr>
          <w:rFonts w:hint="eastAsia" w:ascii="Times New Roman" w:hAnsi="Times New Roman" w:cs="Times New Roman"/>
        </w:rPr>
        <w:t>本项目的评价指标体系建立如下表所示。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w:t>
      </w:r>
      <w:r>
        <w:rPr>
          <w:rFonts w:hint="eastAsia" w:ascii="Times New Roman" w:hAnsi="Times New Roman" w:cs="Times New Roman"/>
          <w:b/>
          <w:bCs/>
        </w:rPr>
        <w:t>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shd w:val="clear" w:color="auto" w:fill="D0CECE"/>
            <w:vAlign w:val="center"/>
          </w:tcPr>
          <w:p>
            <w:pPr>
              <w:widowControl/>
              <w:ind w:firstLine="0" w:firstLineChars="0"/>
              <w:jc w:val="center"/>
              <w:rPr>
                <w:rFonts w:ascii="Times New Roman" w:hAnsi="Times New Roman" w:eastAsia="宋体" w:cs="Times New Roman"/>
                <w:b/>
                <w:bCs/>
                <w:color w:val="000000"/>
                <w:kern w:val="0"/>
                <w:sz w:val="22"/>
              </w:rPr>
            </w:pPr>
            <w:r>
              <w:rPr>
                <w:rFonts w:hint="eastAsia" w:ascii="Times New Roman" w:hAnsi="Times New Roman" w:eastAsia="宋体" w:cs="Times New Roman"/>
                <w:b/>
                <w:bCs/>
                <w:color w:val="000000"/>
                <w:kern w:val="0"/>
                <w:sz w:val="22"/>
              </w:rPr>
              <w:t>一级指标</w:t>
            </w:r>
          </w:p>
        </w:tc>
        <w:tc>
          <w:tcPr>
            <w:tcW w:w="1199" w:type="dxa"/>
            <w:shd w:val="clear" w:color="auto" w:fill="D0CECE"/>
            <w:vAlign w:val="center"/>
          </w:tcPr>
          <w:p>
            <w:pPr>
              <w:widowControl/>
              <w:ind w:firstLine="0" w:firstLineChars="0"/>
              <w:jc w:val="center"/>
              <w:rPr>
                <w:rFonts w:ascii="Times New Roman" w:hAnsi="Times New Roman" w:eastAsia="宋体" w:cs="Times New Roman"/>
                <w:b/>
                <w:bCs/>
                <w:color w:val="000000"/>
                <w:kern w:val="0"/>
                <w:sz w:val="22"/>
              </w:rPr>
            </w:pPr>
            <w:r>
              <w:rPr>
                <w:rFonts w:hint="eastAsia" w:ascii="Times New Roman" w:hAnsi="Times New Roman" w:eastAsia="宋体" w:cs="Times New Roman"/>
                <w:b/>
                <w:bCs/>
                <w:color w:val="000000"/>
                <w:kern w:val="0"/>
                <w:sz w:val="22"/>
              </w:rPr>
              <w:t>二级指标</w:t>
            </w:r>
          </w:p>
        </w:tc>
        <w:tc>
          <w:tcPr>
            <w:tcW w:w="1411" w:type="dxa"/>
            <w:shd w:val="clear" w:color="auto" w:fill="D0CECE"/>
            <w:vAlign w:val="center"/>
          </w:tcPr>
          <w:p>
            <w:pPr>
              <w:widowControl/>
              <w:ind w:firstLine="0" w:firstLineChars="0"/>
              <w:jc w:val="center"/>
              <w:rPr>
                <w:rFonts w:ascii="Times New Roman" w:hAnsi="Times New Roman" w:eastAsia="宋体" w:cs="Times New Roman"/>
                <w:b/>
                <w:bCs/>
                <w:color w:val="000000"/>
                <w:kern w:val="0"/>
                <w:sz w:val="22"/>
              </w:rPr>
            </w:pPr>
            <w:r>
              <w:rPr>
                <w:rFonts w:hint="eastAsia" w:ascii="Times New Roman" w:hAnsi="Times New Roman" w:eastAsia="宋体" w:cs="Times New Roman"/>
                <w:b/>
                <w:bCs/>
                <w:color w:val="000000"/>
                <w:kern w:val="0"/>
                <w:sz w:val="22"/>
              </w:rPr>
              <w:t>三级指标</w:t>
            </w:r>
          </w:p>
        </w:tc>
        <w:tc>
          <w:tcPr>
            <w:tcW w:w="2789" w:type="dxa"/>
            <w:shd w:val="clear" w:color="auto" w:fill="D0CECE"/>
            <w:vAlign w:val="center"/>
          </w:tcPr>
          <w:p>
            <w:pPr>
              <w:widowControl/>
              <w:ind w:firstLine="0" w:firstLineChars="0"/>
              <w:jc w:val="center"/>
              <w:rPr>
                <w:rFonts w:ascii="Times New Roman" w:hAnsi="Times New Roman" w:eastAsia="宋体" w:cs="Times New Roman"/>
                <w:b/>
                <w:bCs/>
                <w:color w:val="000000"/>
                <w:kern w:val="0"/>
                <w:sz w:val="22"/>
              </w:rPr>
            </w:pPr>
            <w:r>
              <w:rPr>
                <w:rFonts w:hint="eastAsia" w:ascii="Times New Roman" w:hAnsi="Times New Roman" w:eastAsia="宋体" w:cs="Times New Roman"/>
                <w:b/>
                <w:bCs/>
                <w:color w:val="000000"/>
                <w:kern w:val="0"/>
                <w:sz w:val="22"/>
              </w:rPr>
              <w:t>指标解释</w:t>
            </w:r>
          </w:p>
        </w:tc>
        <w:tc>
          <w:tcPr>
            <w:tcW w:w="7341" w:type="dxa"/>
            <w:shd w:val="clear" w:color="auto" w:fill="D0CECE"/>
            <w:vAlign w:val="center"/>
          </w:tcPr>
          <w:p>
            <w:pPr>
              <w:widowControl/>
              <w:ind w:firstLine="0" w:firstLineChars="0"/>
              <w:jc w:val="center"/>
              <w:rPr>
                <w:rFonts w:ascii="Times New Roman" w:hAnsi="Times New Roman" w:eastAsia="宋体" w:cs="Times New Roman"/>
                <w:b/>
                <w:bCs/>
                <w:color w:val="000000"/>
                <w:kern w:val="0"/>
                <w:sz w:val="22"/>
              </w:rPr>
            </w:pPr>
            <w:r>
              <w:rPr>
                <w:rFonts w:hint="eastAsia"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决策</w:t>
            </w:r>
          </w:p>
        </w:tc>
        <w:tc>
          <w:tcPr>
            <w:tcW w:w="1199" w:type="dxa"/>
            <w:vMerge w:val="restart"/>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项目立项</w:t>
            </w: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充分性</w:t>
            </w:r>
          </w:p>
        </w:tc>
        <w:tc>
          <w:tcPr>
            <w:tcW w:w="2789" w:type="dxa"/>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①项目立项是否符合国家法律法规、国民经济发展规划和相关政策；</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②项目立项是否符合行业发展规划和政策要求；</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③项目立项是否与部门职责范围相符，属于部门履职所需；</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④项目是否属于公共财政支持范围，是否符合中央、地方事权支出责任划分原则；</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规范性</w:t>
            </w:r>
          </w:p>
        </w:tc>
        <w:tc>
          <w:tcPr>
            <w:tcW w:w="2789" w:type="dxa"/>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项目申请、设立过程是否符合相关要求，用以反映和考核项目立项的规范情况。</w:t>
            </w:r>
          </w:p>
        </w:tc>
        <w:tc>
          <w:tcPr>
            <w:tcW w:w="7341" w:type="dxa"/>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①项目是否按照规定的程序申请设立；</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②审批文件、材料是否符合相关要求；</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绩效目标</w:t>
            </w: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合理性</w:t>
            </w:r>
          </w:p>
        </w:tc>
        <w:tc>
          <w:tcPr>
            <w:tcW w:w="2789"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shd w:val="clear" w:color="000000" w:fill="FFFFFF"/>
            <w:vAlign w:val="center"/>
          </w:tcPr>
          <w:p>
            <w:pPr>
              <w:widowControl/>
              <w:ind w:firstLine="0" w:firstLineChars="0"/>
              <w:jc w:val="left"/>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（如未设定预算绩效目标，也可考核其他工作任务目标）</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①项目是否有绩效目标；</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②项目绩效目标与实际工作内容是否具有相关性；</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决策</w:t>
            </w:r>
          </w:p>
        </w:tc>
        <w:tc>
          <w:tcPr>
            <w:tcW w:w="1199"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绩效目标</w:t>
            </w: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明确性</w:t>
            </w:r>
          </w:p>
        </w:tc>
        <w:tc>
          <w:tcPr>
            <w:tcW w:w="2789"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①是否将项目绩效目标细化分解为具体的绩效指标；</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②是否通过清晰、可衡量的指标值予以体现；</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③是否与项目目标任务数或计划数相对应。</w:t>
            </w:r>
            <w:r>
              <w:rPr>
                <w:rFonts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资金投入</w:t>
            </w: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科学性</w:t>
            </w:r>
          </w:p>
        </w:tc>
        <w:tc>
          <w:tcPr>
            <w:tcW w:w="2789" w:type="dxa"/>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①预算编制是否经过科学论证；</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②预算内容与项目内容是否匹配；</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③预算额度测算依据是否充分，是否按照标准编制；</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合理性</w:t>
            </w:r>
          </w:p>
        </w:tc>
        <w:tc>
          <w:tcPr>
            <w:tcW w:w="2789" w:type="dxa"/>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①预算资金分配依据是否充分；</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过程</w:t>
            </w:r>
          </w:p>
        </w:tc>
        <w:tc>
          <w:tcPr>
            <w:tcW w:w="1199" w:type="dxa"/>
            <w:vMerge w:val="restart"/>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资金管理</w:t>
            </w: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资金到位率</w:t>
            </w:r>
          </w:p>
        </w:tc>
        <w:tc>
          <w:tcPr>
            <w:tcW w:w="2789"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资金到位率</w:t>
            </w:r>
            <w:r>
              <w:rPr>
                <w:rFonts w:ascii="Times New Roman" w:hAnsi="Times New Roman" w:eastAsia="宋体" w:cs="Times New Roman"/>
                <w:color w:val="000000"/>
                <w:kern w:val="0"/>
                <w:sz w:val="22"/>
              </w:rPr>
              <w:t>=</w:t>
            </w:r>
            <w:r>
              <w:rPr>
                <w:rFonts w:hint="eastAsia" w:ascii="Times New Roman" w:hAnsi="Times New Roman" w:eastAsia="宋体" w:cs="Times New Roman"/>
                <w:color w:val="000000"/>
                <w:kern w:val="0"/>
                <w:sz w:val="22"/>
              </w:rPr>
              <w:t>（实际到位资金</w:t>
            </w:r>
            <w:r>
              <w:rPr>
                <w:rFonts w:ascii="Times New Roman" w:hAnsi="Times New Roman" w:eastAsia="宋体" w:cs="Times New Roman"/>
                <w:color w:val="000000"/>
                <w:kern w:val="0"/>
                <w:sz w:val="22"/>
              </w:rPr>
              <w:t>/</w:t>
            </w:r>
            <w:r>
              <w:rPr>
                <w:rFonts w:hint="eastAsia" w:ascii="Times New Roman" w:hAnsi="Times New Roman" w:eastAsia="宋体" w:cs="Times New Roman"/>
                <w:color w:val="000000"/>
                <w:kern w:val="0"/>
                <w:sz w:val="22"/>
              </w:rPr>
              <w:t>预算资金）</w:t>
            </w:r>
            <w:r>
              <w:rPr>
                <w:rFonts w:ascii="Times New Roman" w:hAnsi="Times New Roman" w:eastAsia="宋体" w:cs="Times New Roman"/>
                <w:color w:val="000000"/>
                <w:kern w:val="0"/>
                <w:sz w:val="22"/>
              </w:rPr>
              <w:t>×100%</w:t>
            </w:r>
            <w:r>
              <w:rPr>
                <w:rFonts w:hint="eastAsia" w:ascii="Times New Roman" w:hAnsi="Times New Roman" w:eastAsia="宋体" w:cs="Times New Roman"/>
                <w:color w:val="000000"/>
                <w:kern w:val="0"/>
                <w:sz w:val="22"/>
              </w:rPr>
              <w:t>。</w:t>
            </w:r>
          </w:p>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预算执行率</w:t>
            </w:r>
          </w:p>
        </w:tc>
        <w:tc>
          <w:tcPr>
            <w:tcW w:w="2789" w:type="dxa"/>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项目预算资金是否按照计划执行，用以反映或考核项目预算执行情况。</w:t>
            </w:r>
          </w:p>
        </w:tc>
        <w:tc>
          <w:tcPr>
            <w:tcW w:w="7341" w:type="dxa"/>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预算执行率</w:t>
            </w:r>
            <w:r>
              <w:rPr>
                <w:rFonts w:ascii="Times New Roman" w:hAnsi="Times New Roman" w:eastAsia="宋体" w:cs="Times New Roman"/>
                <w:color w:val="000000"/>
                <w:kern w:val="0"/>
                <w:sz w:val="22"/>
              </w:rPr>
              <w:t>=</w:t>
            </w:r>
            <w:r>
              <w:rPr>
                <w:rFonts w:hint="eastAsia" w:ascii="Times New Roman" w:hAnsi="Times New Roman" w:eastAsia="宋体" w:cs="Times New Roman"/>
                <w:color w:val="000000"/>
                <w:kern w:val="0"/>
                <w:sz w:val="22"/>
              </w:rPr>
              <w:t>（实际支出资金</w:t>
            </w:r>
            <w:r>
              <w:rPr>
                <w:rFonts w:ascii="Times New Roman" w:hAnsi="Times New Roman" w:eastAsia="宋体" w:cs="Times New Roman"/>
                <w:color w:val="000000"/>
                <w:kern w:val="0"/>
                <w:sz w:val="22"/>
              </w:rPr>
              <w:t>/</w:t>
            </w:r>
            <w:r>
              <w:rPr>
                <w:rFonts w:hint="eastAsia" w:ascii="Times New Roman" w:hAnsi="Times New Roman" w:eastAsia="宋体" w:cs="Times New Roman"/>
                <w:color w:val="000000"/>
                <w:kern w:val="0"/>
                <w:sz w:val="22"/>
              </w:rPr>
              <w:t>实际到位资金）</w:t>
            </w:r>
            <w:r>
              <w:rPr>
                <w:rFonts w:ascii="Times New Roman" w:hAnsi="Times New Roman" w:eastAsia="宋体" w:cs="Times New Roman"/>
                <w:color w:val="000000"/>
                <w:kern w:val="0"/>
                <w:sz w:val="22"/>
              </w:rPr>
              <w:t>×100%</w:t>
            </w:r>
            <w:r>
              <w:rPr>
                <w:rFonts w:hint="eastAsia" w:ascii="Times New Roman" w:hAnsi="Times New Roman" w:eastAsia="宋体" w:cs="Times New Roman"/>
                <w:color w:val="000000"/>
                <w:kern w:val="0"/>
                <w:sz w:val="22"/>
              </w:rPr>
              <w:t>。</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过程</w:t>
            </w:r>
          </w:p>
        </w:tc>
        <w:tc>
          <w:tcPr>
            <w:tcW w:w="1199"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资金管理</w:t>
            </w: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合规性</w:t>
            </w:r>
          </w:p>
        </w:tc>
        <w:tc>
          <w:tcPr>
            <w:tcW w:w="2789"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①是否符合国家财经法规和财务管理制度以及有关专项资金管理办法的规定；</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②资金的拨付是否有完整的审批程序和手续；</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③是否符合项目预算批复或合同规定的用途；</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组织实施</w:t>
            </w: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健全性</w:t>
            </w:r>
          </w:p>
        </w:tc>
        <w:tc>
          <w:tcPr>
            <w:tcW w:w="2789"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①是否已制定或具有相应的财务和业务管理制度；</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有效性</w:t>
            </w:r>
          </w:p>
        </w:tc>
        <w:tc>
          <w:tcPr>
            <w:tcW w:w="2789"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项目实施是否符合相关管理规定，用以反映和考核相关管理制度的有效执行情况。</w:t>
            </w:r>
          </w:p>
        </w:tc>
        <w:tc>
          <w:tcPr>
            <w:tcW w:w="7341"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①是否遵守相关法律法规和相关管理规定；</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②项目调整及支出调整手续是否完备；</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③项目合同书、验收报告、技术鉴定等资料是否齐全并及时归档；</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w:t>
            </w:r>
          </w:p>
        </w:tc>
        <w:tc>
          <w:tcPr>
            <w:tcW w:w="1199" w:type="dxa"/>
            <w:vMerge w:val="restart"/>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产出数量</w:t>
            </w:r>
          </w:p>
        </w:tc>
        <w:tc>
          <w:tcPr>
            <w:tcW w:w="1411" w:type="dxa"/>
            <w:shd w:val="clear" w:color="auto" w:fill="FFFFFF"/>
            <w:vAlign w:val="center"/>
          </w:tcPr>
          <w:p>
            <w:pPr>
              <w:widowControl/>
              <w:ind w:firstLine="0" w:firstLineChars="0"/>
              <w:jc w:val="both"/>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购买物资批次</w:t>
            </w:r>
          </w:p>
        </w:tc>
        <w:tc>
          <w:tcPr>
            <w:tcW w:w="2789" w:type="dxa"/>
            <w:vMerge w:val="restart"/>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实际完成率</w:t>
            </w:r>
            <w:r>
              <w:rPr>
                <w:rFonts w:ascii="Times New Roman" w:hAnsi="Times New Roman" w:eastAsia="宋体" w:cs="Times New Roman"/>
                <w:color w:val="000000"/>
                <w:kern w:val="0"/>
                <w:sz w:val="22"/>
              </w:rPr>
              <w:t>=</w:t>
            </w:r>
            <w:r>
              <w:rPr>
                <w:rFonts w:hint="eastAsia" w:ascii="Times New Roman" w:hAnsi="Times New Roman" w:eastAsia="宋体" w:cs="Times New Roman"/>
                <w:color w:val="000000"/>
                <w:kern w:val="0"/>
                <w:sz w:val="22"/>
              </w:rPr>
              <w:t>（实际产出数</w:t>
            </w:r>
            <w:r>
              <w:rPr>
                <w:rFonts w:ascii="Times New Roman" w:hAnsi="Times New Roman" w:eastAsia="宋体" w:cs="Times New Roman"/>
                <w:color w:val="000000"/>
                <w:kern w:val="0"/>
                <w:sz w:val="22"/>
              </w:rPr>
              <w:t>/</w:t>
            </w:r>
            <w:r>
              <w:rPr>
                <w:rFonts w:hint="eastAsia" w:ascii="Times New Roman" w:hAnsi="Times New Roman" w:eastAsia="宋体" w:cs="Times New Roman"/>
                <w:color w:val="000000"/>
                <w:kern w:val="0"/>
                <w:sz w:val="22"/>
              </w:rPr>
              <w:t>计划产出数）</w:t>
            </w:r>
            <w:r>
              <w:rPr>
                <w:rFonts w:ascii="Times New Roman" w:hAnsi="Times New Roman" w:eastAsia="宋体" w:cs="Times New Roman"/>
                <w:color w:val="000000"/>
                <w:kern w:val="0"/>
                <w:sz w:val="22"/>
              </w:rPr>
              <w:t>×100%</w:t>
            </w:r>
            <w:r>
              <w:rPr>
                <w:rFonts w:hint="eastAsia" w:ascii="Times New Roman" w:hAnsi="Times New Roman" w:eastAsia="宋体" w:cs="Times New Roman"/>
                <w:color w:val="000000"/>
                <w:kern w:val="0"/>
                <w:sz w:val="22"/>
              </w:rPr>
              <w:t>。</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实际产出数：一定时期（本年度或项目期）内项目实际产出的产品或提供的服务数量。</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shd w:val="clear" w:color="auto" w:fill="FFFFFF"/>
            <w:vAlign w:val="center"/>
          </w:tcPr>
          <w:p>
            <w:pPr>
              <w:widowControl/>
              <w:ind w:firstLine="0" w:firstLineChars="0"/>
              <w:jc w:val="both"/>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购买突发疫情期间隔离人员物资批次</w:t>
            </w:r>
          </w:p>
        </w:tc>
        <w:tc>
          <w:tcPr>
            <w:tcW w:w="2789" w:type="dxa"/>
            <w:vMerge w:val="continue"/>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3" w:hRule="atLeast"/>
          <w:jc w:val="center"/>
        </w:trPr>
        <w:tc>
          <w:tcPr>
            <w:tcW w:w="1155" w:type="dxa"/>
            <w:vMerge w:val="restart"/>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w:t>
            </w:r>
          </w:p>
        </w:tc>
        <w:tc>
          <w:tcPr>
            <w:tcW w:w="1199" w:type="dxa"/>
            <w:vMerge w:val="restart"/>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产出质量</w:t>
            </w: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防疫物资验收合格率</w:t>
            </w:r>
          </w:p>
        </w:tc>
        <w:tc>
          <w:tcPr>
            <w:tcW w:w="2789" w:type="dxa"/>
            <w:vMerge w:val="restart"/>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质量达标率</w:t>
            </w:r>
            <w:r>
              <w:rPr>
                <w:rFonts w:ascii="Times New Roman" w:hAnsi="Times New Roman" w:eastAsia="宋体" w:cs="Times New Roman"/>
                <w:color w:val="000000"/>
                <w:kern w:val="0"/>
                <w:sz w:val="22"/>
              </w:rPr>
              <w:t>=</w:t>
            </w:r>
            <w:r>
              <w:rPr>
                <w:rFonts w:hint="eastAsia" w:ascii="Times New Roman" w:hAnsi="Times New Roman" w:eastAsia="宋体" w:cs="Times New Roman"/>
                <w:color w:val="000000"/>
                <w:kern w:val="0"/>
                <w:sz w:val="22"/>
              </w:rPr>
              <w:t>（质量达标产出数</w:t>
            </w:r>
            <w:r>
              <w:rPr>
                <w:rFonts w:ascii="Times New Roman" w:hAnsi="Times New Roman" w:eastAsia="宋体" w:cs="Times New Roman"/>
                <w:color w:val="000000"/>
                <w:kern w:val="0"/>
                <w:sz w:val="22"/>
              </w:rPr>
              <w:t>/</w:t>
            </w:r>
            <w:r>
              <w:rPr>
                <w:rFonts w:hint="eastAsia" w:ascii="Times New Roman" w:hAnsi="Times New Roman" w:eastAsia="宋体" w:cs="Times New Roman"/>
                <w:color w:val="000000"/>
                <w:kern w:val="0"/>
                <w:sz w:val="22"/>
              </w:rPr>
              <w:t>实际产出数）</w:t>
            </w:r>
            <w:r>
              <w:rPr>
                <w:rFonts w:ascii="Times New Roman" w:hAnsi="Times New Roman" w:eastAsia="宋体" w:cs="Times New Roman"/>
                <w:color w:val="000000"/>
                <w:kern w:val="0"/>
                <w:sz w:val="22"/>
              </w:rPr>
              <w:t>×100%</w:t>
            </w:r>
            <w:r>
              <w:rPr>
                <w:rFonts w:hint="eastAsia" w:ascii="Times New Roman" w:hAnsi="Times New Roman" w:eastAsia="宋体" w:cs="Times New Roman"/>
                <w:color w:val="000000"/>
                <w:kern w:val="0"/>
                <w:sz w:val="22"/>
              </w:rPr>
              <w:t>。</w:t>
            </w:r>
          </w:p>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2" w:hRule="atLeast"/>
          <w:jc w:val="center"/>
        </w:trPr>
        <w:tc>
          <w:tcPr>
            <w:tcW w:w="1155" w:type="dxa"/>
            <w:vMerge w:val="continue"/>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rPr>
            </w:pPr>
          </w:p>
        </w:tc>
        <w:tc>
          <w:tcPr>
            <w:tcW w:w="1199" w:type="dxa"/>
            <w:vMerge w:val="continue"/>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rPr>
            </w:pPr>
          </w:p>
        </w:tc>
        <w:tc>
          <w:tcPr>
            <w:tcW w:w="1411" w:type="dxa"/>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政府采购率</w:t>
            </w:r>
          </w:p>
        </w:tc>
        <w:tc>
          <w:tcPr>
            <w:tcW w:w="2789" w:type="dxa"/>
            <w:vMerge w:val="continue"/>
            <w:shd w:val="clear" w:color="000000" w:fill="FFFFFF"/>
            <w:vAlign w:val="center"/>
          </w:tcPr>
          <w:p>
            <w:pPr>
              <w:widowControl/>
              <w:ind w:firstLine="0" w:firstLineChars="0"/>
              <w:rPr>
                <w:rFonts w:hint="eastAsia" w:ascii="Times New Roman" w:hAnsi="Times New Roman" w:eastAsia="宋体" w:cs="Times New Roman"/>
                <w:color w:val="000000"/>
                <w:kern w:val="0"/>
                <w:sz w:val="22"/>
              </w:rPr>
            </w:pPr>
          </w:p>
        </w:tc>
        <w:tc>
          <w:tcPr>
            <w:tcW w:w="7341" w:type="dxa"/>
            <w:vMerge w:val="continue"/>
            <w:shd w:val="clear" w:color="000000" w:fill="FFFFFF"/>
            <w:vAlign w:val="center"/>
          </w:tcPr>
          <w:p>
            <w:pPr>
              <w:widowControl/>
              <w:ind w:firstLine="0" w:firstLineChars="0"/>
              <w:rPr>
                <w:rFonts w:hint="eastAsia"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产出时效</w:t>
            </w:r>
          </w:p>
        </w:tc>
        <w:tc>
          <w:tcPr>
            <w:tcW w:w="1411" w:type="dxa"/>
            <w:shd w:val="clear" w:color="auto" w:fill="FFFFFF"/>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项目资金到位及时性</w:t>
            </w:r>
          </w:p>
        </w:tc>
        <w:tc>
          <w:tcPr>
            <w:tcW w:w="2789" w:type="dxa"/>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实际完成时间：项目实施单位完成该项目实际所耗用的时间。</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产出成本</w:t>
            </w: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2789"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成本节约率</w:t>
            </w:r>
            <w:r>
              <w:rPr>
                <w:rFonts w:ascii="Times New Roman" w:hAnsi="Times New Roman" w:eastAsia="宋体" w:cs="Times New Roman"/>
                <w:color w:val="000000"/>
                <w:kern w:val="0"/>
                <w:sz w:val="22"/>
              </w:rPr>
              <w:t>=[</w:t>
            </w:r>
            <w:r>
              <w:rPr>
                <w:rFonts w:hint="eastAsia" w:ascii="Times New Roman" w:hAnsi="Times New Roman" w:eastAsia="宋体" w:cs="Times New Roman"/>
                <w:color w:val="000000"/>
                <w:kern w:val="0"/>
                <w:sz w:val="22"/>
              </w:rPr>
              <w:t>（计划成本</w:t>
            </w:r>
            <w:r>
              <w:rPr>
                <w:rFonts w:ascii="Times New Roman" w:hAnsi="Times New Roman" w:eastAsia="宋体" w:cs="Times New Roman"/>
                <w:color w:val="000000"/>
                <w:kern w:val="0"/>
                <w:sz w:val="22"/>
              </w:rPr>
              <w:t>-</w:t>
            </w:r>
            <w:r>
              <w:rPr>
                <w:rFonts w:hint="eastAsia" w:ascii="Times New Roman" w:hAnsi="Times New Roman" w:eastAsia="宋体" w:cs="Times New Roman"/>
                <w:color w:val="000000"/>
                <w:kern w:val="0"/>
                <w:sz w:val="22"/>
              </w:rPr>
              <w:t>实际成本）</w:t>
            </w:r>
            <w:r>
              <w:rPr>
                <w:rFonts w:ascii="Times New Roman" w:hAnsi="Times New Roman" w:eastAsia="宋体" w:cs="Times New Roman"/>
                <w:color w:val="000000"/>
                <w:kern w:val="0"/>
                <w:sz w:val="22"/>
              </w:rPr>
              <w:t>/</w:t>
            </w:r>
            <w:r>
              <w:rPr>
                <w:rFonts w:hint="eastAsia" w:ascii="Times New Roman" w:hAnsi="Times New Roman" w:eastAsia="宋体" w:cs="Times New Roman"/>
                <w:color w:val="000000"/>
                <w:kern w:val="0"/>
                <w:sz w:val="22"/>
              </w:rPr>
              <w:t>计划成本</w:t>
            </w:r>
            <w:r>
              <w:rPr>
                <w:rFonts w:ascii="Times New Roman" w:hAnsi="Times New Roman" w:eastAsia="宋体" w:cs="Times New Roman"/>
                <w:color w:val="000000"/>
                <w:kern w:val="0"/>
                <w:sz w:val="22"/>
              </w:rPr>
              <w:t>]×100%</w:t>
            </w:r>
            <w:r>
              <w:rPr>
                <w:rFonts w:hint="eastAsia" w:ascii="Times New Roman" w:hAnsi="Times New Roman" w:eastAsia="宋体" w:cs="Times New Roman"/>
                <w:color w:val="000000"/>
                <w:kern w:val="0"/>
                <w:sz w:val="22"/>
              </w:rPr>
              <w:t>。</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实际成本：项目实施单位如期、保质、保量完成既定工作目标实际所耗费的支出。</w:t>
            </w:r>
            <w:r>
              <w:rPr>
                <w:rFonts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3" w:hRule="atLeast"/>
          <w:jc w:val="center"/>
        </w:trPr>
        <w:tc>
          <w:tcPr>
            <w:tcW w:w="1155" w:type="dxa"/>
            <w:vMerge w:val="restart"/>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效益</w:t>
            </w:r>
          </w:p>
        </w:tc>
        <w:tc>
          <w:tcPr>
            <w:tcW w:w="1199" w:type="dxa"/>
            <w:vMerge w:val="restart"/>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社会效益指标</w:t>
            </w: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保障我县防疫工作的正常有序开展</w:t>
            </w:r>
          </w:p>
        </w:tc>
        <w:tc>
          <w:tcPr>
            <w:tcW w:w="2789" w:type="dxa"/>
            <w:vMerge w:val="restart"/>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项目实施所产生的效益。</w:t>
            </w:r>
          </w:p>
        </w:tc>
        <w:tc>
          <w:tcPr>
            <w:tcW w:w="7341" w:type="dxa"/>
            <w:vMerge w:val="restart"/>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155" w:type="dxa"/>
            <w:vMerge w:val="continue"/>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rPr>
            </w:pPr>
          </w:p>
        </w:tc>
        <w:tc>
          <w:tcPr>
            <w:tcW w:w="1199" w:type="dxa"/>
            <w:vMerge w:val="continue"/>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rPr>
            </w:pPr>
          </w:p>
        </w:tc>
        <w:tc>
          <w:tcPr>
            <w:tcW w:w="1411" w:type="dxa"/>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提升群众卫生防疫意识</w:t>
            </w:r>
          </w:p>
        </w:tc>
        <w:tc>
          <w:tcPr>
            <w:tcW w:w="2789" w:type="dxa"/>
            <w:vMerge w:val="continue"/>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rPr>
            </w:pPr>
          </w:p>
        </w:tc>
        <w:tc>
          <w:tcPr>
            <w:tcW w:w="7341" w:type="dxa"/>
            <w:vMerge w:val="continue"/>
            <w:shd w:val="clear" w:color="auto" w:fill="FFFFFF"/>
            <w:vAlign w:val="center"/>
          </w:tcPr>
          <w:p>
            <w:pPr>
              <w:widowControl/>
              <w:ind w:firstLine="0" w:firstLineChars="0"/>
              <w:rPr>
                <w:rFonts w:hint="eastAsia"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满意度指标完成情况分析</w:t>
            </w:r>
          </w:p>
        </w:tc>
        <w:tc>
          <w:tcPr>
            <w:tcW w:w="1199"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满意度指标</w:t>
            </w:r>
          </w:p>
        </w:tc>
        <w:tc>
          <w:tcPr>
            <w:tcW w:w="1411" w:type="dxa"/>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2789"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社会公众或服务对象对项目实施效果的满意程度。</w:t>
            </w:r>
          </w:p>
        </w:tc>
        <w:tc>
          <w:tcPr>
            <w:tcW w:w="7341" w:type="dxa"/>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spacing w:before="0" w:after="0" w:line="560" w:lineRule="exact"/>
        <w:ind w:firstLine="643"/>
        <w:rPr>
          <w:rFonts w:ascii="Times New Roman" w:hAnsi="Times New Roman" w:cs="Times New Roman"/>
        </w:rPr>
      </w:pPr>
      <w:bookmarkStart w:id="32" w:name="_Toc28781"/>
      <w:bookmarkStart w:id="33" w:name="_Hlk67586038"/>
      <w:r>
        <w:rPr>
          <w:rFonts w:ascii="Times New Roman" w:hAnsi="Times New Roman" w:cs="Times New Roman"/>
        </w:rPr>
        <w:t>3.</w:t>
      </w:r>
      <w:r>
        <w:rPr>
          <w:rFonts w:hint="eastAsia" w:ascii="Times New Roman" w:hAnsi="Times New Roman" w:cs="Times New Roman"/>
        </w:rPr>
        <w:t>评价方法</w:t>
      </w:r>
      <w:bookmarkEnd w:id="32"/>
    </w:p>
    <w:bookmarkEnd w:id="33"/>
    <w:p>
      <w:pPr>
        <w:spacing w:line="560" w:lineRule="exact"/>
        <w:ind w:firstLine="560"/>
        <w:rPr>
          <w:rFonts w:ascii="Times New Roman" w:hAnsi="Times New Roman" w:cs="Times New Roman"/>
        </w:rPr>
      </w:pPr>
      <w:r>
        <w:rPr>
          <w:rFonts w:hint="eastAsia" w:ascii="Times New Roman" w:hAnsi="Times New Roman" w:cs="Times New Roman"/>
        </w:rPr>
        <w:t>《关于印发</w:t>
      </w:r>
      <w:r>
        <w:rPr>
          <w:rFonts w:ascii="Times New Roman" w:hAnsi="Times New Roman" w:cs="Times New Roman"/>
        </w:rPr>
        <w:t>&lt;</w:t>
      </w:r>
      <w:r>
        <w:rPr>
          <w:rFonts w:hint="eastAsia" w:ascii="Times New Roman" w:hAnsi="Times New Roman" w:cs="Times New Roman"/>
        </w:rPr>
        <w:t>项目支出绩效评价管理办法</w:t>
      </w:r>
      <w:r>
        <w:rPr>
          <w:rFonts w:ascii="Times New Roman" w:hAnsi="Times New Roman" w:cs="Times New Roman"/>
        </w:rPr>
        <w:t>&gt;</w:t>
      </w:r>
      <w:r>
        <w:rPr>
          <w:rFonts w:hint="eastAsia" w:ascii="Times New Roman" w:hAnsi="Times New Roman" w:cs="Times New Roman"/>
        </w:rPr>
        <w:t>的通知》（财预〔</w:t>
      </w:r>
      <w:r>
        <w:rPr>
          <w:rFonts w:ascii="Times New Roman" w:hAnsi="Times New Roman" w:cs="Times New Roman"/>
        </w:rPr>
        <w:t>2020</w:t>
      </w:r>
      <w:r>
        <w:rPr>
          <w:rFonts w:hint="eastAsia" w:ascii="Times New Roman" w:hAnsi="Times New Roman" w:cs="Times New Roman"/>
        </w:rPr>
        <w:t>〕</w:t>
      </w:r>
      <w:r>
        <w:rPr>
          <w:rFonts w:ascii="Times New Roman" w:hAnsi="Times New Roman" w:cs="Times New Roman"/>
        </w:rPr>
        <w:t>10</w:t>
      </w:r>
      <w:r>
        <w:rPr>
          <w:rFonts w:hint="eastAsia" w:ascii="Times New Roman" w:hAnsi="Times New Roman" w:cs="Times New Roman"/>
        </w:rPr>
        <w:t>号）文件指出部门评价的方法主要包括成本效益分析法、比较法、因素分析法、最低成本法、公众评判法、标杆管理法等。</w:t>
      </w:r>
    </w:p>
    <w:p>
      <w:pPr>
        <w:spacing w:line="560" w:lineRule="exact"/>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1</w:t>
      </w:r>
      <w:r>
        <w:rPr>
          <w:rFonts w:hint="eastAsia" w:ascii="Times New Roman" w:hAnsi="Times New Roman" w:cs="Times New Roman"/>
        </w:rPr>
        <w:t>）成本效益分析法。是指将投入与产出、效益进行关联性分析的方法。</w:t>
      </w:r>
    </w:p>
    <w:p>
      <w:pPr>
        <w:spacing w:line="560" w:lineRule="exact"/>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w:t>
      </w:r>
      <w:r>
        <w:rPr>
          <w:rFonts w:hint="eastAsia" w:ascii="Times New Roman" w:hAnsi="Times New Roman" w:cs="Times New Roman"/>
        </w:rPr>
        <w:t>）比较法。是指将实施情况与绩效目标、历史情况、不同部门和地区同类支出情况进行比较的方法。</w:t>
      </w:r>
    </w:p>
    <w:p>
      <w:pPr>
        <w:spacing w:line="560" w:lineRule="exact"/>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w:t>
      </w:r>
      <w:r>
        <w:rPr>
          <w:rFonts w:hint="eastAsia" w:ascii="Times New Roman" w:hAnsi="Times New Roman" w:cs="Times New Roman"/>
        </w:rPr>
        <w:t>）因素分析法。是指综合分析影响绩效目标实现、实施效果的内外部因素的方法。</w:t>
      </w:r>
    </w:p>
    <w:p>
      <w:pPr>
        <w:spacing w:line="560" w:lineRule="exact"/>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4</w:t>
      </w:r>
      <w:r>
        <w:rPr>
          <w:rFonts w:hint="eastAsia" w:ascii="Times New Roman" w:hAnsi="Times New Roman" w:cs="Times New Roman"/>
        </w:rPr>
        <w:t>）最低成本法。是指在绩效目标确定的前提下，成本最小者为优的方法。</w:t>
      </w:r>
    </w:p>
    <w:p>
      <w:pPr>
        <w:spacing w:line="560" w:lineRule="exact"/>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5</w:t>
      </w:r>
      <w:r>
        <w:rPr>
          <w:rFonts w:hint="eastAsia" w:ascii="Times New Roman" w:hAnsi="Times New Roman" w:cs="Times New Roman"/>
        </w:rPr>
        <w:t>）公众评判法。是指通过专家评估、公众问卷及抽样调查等方式进行评判的方法。</w:t>
      </w:r>
    </w:p>
    <w:p>
      <w:pPr>
        <w:spacing w:line="560" w:lineRule="exact"/>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6</w:t>
      </w:r>
      <w:r>
        <w:rPr>
          <w:rFonts w:hint="eastAsia" w:ascii="Times New Roman" w:hAnsi="Times New Roman" w:cs="Times New Roman"/>
        </w:rPr>
        <w:t>）标杆管理法。是指以国内外同行业中较高的绩效水平为标杆进行评判的方法。</w:t>
      </w:r>
    </w:p>
    <w:p>
      <w:pPr>
        <w:spacing w:line="560" w:lineRule="exact"/>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7</w:t>
      </w:r>
      <w:r>
        <w:rPr>
          <w:rFonts w:hint="eastAsia" w:ascii="Times New Roman" w:hAnsi="Times New Roman" w:cs="Times New Roman"/>
        </w:rPr>
        <w:t>）其他评价方法。</w:t>
      </w:r>
    </w:p>
    <w:p>
      <w:pPr>
        <w:spacing w:line="560" w:lineRule="exact"/>
        <w:ind w:firstLine="560"/>
        <w:rPr>
          <w:rFonts w:ascii="Times New Roman" w:hAnsi="Times New Roman" w:cs="Times New Roman"/>
        </w:rPr>
      </w:pPr>
      <w:r>
        <w:rPr>
          <w:rFonts w:hint="eastAsia" w:ascii="Times New Roman" w:hAnsi="Times New Roman" w:cs="Times New Roman"/>
        </w:rPr>
        <w:t>根据本项目（关于下达中央疫情防控财力补助预算的通知）的特点，本次评价主要采用采用比较法，</w:t>
      </w:r>
      <w:r>
        <w:rPr>
          <w:rFonts w:hint="eastAsia" w:ascii="Times New Roman" w:hAnsi="Times New Roman" w:cs="Times New Roman"/>
          <w:highlight w:val="none"/>
        </w:rPr>
        <w:t>2023年该项目预算301.75万元，同比减少</w:t>
      </w:r>
      <w:r>
        <w:rPr>
          <w:rFonts w:hint="eastAsia" w:ascii="Times New Roman" w:hAnsi="Times New Roman" w:cs="Times New Roman"/>
          <w:highlight w:val="none"/>
          <w:lang w:val="en-US" w:eastAsia="zh-CN"/>
        </w:rPr>
        <w:t>3898.25</w:t>
      </w:r>
      <w:r>
        <w:rPr>
          <w:rFonts w:hint="eastAsia" w:ascii="Times New Roman" w:hAnsi="Times New Roman" w:cs="Times New Roman"/>
          <w:highlight w:val="none"/>
        </w:rPr>
        <w:t>万元；执行298.90万元，同比减少</w:t>
      </w:r>
      <w:r>
        <w:rPr>
          <w:rFonts w:hint="eastAsia" w:ascii="Times New Roman" w:hAnsi="Times New Roman" w:cs="Times New Roman"/>
          <w:highlight w:val="none"/>
          <w:lang w:val="en-US" w:eastAsia="zh-CN"/>
        </w:rPr>
        <w:t>2082.50</w:t>
      </w:r>
      <w:r>
        <w:rPr>
          <w:rFonts w:hint="eastAsia" w:ascii="Times New Roman" w:hAnsi="Times New Roman" w:cs="Times New Roman"/>
          <w:highlight w:val="none"/>
        </w:rPr>
        <w:t>万元。</w:t>
      </w:r>
      <w:r>
        <w:rPr>
          <w:rFonts w:hint="eastAsia" w:ascii="Times New Roman" w:hAnsi="Times New Roman" w:cs="Times New Roman"/>
        </w:rPr>
        <w:t>对项目总预算和明细预算的内容、标准、计划是否经济合理进行深入分析，以考察实际产出和效益是否达到预期。</w:t>
      </w:r>
    </w:p>
    <w:p>
      <w:pPr>
        <w:pStyle w:val="4"/>
        <w:spacing w:before="0" w:after="0" w:line="560" w:lineRule="exact"/>
        <w:ind w:firstLine="643"/>
        <w:rPr>
          <w:rFonts w:ascii="Times New Roman" w:hAnsi="Times New Roman" w:cs="Times New Roman"/>
        </w:rPr>
      </w:pPr>
      <w:bookmarkStart w:id="34" w:name="_Toc10181"/>
      <w:r>
        <w:rPr>
          <w:rFonts w:ascii="Times New Roman" w:hAnsi="Times New Roman" w:cs="Times New Roman"/>
        </w:rPr>
        <w:t>4.</w:t>
      </w:r>
      <w:r>
        <w:rPr>
          <w:rFonts w:hint="eastAsia" w:ascii="Times New Roman" w:hAnsi="Times New Roman" w:cs="Times New Roman"/>
        </w:rPr>
        <w:t>评价标准</w:t>
      </w:r>
      <w:bookmarkEnd w:id="34"/>
    </w:p>
    <w:p>
      <w:pPr>
        <w:spacing w:line="560" w:lineRule="exact"/>
        <w:ind w:firstLine="560"/>
        <w:rPr>
          <w:rFonts w:ascii="Times New Roman" w:hAnsi="Times New Roman" w:cs="Times New Roman"/>
        </w:rPr>
      </w:pPr>
      <w:r>
        <w:rPr>
          <w:rFonts w:hint="eastAsia" w:ascii="Times New Roman" w:hAnsi="Times New Roman" w:cs="Times New Roman"/>
        </w:rPr>
        <w:t>绩效评价标准主要包括计划标准、行业标准、历史标准等，用于对绩效指标完成情况进行比较。</w:t>
      </w:r>
    </w:p>
    <w:p>
      <w:pPr>
        <w:spacing w:line="560" w:lineRule="exact"/>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1</w:t>
      </w:r>
      <w:r>
        <w:rPr>
          <w:rFonts w:hint="eastAsia" w:ascii="Times New Roman" w:hAnsi="Times New Roman" w:cs="Times New Roman"/>
        </w:rPr>
        <w:t>）计划标准。指以预先制定的目标、计划、预算、定额等作为评价标准。</w:t>
      </w:r>
    </w:p>
    <w:p>
      <w:pPr>
        <w:spacing w:line="560" w:lineRule="exact"/>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w:t>
      </w:r>
      <w:r>
        <w:rPr>
          <w:rFonts w:hint="eastAsia" w:ascii="Times New Roman" w:hAnsi="Times New Roman" w:cs="Times New Roman"/>
        </w:rPr>
        <w:t>）行业标准。指参照国家公布的行业指标数据制定的评价标准。</w:t>
      </w:r>
    </w:p>
    <w:p>
      <w:pPr>
        <w:spacing w:line="560" w:lineRule="exact"/>
        <w:ind w:firstLine="56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w:t>
      </w:r>
      <w:r>
        <w:rPr>
          <w:rFonts w:hint="eastAsia" w:ascii="Times New Roman" w:hAnsi="Times New Roman" w:cs="Times New Roman"/>
        </w:rPr>
        <w:t>）历史标准。指参照历史数据制定的评价标准，为体现绩效改进的原则，在可实现的条件下应当确定相对较高的评价标准。</w:t>
      </w:r>
    </w:p>
    <w:p>
      <w:pPr>
        <w:spacing w:line="560" w:lineRule="exact"/>
        <w:ind w:firstLine="560"/>
        <w:rPr>
          <w:rFonts w:ascii="Times New Roman" w:hAnsi="Times New Roman" w:cs="Times New Roman"/>
        </w:rPr>
      </w:pPr>
      <w:r>
        <w:rPr>
          <w:rFonts w:hint="eastAsia" w:ascii="Times New Roman" w:hAnsi="Times New Roman" w:cs="Times New Roman"/>
        </w:rPr>
        <w:t>在上述评价标准的基础上，本次评价依据以下文件为重要指导和准绳：</w:t>
      </w:r>
    </w:p>
    <w:p>
      <w:pPr>
        <w:spacing w:line="560" w:lineRule="exact"/>
        <w:ind w:firstLine="560"/>
        <w:rPr>
          <w:rFonts w:ascii="Times New Roman" w:hAnsi="Times New Roman" w:cs="Times New Roman"/>
        </w:rPr>
      </w:pPr>
      <w:r>
        <w:rPr>
          <w:rFonts w:ascii="Times New Roman" w:hAnsi="Times New Roman" w:cs="Times New Roman"/>
        </w:rPr>
        <w:t>·</w:t>
      </w:r>
      <w:r>
        <w:rPr>
          <w:rFonts w:hint="eastAsia" w:ascii="Times New Roman" w:hAnsi="Times New Roman" w:cs="Times New Roman"/>
        </w:rPr>
        <w:t>《中共中央国务院关于全面实施预算绩效管理的意见》（中发〔</w:t>
      </w:r>
      <w:r>
        <w:rPr>
          <w:rFonts w:ascii="Times New Roman" w:hAnsi="Times New Roman" w:cs="Times New Roman"/>
        </w:rPr>
        <w:t>2018</w:t>
      </w:r>
      <w:r>
        <w:rPr>
          <w:rFonts w:hint="eastAsia" w:ascii="Times New Roman" w:hAnsi="Times New Roman" w:cs="Times New Roman"/>
        </w:rPr>
        <w:t>〕</w:t>
      </w:r>
      <w:r>
        <w:rPr>
          <w:rFonts w:ascii="Times New Roman" w:hAnsi="Times New Roman" w:cs="Times New Roman"/>
        </w:rPr>
        <w:t>34</w:t>
      </w:r>
      <w:r>
        <w:rPr>
          <w:rFonts w:hint="eastAsia" w:ascii="Times New Roman" w:hAnsi="Times New Roman" w:cs="Times New Roman"/>
        </w:rPr>
        <w:t>号）</w:t>
      </w:r>
    </w:p>
    <w:p>
      <w:pPr>
        <w:spacing w:line="560" w:lineRule="exact"/>
        <w:ind w:firstLine="560"/>
        <w:rPr>
          <w:rFonts w:ascii="Times New Roman" w:hAnsi="Times New Roman" w:cs="Times New Roman"/>
        </w:rPr>
      </w:pPr>
      <w:r>
        <w:rPr>
          <w:rFonts w:ascii="Times New Roman" w:hAnsi="Times New Roman" w:cs="Times New Roman"/>
        </w:rPr>
        <w:t>·</w:t>
      </w:r>
      <w:r>
        <w:rPr>
          <w:rFonts w:hint="eastAsia" w:ascii="Times New Roman" w:hAnsi="Times New Roman" w:cs="Times New Roman"/>
        </w:rPr>
        <w:t>《关于印发</w:t>
      </w:r>
      <w:r>
        <w:rPr>
          <w:rFonts w:ascii="Times New Roman" w:hAnsi="Times New Roman" w:cs="Times New Roman"/>
        </w:rPr>
        <w:t>&lt;</w:t>
      </w:r>
      <w:r>
        <w:rPr>
          <w:rFonts w:hint="eastAsia" w:ascii="Times New Roman" w:hAnsi="Times New Roman" w:cs="Times New Roman"/>
        </w:rPr>
        <w:t>乌鲁木齐市本级部门预算绩效目标管理暂行办法</w:t>
      </w:r>
      <w:r>
        <w:rPr>
          <w:rFonts w:ascii="Times New Roman" w:hAnsi="Times New Roman" w:cs="Times New Roman"/>
        </w:rPr>
        <w:t>&gt;</w:t>
      </w:r>
      <w:r>
        <w:rPr>
          <w:rFonts w:hint="eastAsia" w:ascii="Times New Roman" w:hAnsi="Times New Roman" w:cs="Times New Roman"/>
        </w:rPr>
        <w:t>的通知》（乌财预〔</w:t>
      </w:r>
      <w:r>
        <w:rPr>
          <w:rFonts w:ascii="Times New Roman" w:hAnsi="Times New Roman" w:cs="Times New Roman"/>
        </w:rPr>
        <w:t>2018</w:t>
      </w:r>
      <w:r>
        <w:rPr>
          <w:rFonts w:hint="eastAsia" w:ascii="Times New Roman" w:hAnsi="Times New Roman" w:cs="Times New Roman"/>
        </w:rPr>
        <w:t>〕</w:t>
      </w:r>
      <w:r>
        <w:rPr>
          <w:rFonts w:ascii="Times New Roman" w:hAnsi="Times New Roman" w:cs="Times New Roman"/>
        </w:rPr>
        <w:t>56</w:t>
      </w:r>
      <w:r>
        <w:rPr>
          <w:rFonts w:hint="eastAsia" w:ascii="Times New Roman" w:hAnsi="Times New Roman" w:cs="Times New Roman"/>
        </w:rPr>
        <w:t>号）</w:t>
      </w:r>
    </w:p>
    <w:p>
      <w:pPr>
        <w:spacing w:line="560" w:lineRule="exact"/>
        <w:ind w:firstLine="560"/>
        <w:rPr>
          <w:rFonts w:hint="eastAsia" w:ascii="Times New Roman" w:hAnsi="Times New Roman" w:cs="Times New Roman"/>
        </w:rPr>
      </w:pPr>
      <w:r>
        <w:rPr>
          <w:rFonts w:ascii="Times New Roman" w:hAnsi="Times New Roman" w:cs="Times New Roman"/>
        </w:rPr>
        <w:t>·</w:t>
      </w:r>
      <w:r>
        <w:rPr>
          <w:rFonts w:hint="eastAsia" w:ascii="Times New Roman" w:hAnsi="Times New Roman" w:cs="Times New Roman"/>
        </w:rPr>
        <w:t>《关于做好</w:t>
      </w:r>
      <w:r>
        <w:rPr>
          <w:rFonts w:ascii="Times New Roman" w:hAnsi="Times New Roman" w:cs="Times New Roman"/>
        </w:rPr>
        <w:t>2019</w:t>
      </w:r>
      <w:r>
        <w:rPr>
          <w:rFonts w:hint="eastAsia" w:ascii="Times New Roman" w:hAnsi="Times New Roman" w:cs="Times New Roman"/>
        </w:rPr>
        <w:t>年部门预算项目支出绩效目标管理有关事宜的通知》（乌财预〔</w:t>
      </w:r>
      <w:r>
        <w:rPr>
          <w:rFonts w:ascii="Times New Roman" w:hAnsi="Times New Roman" w:cs="Times New Roman"/>
        </w:rPr>
        <w:t>2018</w:t>
      </w:r>
      <w:r>
        <w:rPr>
          <w:rFonts w:hint="eastAsia" w:ascii="Times New Roman" w:hAnsi="Times New Roman" w:cs="Times New Roman"/>
        </w:rPr>
        <w:t>〕</w:t>
      </w:r>
      <w:r>
        <w:rPr>
          <w:rFonts w:ascii="Times New Roman" w:hAnsi="Times New Roman" w:cs="Times New Roman"/>
        </w:rPr>
        <w:t>76</w:t>
      </w:r>
      <w:r>
        <w:rPr>
          <w:rFonts w:hint="eastAsia" w:ascii="Times New Roman" w:hAnsi="Times New Roman" w:cs="Times New Roman"/>
        </w:rPr>
        <w:t>号）</w:t>
      </w:r>
    </w:p>
    <w:p>
      <w:pPr>
        <w:spacing w:line="560" w:lineRule="exact"/>
        <w:ind w:firstLine="560"/>
        <w:rPr>
          <w:rFonts w:hint="eastAsia" w:ascii="Times New Roman" w:hAnsi="Times New Roman" w:cs="Times New Roman"/>
        </w:rPr>
      </w:pPr>
      <w:r>
        <w:rPr>
          <w:rFonts w:ascii="Times New Roman" w:hAnsi="Times New Roman" w:cs="Times New Roman"/>
        </w:rPr>
        <w:t>·</w:t>
      </w:r>
      <w:r>
        <w:rPr>
          <w:rFonts w:hint="eastAsia" w:ascii="Times New Roman" w:hAnsi="Times New Roman" w:cs="Times New Roman"/>
        </w:rPr>
        <w:t>《项目支出绩效评价管理办法》（财预〔</w:t>
      </w:r>
      <w:r>
        <w:rPr>
          <w:rFonts w:ascii="Times New Roman" w:hAnsi="Times New Roman" w:cs="Times New Roman"/>
        </w:rPr>
        <w:t>2020</w:t>
      </w:r>
      <w:r>
        <w:rPr>
          <w:rFonts w:hint="eastAsia" w:ascii="Times New Roman" w:hAnsi="Times New Roman" w:cs="Times New Roman"/>
        </w:rPr>
        <w:t>〕</w:t>
      </w:r>
      <w:r>
        <w:rPr>
          <w:rFonts w:ascii="Times New Roman" w:hAnsi="Times New Roman" w:cs="Times New Roman"/>
        </w:rPr>
        <w:t>10</w:t>
      </w:r>
      <w:r>
        <w:rPr>
          <w:rFonts w:hint="eastAsia" w:ascii="Times New Roman" w:hAnsi="Times New Roman" w:cs="Times New Roman"/>
        </w:rPr>
        <w:t>号）</w:t>
      </w:r>
      <w:bookmarkStart w:id="35" w:name="_Toc67911607"/>
    </w:p>
    <w:p>
      <w:pPr>
        <w:spacing w:line="560" w:lineRule="exact"/>
        <w:ind w:firstLine="560"/>
        <w:rPr>
          <w:rFonts w:hint="eastAsia" w:ascii="Times New Roman" w:hAnsi="Times New Roman" w:cs="Times New Roman"/>
        </w:rPr>
      </w:pPr>
      <w:r>
        <w:rPr>
          <w:rFonts w:ascii="Times New Roman" w:hAnsi="Times New Roman" w:cs="Times New Roman"/>
        </w:rPr>
        <w:t>·</w:t>
      </w:r>
      <w:r>
        <w:rPr>
          <w:rFonts w:hint="eastAsia" w:ascii="Times New Roman" w:hAnsi="Times New Roman" w:cs="Times New Roman"/>
        </w:rPr>
        <w:t>关于下达中央疫情防控财力补助预算的通知（乌财预【</w:t>
      </w:r>
      <w:r>
        <w:rPr>
          <w:rFonts w:ascii="Times New Roman" w:hAnsi="Times New Roman" w:cs="Times New Roman"/>
        </w:rPr>
        <w:t>2023</w:t>
      </w:r>
      <w:r>
        <w:rPr>
          <w:rFonts w:hint="eastAsia" w:ascii="Times New Roman" w:hAnsi="Times New Roman" w:cs="Times New Roman"/>
        </w:rPr>
        <w:t>】</w:t>
      </w:r>
      <w:r>
        <w:rPr>
          <w:rFonts w:ascii="Times New Roman" w:hAnsi="Times New Roman" w:cs="Times New Roman"/>
        </w:rPr>
        <w:t>15</w:t>
      </w:r>
      <w:r>
        <w:rPr>
          <w:rFonts w:hint="eastAsia" w:ascii="Times New Roman" w:hAnsi="Times New Roman" w:cs="Times New Roman"/>
        </w:rPr>
        <w:t>号）</w:t>
      </w:r>
    </w:p>
    <w:p>
      <w:pPr>
        <w:spacing w:line="560" w:lineRule="exact"/>
        <w:ind w:firstLine="560"/>
        <w:rPr>
          <w:rFonts w:hint="eastAsia" w:ascii="Times New Roman" w:hAnsi="Times New Roman" w:cs="Times New Roman"/>
        </w:rPr>
      </w:pPr>
      <w:r>
        <w:rPr>
          <w:rFonts w:ascii="Times New Roman" w:hAnsi="Times New Roman" w:cs="Times New Roman"/>
        </w:rPr>
        <w:t>·</w:t>
      </w:r>
      <w:r>
        <w:rPr>
          <w:rFonts w:hint="eastAsia" w:ascii="Times New Roman" w:hAnsi="Times New Roman" w:cs="Times New Roman"/>
        </w:rPr>
        <w:t>关于下达中央疫情防控财力补助预算的通知（县财综发</w:t>
      </w:r>
      <w:r>
        <w:rPr>
          <w:rFonts w:ascii="Times New Roman" w:hAnsi="Times New Roman" w:cs="Times New Roman"/>
        </w:rPr>
        <w:t>[2023]58</w:t>
      </w:r>
      <w:r>
        <w:rPr>
          <w:rFonts w:hint="eastAsia" w:ascii="Times New Roman" w:hAnsi="Times New Roman" w:cs="Times New Roman"/>
        </w:rPr>
        <w:t>号）</w:t>
      </w:r>
    </w:p>
    <w:p>
      <w:pPr>
        <w:pStyle w:val="3"/>
        <w:spacing w:before="0" w:after="0" w:line="560" w:lineRule="exact"/>
        <w:ind w:firstLine="643"/>
        <w:rPr>
          <w:rFonts w:ascii="Times New Roman" w:hAnsi="Times New Roman" w:eastAsia="仿宋"/>
        </w:rPr>
      </w:pPr>
      <w:bookmarkStart w:id="36" w:name="_Toc4979"/>
      <w:r>
        <w:rPr>
          <w:rFonts w:hint="eastAsia" w:ascii="Times New Roman" w:hAnsi="Times New Roman" w:eastAsia="仿宋"/>
        </w:rPr>
        <w:t>（三）绩效评价工作过程</w:t>
      </w:r>
      <w:bookmarkEnd w:id="35"/>
      <w:bookmarkEnd w:id="36"/>
    </w:p>
    <w:p>
      <w:pPr>
        <w:spacing w:line="560" w:lineRule="exact"/>
        <w:ind w:firstLine="560"/>
        <w:rPr>
          <w:rFonts w:ascii="Times New Roman" w:hAnsi="Times New Roman" w:cs="Times New Roman"/>
        </w:rPr>
      </w:pPr>
      <w:r>
        <w:rPr>
          <w:rFonts w:hint="eastAsia"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2"/>
          <w:rFonts w:ascii="Times New Roman" w:hAnsi="Times New Roman"/>
        </w:rPr>
        <w:footnoteReference w:id="0"/>
      </w:r>
      <w:r>
        <w:rPr>
          <w:rFonts w:hint="eastAsia" w:ascii="Times New Roman" w:hAnsi="Times New Roman" w:cs="Times New Roman"/>
        </w:rPr>
        <w:t>、现场核查评价、综合分析评价及报告撰写，评价项目实施情况，展现资金使用效益。</w:t>
      </w:r>
    </w:p>
    <w:p>
      <w:pPr>
        <w:pStyle w:val="2"/>
        <w:spacing w:before="0" w:after="0" w:line="560" w:lineRule="exact"/>
        <w:ind w:firstLine="0" w:firstLineChars="0"/>
        <w:jc w:val="left"/>
        <w:rPr>
          <w:rFonts w:hint="eastAsia" w:ascii="Times New Roman" w:hAnsi="Times New Roman" w:eastAsia="仿宋" w:cs="Times New Roman"/>
          <w:sz w:val="36"/>
          <w:szCs w:val="36"/>
        </w:rPr>
      </w:pPr>
      <w:bookmarkStart w:id="37" w:name="_Toc67911608"/>
    </w:p>
    <w:p>
      <w:pPr>
        <w:pStyle w:val="2"/>
        <w:spacing w:before="0" w:after="0" w:line="560" w:lineRule="exact"/>
        <w:ind w:firstLine="0" w:firstLineChars="0"/>
        <w:jc w:val="left"/>
        <w:rPr>
          <w:rFonts w:ascii="Times New Roman" w:hAnsi="Times New Roman" w:eastAsia="仿宋" w:cs="Times New Roman"/>
          <w:sz w:val="36"/>
          <w:szCs w:val="36"/>
        </w:rPr>
      </w:pPr>
      <w:bookmarkStart w:id="38" w:name="_Toc10748"/>
      <w:r>
        <w:rPr>
          <w:rFonts w:hint="eastAsia" w:ascii="Times New Roman" w:hAnsi="Times New Roman" w:eastAsia="仿宋" w:cs="Times New Roman"/>
          <w:sz w:val="36"/>
          <w:szCs w:val="36"/>
        </w:rPr>
        <w:t>三、综合评价情况及评价结论</w:t>
      </w:r>
      <w:bookmarkEnd w:id="37"/>
      <w:bookmarkEnd w:id="38"/>
    </w:p>
    <w:p>
      <w:pPr>
        <w:pStyle w:val="3"/>
        <w:spacing w:before="0" w:after="0" w:line="560" w:lineRule="exact"/>
        <w:ind w:firstLine="643"/>
        <w:rPr>
          <w:rFonts w:ascii="Times New Roman" w:hAnsi="Times New Roman" w:eastAsia="仿宋"/>
        </w:rPr>
      </w:pPr>
      <w:bookmarkStart w:id="39" w:name="_Toc67911609"/>
      <w:bookmarkStart w:id="40" w:name="_Toc28053"/>
      <w:r>
        <w:rPr>
          <w:rFonts w:hint="eastAsia" w:ascii="Times New Roman" w:hAnsi="Times New Roman" w:eastAsia="仿宋"/>
        </w:rPr>
        <w:t>（一）评价结论</w:t>
      </w:r>
      <w:bookmarkEnd w:id="39"/>
      <w:bookmarkEnd w:id="40"/>
    </w:p>
    <w:p>
      <w:pPr>
        <w:spacing w:line="560" w:lineRule="exact"/>
        <w:ind w:firstLine="560"/>
        <w:rPr>
          <w:rFonts w:ascii="Times New Roman" w:hAnsi="Times New Roman" w:cs="Times New Roman"/>
          <w:szCs w:val="28"/>
        </w:rPr>
      </w:pPr>
      <w:r>
        <w:rPr>
          <w:rFonts w:hint="eastAsia" w:ascii="Times New Roman" w:hAnsi="Times New Roman" w:cs="Times New Roman"/>
          <w:szCs w:val="28"/>
        </w:rPr>
        <w:t>结合项目特点，制定符合项目实际的绩效评价指标体系及评分标准，通过数据采集、访谈等形式，对</w:t>
      </w:r>
      <w:r>
        <w:rPr>
          <w:rFonts w:ascii="Times New Roman" w:hAnsi="Times New Roman" w:cs="Times New Roman"/>
          <w:szCs w:val="28"/>
        </w:rPr>
        <w:t>2023</w:t>
      </w:r>
      <w:r>
        <w:rPr>
          <w:rFonts w:hint="eastAsia" w:ascii="Times New Roman" w:hAnsi="Times New Roman" w:cs="Times New Roman"/>
          <w:szCs w:val="28"/>
        </w:rPr>
        <w:t>年</w:t>
      </w:r>
      <w:r>
        <w:rPr>
          <w:rFonts w:hint="eastAsia" w:ascii="Times New Roman" w:hAnsi="Times New Roman"/>
        </w:rPr>
        <w:t>关于下达中央疫情防控财力补助预算的通知的项目</w:t>
      </w:r>
      <w:r>
        <w:rPr>
          <w:rFonts w:hint="eastAsia"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94.36</w:t>
      </w:r>
      <w:r>
        <w:rPr>
          <w:rFonts w:hint="eastAsia" w:ascii="Times New Roman" w:hAnsi="Times New Roman" w:cs="Times New Roman"/>
          <w:szCs w:val="28"/>
        </w:rPr>
        <w:t>分，绩效评级为“优”。项目各部分权重和绩效分值如附表所示：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w:t>
      </w:r>
      <w:r>
        <w:rPr>
          <w:rFonts w:hint="eastAsia" w:ascii="Times New Roman" w:hAnsi="Times New Roman" w:cs="Times New Roman"/>
          <w:b/>
          <w:bCs/>
          <w:szCs w:val="28"/>
        </w:rPr>
        <w:t>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shd w:val="clear" w:color="auto" w:fill="D0CECE"/>
            <w:vAlign w:val="center"/>
          </w:tcPr>
          <w:p>
            <w:pPr>
              <w:widowControl/>
              <w:ind w:firstLine="0" w:firstLineChars="0"/>
              <w:jc w:val="center"/>
              <w:rPr>
                <w:rFonts w:ascii="Times New Roman" w:hAnsi="Times New Roman" w:cs="Times New Roman"/>
                <w:b/>
                <w:bCs/>
                <w:kern w:val="0"/>
                <w:sz w:val="24"/>
                <w:szCs w:val="24"/>
              </w:rPr>
            </w:pPr>
            <w:bookmarkStart w:id="41" w:name="_Toc67911610"/>
            <w:r>
              <w:rPr>
                <w:rFonts w:hint="eastAsia" w:ascii="Times New Roman" w:hAnsi="Times New Roman" w:cs="Times New Roman"/>
                <w:b/>
                <w:bCs/>
                <w:kern w:val="0"/>
                <w:sz w:val="24"/>
                <w:szCs w:val="24"/>
              </w:rPr>
              <w:t>一级指标</w:t>
            </w:r>
          </w:p>
        </w:tc>
        <w:tc>
          <w:tcPr>
            <w:tcW w:w="1611" w:type="dxa"/>
            <w:shd w:val="clear" w:color="auto" w:fill="D0CECE"/>
            <w:vAlign w:val="center"/>
          </w:tcPr>
          <w:p>
            <w:pPr>
              <w:widowControl/>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二级指标</w:t>
            </w:r>
          </w:p>
        </w:tc>
        <w:tc>
          <w:tcPr>
            <w:tcW w:w="2839" w:type="dxa"/>
            <w:shd w:val="clear" w:color="auto" w:fill="D0CECE"/>
            <w:vAlign w:val="center"/>
          </w:tcPr>
          <w:p>
            <w:pPr>
              <w:widowControl/>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三级指标</w:t>
            </w:r>
          </w:p>
        </w:tc>
        <w:tc>
          <w:tcPr>
            <w:tcW w:w="898" w:type="dxa"/>
            <w:shd w:val="clear" w:color="auto" w:fill="D0CECE"/>
            <w:vAlign w:val="center"/>
          </w:tcPr>
          <w:p>
            <w:pPr>
              <w:widowControl/>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分值</w:t>
            </w:r>
          </w:p>
        </w:tc>
        <w:tc>
          <w:tcPr>
            <w:tcW w:w="898" w:type="dxa"/>
            <w:shd w:val="clear" w:color="auto" w:fill="D0CECE"/>
            <w:vAlign w:val="center"/>
          </w:tcPr>
          <w:p>
            <w:pPr>
              <w:widowControl/>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得分</w:t>
            </w:r>
          </w:p>
        </w:tc>
        <w:tc>
          <w:tcPr>
            <w:tcW w:w="1039" w:type="dxa"/>
            <w:shd w:val="clear" w:color="auto" w:fill="D0CECE"/>
            <w:vAlign w:val="center"/>
          </w:tcPr>
          <w:p>
            <w:pPr>
              <w:widowControl/>
              <w:ind w:firstLine="0" w:firstLineChars="0"/>
              <w:jc w:val="center"/>
              <w:rPr>
                <w:rFonts w:ascii="Times New Roman" w:hAnsi="Times New Roman" w:cs="Times New Roman"/>
                <w:b/>
                <w:bCs/>
                <w:kern w:val="0"/>
                <w:sz w:val="24"/>
                <w:szCs w:val="24"/>
              </w:rPr>
            </w:pPr>
            <w:r>
              <w:rPr>
                <w:rFonts w:hint="eastAsia"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决策</w:t>
            </w:r>
          </w:p>
        </w:tc>
        <w:tc>
          <w:tcPr>
            <w:tcW w:w="1611" w:type="dxa"/>
            <w:vMerge w:val="restart"/>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项目立项</w:t>
            </w: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立项依据充分性</w:t>
            </w:r>
          </w:p>
        </w:tc>
        <w:tc>
          <w:tcPr>
            <w:tcW w:w="898"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shd w:val="clear" w:color="auto" w:fill="FFFFFF"/>
            <w:vAlign w:val="center"/>
          </w:tcPr>
          <w:p>
            <w:pPr>
              <w:ind w:firstLine="480"/>
              <w:jc w:val="center"/>
              <w:rPr>
                <w:rFonts w:ascii="Times New Roman" w:hAnsi="Times New Roman" w:cs="Times New Roman"/>
                <w:kern w:val="0"/>
                <w:sz w:val="24"/>
                <w:szCs w:val="24"/>
              </w:rPr>
            </w:pPr>
          </w:p>
        </w:tc>
        <w:tc>
          <w:tcPr>
            <w:tcW w:w="1611"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立项程序规范性</w:t>
            </w:r>
          </w:p>
        </w:tc>
        <w:tc>
          <w:tcPr>
            <w:tcW w:w="898"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shd w:val="clear" w:color="auto" w:fill="FFFFFF"/>
            <w:vAlign w:val="center"/>
          </w:tcPr>
          <w:p>
            <w:pPr>
              <w:ind w:firstLine="480"/>
              <w:jc w:val="center"/>
              <w:rPr>
                <w:rFonts w:ascii="Times New Roman" w:hAnsi="Times New Roman" w:cs="Times New Roman"/>
                <w:kern w:val="0"/>
                <w:sz w:val="24"/>
                <w:szCs w:val="24"/>
              </w:rPr>
            </w:pPr>
          </w:p>
        </w:tc>
        <w:tc>
          <w:tcPr>
            <w:tcW w:w="1611" w:type="dxa"/>
            <w:vMerge w:val="restart"/>
            <w:shd w:val="clear" w:color="auto" w:fill="FFFFFF"/>
            <w:vAlign w:val="center"/>
          </w:tcPr>
          <w:p>
            <w:pPr>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绩效目标</w:t>
            </w: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绩效目标合理性</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66.67</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绩效指标明确性</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66.67</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shd w:val="clear" w:color="auto" w:fill="FFFFFF"/>
            <w:vAlign w:val="center"/>
          </w:tcPr>
          <w:p>
            <w:pPr>
              <w:ind w:firstLine="0" w:firstLineChars="0"/>
              <w:jc w:val="center"/>
              <w:rPr>
                <w:rFonts w:ascii="Times New Roman" w:hAnsi="Times New Roman" w:cs="Times New Roman"/>
                <w:kern w:val="0"/>
                <w:sz w:val="24"/>
                <w:szCs w:val="24"/>
              </w:rPr>
            </w:pPr>
          </w:p>
        </w:tc>
        <w:tc>
          <w:tcPr>
            <w:tcW w:w="1611" w:type="dxa"/>
            <w:vMerge w:val="restart"/>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资金投入</w:t>
            </w: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预算编制科学性</w:t>
            </w:r>
          </w:p>
        </w:tc>
        <w:tc>
          <w:tcPr>
            <w:tcW w:w="898"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资金分配合理性</w:t>
            </w:r>
          </w:p>
        </w:tc>
        <w:tc>
          <w:tcPr>
            <w:tcW w:w="898"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过程</w:t>
            </w:r>
          </w:p>
        </w:tc>
        <w:tc>
          <w:tcPr>
            <w:tcW w:w="1611" w:type="dxa"/>
            <w:vMerge w:val="restart"/>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资金管理</w:t>
            </w: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资金到位率</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预算执行率</w:t>
            </w:r>
          </w:p>
        </w:tc>
        <w:tc>
          <w:tcPr>
            <w:tcW w:w="898"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4.95</w:t>
            </w:r>
          </w:p>
        </w:tc>
        <w:tc>
          <w:tcPr>
            <w:tcW w:w="10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99.06%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资金使用合规性</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restart"/>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组织实施</w:t>
            </w: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管理制度健全性</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2</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66.67</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制度执行有效性</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75</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产出</w:t>
            </w:r>
          </w:p>
        </w:tc>
        <w:tc>
          <w:tcPr>
            <w:tcW w:w="1611" w:type="dxa"/>
            <w:vMerge w:val="restart"/>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产出数量</w:t>
            </w: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购买物资批次</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购买突发疫情期间隔离人员物资批次</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restart"/>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产出质量</w:t>
            </w: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防疫物资验收合格率</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shd w:val="clear" w:color="auto" w:fill="FFFFFF"/>
            <w:vAlign w:val="center"/>
          </w:tcPr>
          <w:p>
            <w:pPr>
              <w:widowControl/>
              <w:ind w:firstLine="0" w:firstLineChars="0"/>
              <w:jc w:val="center"/>
              <w:rPr>
                <w:rFonts w:hint="eastAsia" w:ascii="Times New Roman" w:hAnsi="Times New Roman" w:cs="Times New Roman"/>
                <w:kern w:val="0"/>
                <w:sz w:val="24"/>
                <w:szCs w:val="24"/>
              </w:rPr>
            </w:pPr>
          </w:p>
        </w:tc>
        <w:tc>
          <w:tcPr>
            <w:tcW w:w="2839" w:type="dxa"/>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政府采购率</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产出时效</w:t>
            </w: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项目资金到位及时性</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产出成本</w:t>
            </w: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项目经费</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898" w:type="dxa"/>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9.91</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99.06%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效益</w:t>
            </w:r>
          </w:p>
        </w:tc>
        <w:tc>
          <w:tcPr>
            <w:tcW w:w="1611" w:type="dxa"/>
            <w:vMerge w:val="restart"/>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项目效益</w:t>
            </w:r>
          </w:p>
        </w:tc>
        <w:tc>
          <w:tcPr>
            <w:tcW w:w="2839" w:type="dxa"/>
            <w:shd w:val="clear" w:color="auto" w:fill="FFFFFF"/>
            <w:vAlign w:val="center"/>
          </w:tcPr>
          <w:p>
            <w:pPr>
              <w:widowControl/>
              <w:ind w:firstLine="48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保障我县防疫工作的正常有序开展</w:t>
            </w:r>
          </w:p>
        </w:tc>
        <w:tc>
          <w:tcPr>
            <w:tcW w:w="898"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9</w:t>
            </w:r>
          </w:p>
        </w:tc>
        <w:tc>
          <w:tcPr>
            <w:tcW w:w="1039"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9</w:t>
            </w:r>
            <w:r>
              <w:rPr>
                <w:rFonts w:ascii="Times New Roman" w:hAnsi="Times New Roman" w:cs="Times New Roman"/>
                <w:kern w:val="0"/>
                <w:sz w:val="24"/>
                <w:szCs w:val="24"/>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611" w:type="dxa"/>
            <w:vMerge w:val="continue"/>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9" w:type="dxa"/>
            <w:shd w:val="clear" w:color="auto" w:fill="FFFFFF"/>
            <w:vAlign w:val="center"/>
          </w:tcPr>
          <w:p>
            <w:pPr>
              <w:widowControl/>
              <w:ind w:firstLine="48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提升群众卫生防疫意识</w:t>
            </w: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4.5</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9</w:t>
            </w:r>
            <w:r>
              <w:rPr>
                <w:rFonts w:ascii="Times New Roman" w:hAnsi="Times New Roman" w:cs="Times New Roman"/>
                <w:kern w:val="0"/>
                <w:sz w:val="24"/>
                <w:szCs w:val="24"/>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合计</w:t>
            </w:r>
          </w:p>
        </w:tc>
        <w:tc>
          <w:tcPr>
            <w:tcW w:w="1611" w:type="dxa"/>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9" w:type="dxa"/>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898"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c>
          <w:tcPr>
            <w:tcW w:w="898" w:type="dxa"/>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94.36</w:t>
            </w:r>
          </w:p>
        </w:tc>
        <w:tc>
          <w:tcPr>
            <w:tcW w:w="1039" w:type="dxa"/>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94.36</w:t>
            </w:r>
            <w:r>
              <w:rPr>
                <w:rFonts w:ascii="Times New Roman" w:hAnsi="Times New Roman" w:cs="Times New Roman"/>
                <w:kern w:val="0"/>
                <w:sz w:val="24"/>
                <w:szCs w:val="24"/>
              </w:rPr>
              <w:t>%</w:t>
            </w:r>
          </w:p>
        </w:tc>
      </w:tr>
    </w:tbl>
    <w:p>
      <w:pPr>
        <w:pStyle w:val="3"/>
        <w:spacing w:before="0" w:after="0" w:line="560" w:lineRule="exact"/>
        <w:ind w:firstLine="643"/>
        <w:rPr>
          <w:rFonts w:ascii="Times New Roman" w:hAnsi="Times New Roman" w:eastAsia="仿宋"/>
        </w:rPr>
      </w:pPr>
    </w:p>
    <w:p>
      <w:pPr>
        <w:pStyle w:val="3"/>
        <w:spacing w:before="0" w:after="0" w:line="560" w:lineRule="exact"/>
        <w:ind w:firstLine="643"/>
        <w:rPr>
          <w:rFonts w:ascii="Times New Roman" w:hAnsi="Times New Roman" w:eastAsia="仿宋"/>
        </w:rPr>
      </w:pPr>
      <w:bookmarkStart w:id="42" w:name="_Toc4448"/>
      <w:r>
        <w:rPr>
          <w:rFonts w:hint="eastAsia" w:ascii="Times New Roman" w:hAnsi="Times New Roman" w:eastAsia="仿宋"/>
        </w:rPr>
        <w:t>（二）主要绩效</w:t>
      </w:r>
      <w:bookmarkEnd w:id="41"/>
      <w:bookmarkEnd w:id="42"/>
    </w:p>
    <w:p>
      <w:pPr>
        <w:spacing w:line="540" w:lineRule="exact"/>
        <w:ind w:firstLine="560"/>
        <w:rPr>
          <w:rStyle w:val="19"/>
          <w:rFonts w:eastAsia="楷体"/>
          <w:b w:val="0"/>
          <w:bCs w:val="0"/>
          <w:spacing w:val="-4"/>
          <w:sz w:val="32"/>
          <w:szCs w:val="32"/>
        </w:rPr>
      </w:pPr>
      <w:r>
        <w:rPr>
          <w:rFonts w:hint="eastAsia" w:ascii="Times New Roman" w:hAnsi="Times New Roman" w:cs="Times New Roman"/>
          <w:bCs/>
          <w:szCs w:val="28"/>
        </w:rPr>
        <w:t>该项目资金上级财政及时拨付，单位</w:t>
      </w:r>
      <w:r>
        <w:rPr>
          <w:rFonts w:hint="eastAsia" w:ascii="Times New Roman" w:hAnsi="Times New Roman"/>
          <w:szCs w:val="28"/>
        </w:rPr>
        <w:t>保障我县防疫工作的物资供应充足，确保防疫工作的正常有序开展。通过采购足够的疫情物资，可以满足疫情防控的需求，保护人们的生命健康。疫情物资的采购和供应可以保障社会的正常运转，避免因物资短缺而引发的社会恐慌和不稳定因素。</w:t>
      </w:r>
    </w:p>
    <w:p>
      <w:pPr>
        <w:pStyle w:val="2"/>
        <w:spacing w:before="0" w:after="0" w:line="560" w:lineRule="exact"/>
        <w:ind w:firstLine="0" w:firstLineChars="0"/>
        <w:jc w:val="left"/>
        <w:rPr>
          <w:rFonts w:ascii="Times New Roman" w:hAnsi="Times New Roman" w:eastAsia="仿宋" w:cs="Times New Roman"/>
          <w:sz w:val="36"/>
          <w:szCs w:val="36"/>
        </w:rPr>
      </w:pPr>
      <w:bookmarkStart w:id="43" w:name="_Toc67911611"/>
    </w:p>
    <w:p>
      <w:pPr>
        <w:pStyle w:val="2"/>
        <w:spacing w:before="0" w:after="0" w:line="560" w:lineRule="exact"/>
        <w:ind w:firstLine="0" w:firstLineChars="0"/>
        <w:jc w:val="left"/>
        <w:rPr>
          <w:rFonts w:ascii="Times New Roman" w:hAnsi="Times New Roman" w:eastAsia="仿宋" w:cs="Times New Roman"/>
          <w:sz w:val="36"/>
          <w:szCs w:val="36"/>
        </w:rPr>
      </w:pPr>
      <w:bookmarkStart w:id="44" w:name="_Toc3501"/>
      <w:r>
        <w:rPr>
          <w:rFonts w:hint="eastAsia" w:ascii="Times New Roman" w:hAnsi="Times New Roman" w:eastAsia="仿宋" w:cs="Times New Roman"/>
          <w:sz w:val="36"/>
          <w:szCs w:val="36"/>
        </w:rPr>
        <w:t>四、绩效评价指标分析</w:t>
      </w:r>
      <w:bookmarkEnd w:id="43"/>
      <w:bookmarkEnd w:id="44"/>
    </w:p>
    <w:p>
      <w:pPr>
        <w:pStyle w:val="3"/>
        <w:spacing w:before="0" w:after="0" w:line="560" w:lineRule="exact"/>
        <w:ind w:firstLine="643"/>
        <w:rPr>
          <w:rFonts w:ascii="Times New Roman" w:hAnsi="Times New Roman" w:eastAsia="仿宋"/>
        </w:rPr>
      </w:pPr>
      <w:bookmarkStart w:id="45" w:name="_Toc1900"/>
      <w:bookmarkStart w:id="46" w:name="_Toc67911612"/>
      <w:r>
        <w:rPr>
          <w:rFonts w:hint="eastAsia" w:ascii="Times New Roman" w:hAnsi="Times New Roman" w:eastAsia="仿宋"/>
        </w:rPr>
        <w:t>（一）项目决策情况</w:t>
      </w:r>
      <w:bookmarkEnd w:id="45"/>
      <w:bookmarkEnd w:id="46"/>
    </w:p>
    <w:p>
      <w:pPr>
        <w:spacing w:line="560" w:lineRule="exact"/>
        <w:ind w:firstLine="560"/>
        <w:rPr>
          <w:rFonts w:ascii="Times New Roman" w:hAnsi="Times New Roman" w:cs="Times New Roman"/>
          <w:szCs w:val="28"/>
        </w:rPr>
      </w:pPr>
      <w:r>
        <w:rPr>
          <w:rFonts w:hint="eastAsia" w:ascii="Times New Roman" w:hAnsi="Times New Roman" w:cs="Times New Roman"/>
          <w:szCs w:val="28"/>
        </w:rPr>
        <w:t>项目决算指标由</w:t>
      </w:r>
      <w:r>
        <w:rPr>
          <w:rFonts w:ascii="Times New Roman" w:hAnsi="Times New Roman" w:cs="Times New Roman"/>
          <w:szCs w:val="28"/>
        </w:rPr>
        <w:t>3</w:t>
      </w:r>
      <w:r>
        <w:rPr>
          <w:rFonts w:hint="eastAsia" w:ascii="Times New Roman" w:hAnsi="Times New Roman" w:cs="Times New Roman"/>
          <w:szCs w:val="28"/>
        </w:rPr>
        <w:t>个二级指标和</w:t>
      </w:r>
      <w:r>
        <w:rPr>
          <w:rFonts w:ascii="Times New Roman" w:hAnsi="Times New Roman" w:cs="Times New Roman"/>
          <w:szCs w:val="28"/>
        </w:rPr>
        <w:t>6</w:t>
      </w:r>
      <w:r>
        <w:rPr>
          <w:rFonts w:hint="eastAsia" w:ascii="Times New Roman" w:hAnsi="Times New Roman" w:cs="Times New Roman"/>
          <w:szCs w:val="28"/>
        </w:rPr>
        <w:t>个三级指标构成，权重为</w:t>
      </w:r>
      <w:r>
        <w:rPr>
          <w:rFonts w:ascii="Times New Roman" w:hAnsi="Times New Roman" w:cs="Times New Roman"/>
          <w:szCs w:val="28"/>
        </w:rPr>
        <w:t>20</w:t>
      </w:r>
      <w:r>
        <w:rPr>
          <w:rFonts w:hint="eastAsia" w:ascii="Times New Roman" w:hAnsi="Times New Roman" w:cs="Times New Roman"/>
          <w:szCs w:val="28"/>
        </w:rPr>
        <w:t>分，实际得分18分。</w:t>
      </w:r>
    </w:p>
    <w:p>
      <w:pPr>
        <w:pStyle w:val="4"/>
        <w:spacing w:before="0" w:after="0" w:line="560" w:lineRule="exact"/>
        <w:ind w:firstLine="643"/>
        <w:rPr>
          <w:rFonts w:ascii="Times New Roman" w:hAnsi="Times New Roman" w:cs="Times New Roman"/>
        </w:rPr>
      </w:pPr>
      <w:bookmarkStart w:id="47" w:name="_Toc7465"/>
      <w:r>
        <w:rPr>
          <w:rFonts w:ascii="Times New Roman" w:hAnsi="Times New Roman" w:cs="Times New Roman"/>
        </w:rPr>
        <w:t>1.</w:t>
      </w:r>
      <w:r>
        <w:rPr>
          <w:rFonts w:hint="eastAsia" w:ascii="Times New Roman" w:hAnsi="Times New Roman" w:cs="Times New Roman"/>
        </w:rPr>
        <w:t>项目立项</w:t>
      </w:r>
      <w:bookmarkEnd w:id="47"/>
    </w:p>
    <w:p>
      <w:pPr>
        <w:spacing w:line="560" w:lineRule="exact"/>
        <w:ind w:firstLine="562"/>
        <w:rPr>
          <w:rFonts w:ascii="Times New Roman" w:hAnsi="Times New Roman" w:cs="Times New Roman"/>
          <w:szCs w:val="28"/>
        </w:rPr>
      </w:pPr>
      <w:r>
        <w:rPr>
          <w:rFonts w:hint="eastAsia" w:ascii="Times New Roman" w:hAnsi="Times New Roman" w:cs="Times New Roman"/>
          <w:b/>
          <w:bCs/>
          <w:szCs w:val="28"/>
        </w:rPr>
        <w:t>立项依据充分性：</w:t>
      </w:r>
      <w:r>
        <w:rPr>
          <w:rFonts w:ascii="Times New Roman" w:hAnsi="Times New Roman" w:cs="Times New Roman"/>
          <w:szCs w:val="28"/>
        </w:rPr>
        <w:t xml:space="preserve"> </w:t>
      </w:r>
    </w:p>
    <w:p>
      <w:pPr>
        <w:spacing w:line="560" w:lineRule="exact"/>
        <w:ind w:firstLine="560"/>
        <w:rPr>
          <w:rFonts w:ascii="Times New Roman" w:hAnsi="Times New Roman" w:cs="Times New Roman"/>
          <w:szCs w:val="28"/>
        </w:rPr>
      </w:pPr>
      <w:r>
        <w:rPr>
          <w:rFonts w:hint="eastAsia" w:ascii="Times New Roman" w:hAnsi="Times New Roman" w:cs="Times New Roman"/>
          <w:szCs w:val="28"/>
        </w:rPr>
        <w:t>项目主管单位根据乌鲁木齐县政府决策和财政局要求进行了申报，立项符合乌财预【</w:t>
      </w:r>
      <w:r>
        <w:rPr>
          <w:rFonts w:ascii="Times New Roman" w:hAnsi="Times New Roman" w:cs="Times New Roman"/>
          <w:szCs w:val="28"/>
        </w:rPr>
        <w:t>2023</w:t>
      </w:r>
      <w:r>
        <w:rPr>
          <w:rFonts w:hint="eastAsia" w:ascii="Times New Roman" w:hAnsi="Times New Roman" w:cs="Times New Roman"/>
          <w:szCs w:val="28"/>
        </w:rPr>
        <w:t>】</w:t>
      </w:r>
      <w:r>
        <w:rPr>
          <w:rFonts w:ascii="Times New Roman" w:hAnsi="Times New Roman" w:cs="Times New Roman"/>
          <w:szCs w:val="28"/>
        </w:rPr>
        <w:t>15</w:t>
      </w:r>
      <w:r>
        <w:rPr>
          <w:rFonts w:hint="eastAsia" w:ascii="Times New Roman" w:hAnsi="Times New Roman" w:cs="Times New Roman"/>
          <w:szCs w:val="28"/>
        </w:rPr>
        <w:t>号关于下达中央疫情防控财力补助预算的通知要求，项目属于公共财政支持范围。因此，立项依据充分，得</w:t>
      </w:r>
      <w:r>
        <w:rPr>
          <w:rFonts w:ascii="Times New Roman" w:hAnsi="Times New Roman" w:cs="Times New Roman"/>
          <w:szCs w:val="28"/>
        </w:rPr>
        <w:t>4</w:t>
      </w:r>
      <w:r>
        <w:rPr>
          <w:rFonts w:hint="eastAsia" w:ascii="Times New Roman" w:hAnsi="Times New Roman" w:cs="Times New Roman"/>
          <w:szCs w:val="28"/>
        </w:rPr>
        <w:t>分。</w:t>
      </w:r>
    </w:p>
    <w:p>
      <w:pPr>
        <w:spacing w:line="560" w:lineRule="exact"/>
        <w:ind w:firstLine="562"/>
        <w:rPr>
          <w:rFonts w:ascii="Times New Roman" w:hAnsi="Times New Roman" w:cs="Times New Roman"/>
          <w:szCs w:val="28"/>
        </w:rPr>
      </w:pPr>
      <w:r>
        <w:rPr>
          <w:rFonts w:hint="eastAsia" w:ascii="Times New Roman" w:hAnsi="Times New Roman" w:cs="Times New Roman"/>
          <w:b/>
          <w:bCs/>
          <w:szCs w:val="28"/>
        </w:rPr>
        <w:t>立项程序规范性</w:t>
      </w:r>
      <w:r>
        <w:rPr>
          <w:rFonts w:ascii="Times New Roman" w:hAnsi="Times New Roman" w:cs="Times New Roman"/>
          <w:b/>
          <w:bCs/>
          <w:szCs w:val="28"/>
        </w:rPr>
        <w:t>:</w:t>
      </w:r>
      <w:r>
        <w:rPr>
          <w:rFonts w:ascii="Times New Roman" w:hAnsi="Times New Roman" w:cs="Times New Roman"/>
        </w:rPr>
        <w:t xml:space="preserve"> </w:t>
      </w:r>
    </w:p>
    <w:p>
      <w:pPr>
        <w:spacing w:line="560" w:lineRule="exact"/>
        <w:ind w:firstLine="560"/>
        <w:rPr>
          <w:rFonts w:ascii="Times New Roman" w:hAnsi="Times New Roman" w:cs="Times New Roman"/>
          <w:szCs w:val="28"/>
        </w:rPr>
      </w:pPr>
      <w:r>
        <w:rPr>
          <w:rFonts w:hint="eastAsia" w:ascii="Times New Roman" w:hAnsi="Times New Roman" w:cs="Times New Roman"/>
          <w:szCs w:val="28"/>
        </w:rPr>
        <w:t>项目事前已经过单位局党组会集体决策，申请预算资金时严格按照乌财预【</w:t>
      </w:r>
      <w:r>
        <w:rPr>
          <w:rFonts w:ascii="Times New Roman" w:hAnsi="Times New Roman" w:cs="Times New Roman"/>
          <w:szCs w:val="28"/>
        </w:rPr>
        <w:t>2023</w:t>
      </w:r>
      <w:r>
        <w:rPr>
          <w:rFonts w:hint="eastAsia" w:ascii="Times New Roman" w:hAnsi="Times New Roman" w:cs="Times New Roman"/>
          <w:szCs w:val="28"/>
        </w:rPr>
        <w:t>】</w:t>
      </w:r>
      <w:r>
        <w:rPr>
          <w:rFonts w:ascii="Times New Roman" w:hAnsi="Times New Roman" w:cs="Times New Roman"/>
          <w:szCs w:val="28"/>
        </w:rPr>
        <w:t>15</w:t>
      </w:r>
      <w:r>
        <w:rPr>
          <w:rFonts w:hint="eastAsia" w:ascii="Times New Roman" w:hAnsi="Times New Roman" w:cs="Times New Roman"/>
          <w:szCs w:val="28"/>
        </w:rPr>
        <w:t>号关于下达中央疫情防控财力补助预算的通知项目的立项要求，遵循</w:t>
      </w:r>
      <w:r>
        <w:rPr>
          <w:rFonts w:ascii="Times New Roman" w:hAnsi="Times New Roman" w:cs="Times New Roman"/>
          <w:szCs w:val="28"/>
        </w:rPr>
        <w:t>“</w:t>
      </w:r>
      <w:r>
        <w:rPr>
          <w:rFonts w:hint="eastAsia" w:ascii="Times New Roman" w:hAnsi="Times New Roman" w:cs="Times New Roman"/>
          <w:szCs w:val="28"/>
        </w:rPr>
        <w:t>二上二下</w:t>
      </w:r>
      <w:r>
        <w:rPr>
          <w:rFonts w:ascii="Times New Roman" w:hAnsi="Times New Roman" w:cs="Times New Roman"/>
          <w:szCs w:val="28"/>
        </w:rPr>
        <w:t>”</w:t>
      </w:r>
      <w:r>
        <w:rPr>
          <w:rFonts w:hint="eastAsia" w:ascii="Times New Roman" w:hAnsi="Times New Roman" w:cs="Times New Roman"/>
          <w:szCs w:val="28"/>
        </w:rPr>
        <w:t>的预算流程；审批文件、材料符合相关要求，故立项程序规范，得</w:t>
      </w:r>
      <w:r>
        <w:rPr>
          <w:rFonts w:ascii="Times New Roman" w:hAnsi="Times New Roman" w:cs="Times New Roman"/>
          <w:szCs w:val="28"/>
        </w:rPr>
        <w:t>4</w:t>
      </w:r>
      <w:r>
        <w:rPr>
          <w:rFonts w:hint="eastAsia" w:ascii="Times New Roman" w:hAnsi="Times New Roman" w:cs="Times New Roman"/>
          <w:szCs w:val="28"/>
        </w:rPr>
        <w:t>分。</w:t>
      </w:r>
    </w:p>
    <w:p>
      <w:pPr>
        <w:autoSpaceDE w:val="0"/>
        <w:spacing w:line="560" w:lineRule="exact"/>
        <w:ind w:firstLine="562"/>
        <w:rPr>
          <w:rFonts w:ascii="Times New Roman" w:hAnsi="Times New Roman" w:cs="Times New Roman"/>
          <w:b/>
          <w:kern w:val="0"/>
          <w:szCs w:val="28"/>
        </w:rPr>
      </w:pPr>
      <w:r>
        <w:rPr>
          <w:rFonts w:hint="eastAsia" w:ascii="Times New Roman" w:hAnsi="Times New Roman" w:cs="Times New Roman"/>
          <w:b/>
          <w:kern w:val="0"/>
          <w:szCs w:val="28"/>
        </w:rPr>
        <w:t>综上，该指标满分</w:t>
      </w:r>
      <w:r>
        <w:rPr>
          <w:rFonts w:ascii="Times New Roman" w:hAnsi="Times New Roman" w:cs="Times New Roman"/>
          <w:b/>
          <w:kern w:val="0"/>
          <w:szCs w:val="28"/>
        </w:rPr>
        <w:t>8</w:t>
      </w:r>
      <w:r>
        <w:rPr>
          <w:rFonts w:hint="eastAsia" w:ascii="Times New Roman" w:hAnsi="Times New Roman" w:cs="Times New Roman"/>
          <w:b/>
          <w:kern w:val="0"/>
          <w:szCs w:val="28"/>
        </w:rPr>
        <w:t>分，得分</w:t>
      </w:r>
      <w:r>
        <w:rPr>
          <w:rFonts w:ascii="Times New Roman" w:hAnsi="Times New Roman" w:cs="Times New Roman"/>
          <w:b/>
          <w:kern w:val="0"/>
          <w:szCs w:val="28"/>
        </w:rPr>
        <w:t>8</w:t>
      </w:r>
      <w:r>
        <w:rPr>
          <w:rFonts w:hint="eastAsia" w:ascii="Times New Roman" w:hAnsi="Times New Roman" w:cs="Times New Roman"/>
          <w:b/>
          <w:kern w:val="0"/>
          <w:szCs w:val="28"/>
        </w:rPr>
        <w:t>分。</w:t>
      </w:r>
    </w:p>
    <w:p>
      <w:pPr>
        <w:pStyle w:val="4"/>
        <w:spacing w:before="0" w:after="0" w:line="560" w:lineRule="exact"/>
        <w:ind w:firstLine="643"/>
        <w:rPr>
          <w:rFonts w:ascii="Times New Roman" w:hAnsi="Times New Roman" w:cs="Times New Roman"/>
        </w:rPr>
      </w:pPr>
      <w:bookmarkStart w:id="48" w:name="_Toc9778"/>
      <w:r>
        <w:rPr>
          <w:rFonts w:ascii="Times New Roman" w:hAnsi="Times New Roman" w:cs="Times New Roman"/>
        </w:rPr>
        <w:t>2.</w:t>
      </w:r>
      <w:r>
        <w:rPr>
          <w:rFonts w:hint="eastAsia" w:ascii="Times New Roman" w:hAnsi="Times New Roman" w:cs="Times New Roman"/>
        </w:rPr>
        <w:t>绩效目标</w:t>
      </w:r>
      <w:bookmarkEnd w:id="48"/>
    </w:p>
    <w:p>
      <w:pPr>
        <w:spacing w:line="560" w:lineRule="exact"/>
        <w:ind w:firstLine="562"/>
        <w:rPr>
          <w:rFonts w:ascii="Times New Roman" w:hAnsi="Times New Roman" w:cs="Times New Roman"/>
          <w:szCs w:val="28"/>
        </w:rPr>
      </w:pPr>
      <w:r>
        <w:rPr>
          <w:rFonts w:hint="eastAsia" w:ascii="Times New Roman" w:hAnsi="Times New Roman" w:cs="Times New Roman"/>
          <w:b/>
          <w:bCs/>
          <w:szCs w:val="28"/>
        </w:rPr>
        <w:t>绩效目标合理性：</w:t>
      </w:r>
      <w:r>
        <w:rPr>
          <w:rFonts w:hint="eastAsia" w:ascii="Times New Roman" w:hAnsi="Times New Roman" w:cs="Times New Roman"/>
          <w:szCs w:val="28"/>
        </w:rPr>
        <w:t>本项目的绩效目标按照产出、效益和满意度构建绩效评价指标，且具有明确性、可衡量性、可实现性、相关性和时限性等特点，基本</w:t>
      </w:r>
      <w:r>
        <w:rPr>
          <w:rFonts w:ascii="Times New Roman" w:hAnsi="Times New Roman" w:cs="Times New Roman"/>
          <w:szCs w:val="28"/>
        </w:rPr>
        <w:t>能反映本项目的产出和效益，</w:t>
      </w:r>
      <w:r>
        <w:rPr>
          <w:rFonts w:hint="eastAsia" w:ascii="Times New Roman" w:hAnsi="Times New Roman" w:cs="Times New Roman"/>
          <w:szCs w:val="28"/>
        </w:rPr>
        <w:t>还需进一步细化量化，故绩效目标合理性指标得分2分。</w:t>
      </w:r>
    </w:p>
    <w:p>
      <w:pPr>
        <w:autoSpaceDE w:val="0"/>
        <w:spacing w:line="560" w:lineRule="exact"/>
        <w:ind w:firstLine="562"/>
        <w:rPr>
          <w:rFonts w:ascii="Times New Roman" w:hAnsi="Times New Roman" w:cs="Times New Roman"/>
          <w:szCs w:val="28"/>
        </w:rPr>
      </w:pPr>
      <w:r>
        <w:rPr>
          <w:rFonts w:hint="eastAsia" w:ascii="Times New Roman" w:hAnsi="Times New Roman" w:cs="Times New Roman"/>
          <w:b/>
          <w:kern w:val="0"/>
          <w:szCs w:val="28"/>
        </w:rPr>
        <w:t>绩效目标明确性：</w:t>
      </w:r>
      <w:r>
        <w:rPr>
          <w:rFonts w:hint="eastAsia" w:ascii="Times New Roman" w:hAnsi="Times New Roman" w:cs="Times New Roman"/>
          <w:szCs w:val="28"/>
        </w:rPr>
        <w:t>其中，目标已细化为具体的绩效指标数量指标：购买物资批次≥5次、购买突发疫情期间隔离人员物资批次≥5次，质量指标防疫物资验收合格率≥90%、政府采购率≥90%、，时效指标项目资金到位及时性≥95%，社会效益指标保障我县防疫工作的正常有序开展、提升群众卫生防疫意识，可通过数量指标、质量指标、时效指标和成本指标予以量化，并具有确切的评价标准，且指标设定均与目标相关。各项指标</w:t>
      </w:r>
      <w:r>
        <w:rPr>
          <w:rFonts w:hint="eastAsia" w:ascii="Times New Roman" w:hAnsi="Times New Roman" w:cs="Times New Roman"/>
          <w:kern w:val="0"/>
          <w:szCs w:val="28"/>
        </w:rPr>
        <w:t>一定程度上</w:t>
      </w:r>
      <w:r>
        <w:rPr>
          <w:rFonts w:hint="eastAsia" w:ascii="Times New Roman" w:hAnsi="Times New Roman" w:cs="Times New Roman"/>
          <w:szCs w:val="28"/>
        </w:rPr>
        <w:t>能在现实条件下收集到</w:t>
      </w:r>
      <w:r>
        <w:rPr>
          <w:rFonts w:hint="eastAsia" w:ascii="Times New Roman" w:hAnsi="Times New Roman" w:cs="Times New Roman"/>
          <w:szCs w:val="28"/>
          <w:highlight w:val="none"/>
        </w:rPr>
        <w:t>相关数据</w:t>
      </w:r>
      <w:r>
        <w:rPr>
          <w:rFonts w:hint="eastAsia" w:ascii="Times New Roman" w:hAnsi="Times New Roman" w:cs="Times New Roman"/>
          <w:szCs w:val="28"/>
        </w:rPr>
        <w:t>进行佐证，并与当年项目年度计划相对应，故绩效目标明确性指标得分2分。</w:t>
      </w:r>
    </w:p>
    <w:p>
      <w:pPr>
        <w:autoSpaceDE w:val="0"/>
        <w:spacing w:line="560" w:lineRule="exact"/>
        <w:ind w:firstLine="562"/>
        <w:rPr>
          <w:rFonts w:ascii="Times New Roman" w:hAnsi="Times New Roman" w:cs="Times New Roman"/>
          <w:b/>
          <w:kern w:val="0"/>
          <w:szCs w:val="28"/>
        </w:rPr>
      </w:pPr>
      <w:r>
        <w:rPr>
          <w:rFonts w:hint="eastAsia" w:ascii="Times New Roman" w:hAnsi="Times New Roman" w:cs="Times New Roman"/>
          <w:b/>
          <w:kern w:val="0"/>
          <w:szCs w:val="28"/>
        </w:rPr>
        <w:t>综上，该指标满分</w:t>
      </w:r>
      <w:r>
        <w:rPr>
          <w:rFonts w:ascii="Times New Roman" w:hAnsi="Times New Roman" w:cs="Times New Roman"/>
          <w:b/>
          <w:kern w:val="0"/>
          <w:szCs w:val="28"/>
        </w:rPr>
        <w:t>6</w:t>
      </w:r>
      <w:r>
        <w:rPr>
          <w:rFonts w:hint="eastAsia" w:ascii="Times New Roman" w:hAnsi="Times New Roman" w:cs="Times New Roman"/>
          <w:b/>
          <w:kern w:val="0"/>
          <w:szCs w:val="28"/>
        </w:rPr>
        <w:t>分，得分4分。</w:t>
      </w:r>
    </w:p>
    <w:p>
      <w:pPr>
        <w:pStyle w:val="4"/>
        <w:spacing w:before="0" w:after="0" w:line="560" w:lineRule="exact"/>
        <w:ind w:firstLine="643"/>
        <w:rPr>
          <w:rFonts w:ascii="Times New Roman" w:hAnsi="Times New Roman" w:cs="Times New Roman"/>
        </w:rPr>
      </w:pPr>
      <w:bookmarkStart w:id="49" w:name="_Toc29385"/>
      <w:r>
        <w:rPr>
          <w:rFonts w:ascii="Times New Roman" w:hAnsi="Times New Roman" w:cs="Times New Roman"/>
        </w:rPr>
        <w:t>3.</w:t>
      </w:r>
      <w:r>
        <w:rPr>
          <w:rFonts w:hint="eastAsia" w:ascii="Times New Roman" w:hAnsi="Times New Roman" w:cs="Times New Roman"/>
        </w:rPr>
        <w:t>资金投入</w:t>
      </w:r>
      <w:bookmarkEnd w:id="49"/>
    </w:p>
    <w:p>
      <w:pPr>
        <w:spacing w:line="560" w:lineRule="exact"/>
        <w:ind w:firstLine="562"/>
        <w:rPr>
          <w:rFonts w:ascii="Times New Roman" w:hAnsi="Times New Roman" w:cs="Times New Roman"/>
          <w:szCs w:val="28"/>
        </w:rPr>
      </w:pPr>
      <w:r>
        <w:rPr>
          <w:rFonts w:hint="eastAsia" w:ascii="Times New Roman" w:hAnsi="Times New Roman" w:cs="Times New Roman"/>
          <w:b/>
          <w:kern w:val="0"/>
          <w:szCs w:val="28"/>
        </w:rPr>
        <w:t>预算编制科学性：</w:t>
      </w:r>
      <w:r>
        <w:rPr>
          <w:rFonts w:hint="eastAsia" w:ascii="Times New Roman" w:hAnsi="Times New Roman" w:cs="Times New Roman"/>
          <w:kern w:val="0"/>
          <w:szCs w:val="28"/>
        </w:rPr>
        <w:t>我单位在编制2023年预算时，依据上级主管部门工作安排，结合</w:t>
      </w:r>
      <w:r>
        <w:rPr>
          <w:rFonts w:ascii="Times New Roman" w:hAnsi="Times New Roman" w:cs="Times New Roman"/>
          <w:szCs w:val="28"/>
        </w:rPr>
        <w:t>经费预算保障、</w:t>
      </w:r>
      <w:r>
        <w:rPr>
          <w:rFonts w:hint="eastAsia" w:ascii="Times New Roman" w:hAnsi="Times New Roman" w:cs="Times New Roman"/>
          <w:szCs w:val="28"/>
        </w:rPr>
        <w:t>采购业务审批等</w:t>
      </w:r>
      <w:r>
        <w:rPr>
          <w:rFonts w:ascii="Times New Roman" w:hAnsi="Times New Roman" w:cs="Times New Roman"/>
          <w:szCs w:val="28"/>
        </w:rPr>
        <w:t>各项工作</w:t>
      </w:r>
      <w:r>
        <w:rPr>
          <w:rFonts w:hint="eastAsia" w:ascii="Times New Roman" w:hAnsi="Times New Roman" w:cs="Times New Roman"/>
          <w:szCs w:val="28"/>
        </w:rPr>
        <w:t>，。故预算编制科学性指标得分</w:t>
      </w:r>
      <w:r>
        <w:rPr>
          <w:rFonts w:ascii="Times New Roman" w:hAnsi="Times New Roman" w:cs="Times New Roman"/>
          <w:szCs w:val="28"/>
        </w:rPr>
        <w:t>3</w:t>
      </w:r>
      <w:r>
        <w:rPr>
          <w:rFonts w:hint="eastAsia" w:ascii="Times New Roman" w:hAnsi="Times New Roman" w:cs="Times New Roman"/>
          <w:szCs w:val="28"/>
        </w:rPr>
        <w:t>分。</w:t>
      </w:r>
    </w:p>
    <w:p>
      <w:pPr>
        <w:spacing w:line="560" w:lineRule="exact"/>
        <w:ind w:firstLine="560"/>
        <w:outlineLvl w:val="1"/>
        <w:rPr>
          <w:rFonts w:ascii="Times New Roman" w:hAnsi="Times New Roman" w:cs="Times New Roman"/>
          <w:szCs w:val="28"/>
        </w:rPr>
      </w:pPr>
      <w:bookmarkStart w:id="50" w:name="_Toc17051"/>
      <w:r>
        <w:rPr>
          <w:rFonts w:hint="eastAsia" w:ascii="Times New Roman" w:hAnsi="Times New Roman" w:cs="Times New Roman"/>
          <w:b/>
          <w:bCs/>
        </w:rPr>
        <w:t>资金分配合理性</w:t>
      </w:r>
      <w:r>
        <w:rPr>
          <w:rFonts w:hint="eastAsia" w:ascii="Times New Roman" w:hAnsi="Times New Roman" w:cs="Times New Roman"/>
        </w:rPr>
        <w:t>：</w:t>
      </w:r>
      <w:r>
        <w:rPr>
          <w:rFonts w:hint="default" w:ascii="Times New Roman" w:hAnsi="Times New Roman" w:cs="Times New Roman"/>
          <w:szCs w:val="28"/>
        </w:rPr>
        <w:t>①</w:t>
      </w:r>
      <w:r>
        <w:rPr>
          <w:rFonts w:hint="eastAsia" w:ascii="Times New Roman" w:hAnsi="Times New Roman" w:cs="Times New Roman"/>
          <w:szCs w:val="28"/>
        </w:rPr>
        <w:t>一核酸试剂及耗材100万元，明德、中元、伯杰每月需求额度为35万元；</w:t>
      </w:r>
      <w:r>
        <w:rPr>
          <w:rFonts w:hint="default" w:ascii="Times New Roman" w:hAnsi="Times New Roman" w:cs="Times New Roman"/>
          <w:szCs w:val="28"/>
        </w:rPr>
        <w:t>②</w:t>
      </w:r>
      <w:r>
        <w:rPr>
          <w:rFonts w:hint="eastAsia" w:ascii="Times New Roman" w:hAnsi="Times New Roman" w:cs="Times New Roman"/>
          <w:szCs w:val="28"/>
        </w:rPr>
        <w:t xml:space="preserve">天隆核酸试剂第月需求额度为25万元； </w:t>
      </w:r>
      <w:r>
        <w:rPr>
          <w:rFonts w:hint="default" w:ascii="Times New Roman" w:hAnsi="Times New Roman" w:cs="Times New Roman"/>
          <w:szCs w:val="28"/>
        </w:rPr>
        <w:t>③</w:t>
      </w:r>
      <w:r>
        <w:rPr>
          <w:rFonts w:hint="eastAsia" w:ascii="Times New Roman" w:hAnsi="Times New Roman" w:cs="Times New Roman"/>
          <w:szCs w:val="28"/>
        </w:rPr>
        <w:t xml:space="preserve">核酸耗材八连管每月需求额度为5万元； </w:t>
      </w:r>
      <w:r>
        <w:rPr>
          <w:rFonts w:hint="default" w:ascii="Times New Roman" w:hAnsi="Times New Roman" w:eastAsia="仿宋" w:cs="Times New Roman"/>
          <w:szCs w:val="28"/>
        </w:rPr>
        <w:t>④</w:t>
      </w:r>
      <w:r>
        <w:rPr>
          <w:rFonts w:hint="eastAsia" w:ascii="Times New Roman" w:hAnsi="Times New Roman" w:cs="Times New Roman"/>
          <w:szCs w:val="28"/>
        </w:rPr>
        <w:t>核酸检测耗材枪头每月需求额度为25万元；</w:t>
      </w:r>
      <w:r>
        <w:rPr>
          <w:rFonts w:hint="default" w:ascii="Times New Roman" w:hAnsi="Times New Roman" w:eastAsia="仿宋" w:cs="Times New Roman"/>
          <w:szCs w:val="28"/>
        </w:rPr>
        <w:t>⑤</w:t>
      </w:r>
      <w:r>
        <w:rPr>
          <w:rFonts w:hint="eastAsia" w:ascii="Times New Roman" w:hAnsi="Times New Roman" w:cs="Times New Roman"/>
          <w:szCs w:val="28"/>
        </w:rPr>
        <w:t>采样管10 万元，共计100万元；</w:t>
      </w:r>
      <w:r>
        <w:rPr>
          <w:rFonts w:hint="default" w:ascii="Times New Roman" w:hAnsi="Times New Roman" w:eastAsia="仿宋" w:cs="Times New Roman"/>
          <w:szCs w:val="28"/>
        </w:rPr>
        <w:t>⑥</w:t>
      </w:r>
      <w:r>
        <w:rPr>
          <w:rFonts w:hint="eastAsia" w:ascii="Times New Roman" w:hAnsi="Times New Roman" w:cs="Times New Roman"/>
          <w:szCs w:val="28"/>
        </w:rPr>
        <w:t xml:space="preserve">防疫物资（包括消杀、防护物资款201.75万元） </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其中：</w:t>
      </w:r>
      <w:r>
        <w:rPr>
          <w:rFonts w:hint="eastAsia" w:ascii="Times New Roman" w:hAnsi="Times New Roman" w:cs="Times New Roman"/>
          <w:szCs w:val="28"/>
        </w:rPr>
        <w:t>防护服需求额度为50万元； 医用防护口罩需求额度为40万元； 其他防护用品需求额度为111.75万元；故资金分配合理性指标得分</w:t>
      </w:r>
      <w:r>
        <w:rPr>
          <w:rFonts w:ascii="Times New Roman" w:hAnsi="Times New Roman" w:cs="Times New Roman"/>
          <w:szCs w:val="28"/>
        </w:rPr>
        <w:t>3</w:t>
      </w:r>
      <w:r>
        <w:rPr>
          <w:rFonts w:hint="eastAsia" w:ascii="Times New Roman" w:hAnsi="Times New Roman" w:cs="Times New Roman"/>
          <w:szCs w:val="28"/>
        </w:rPr>
        <w:t>分。</w:t>
      </w:r>
      <w:bookmarkEnd w:id="50"/>
    </w:p>
    <w:p>
      <w:pPr>
        <w:autoSpaceDE w:val="0"/>
        <w:spacing w:line="560" w:lineRule="exact"/>
        <w:ind w:firstLine="562"/>
        <w:rPr>
          <w:rFonts w:ascii="Times New Roman" w:hAnsi="Times New Roman" w:cs="Times New Roman"/>
          <w:b/>
          <w:kern w:val="0"/>
          <w:szCs w:val="28"/>
        </w:rPr>
      </w:pPr>
      <w:r>
        <w:rPr>
          <w:rFonts w:hint="eastAsia" w:ascii="Times New Roman" w:hAnsi="Times New Roman" w:cs="Times New Roman"/>
          <w:b/>
          <w:kern w:val="0"/>
          <w:szCs w:val="28"/>
        </w:rPr>
        <w:t>综上，该指标满分</w:t>
      </w:r>
      <w:r>
        <w:rPr>
          <w:rFonts w:ascii="Times New Roman" w:hAnsi="Times New Roman" w:cs="Times New Roman"/>
          <w:b/>
          <w:kern w:val="0"/>
          <w:szCs w:val="28"/>
        </w:rPr>
        <w:t>6</w:t>
      </w:r>
      <w:r>
        <w:rPr>
          <w:rFonts w:hint="eastAsia" w:ascii="Times New Roman" w:hAnsi="Times New Roman" w:cs="Times New Roman"/>
          <w:b/>
          <w:kern w:val="0"/>
          <w:szCs w:val="28"/>
        </w:rPr>
        <w:t>分，得分</w:t>
      </w:r>
      <w:r>
        <w:rPr>
          <w:rFonts w:ascii="Times New Roman" w:hAnsi="Times New Roman" w:cs="Times New Roman"/>
          <w:b/>
          <w:kern w:val="0"/>
          <w:szCs w:val="28"/>
        </w:rPr>
        <w:t>6</w:t>
      </w:r>
      <w:r>
        <w:rPr>
          <w:rFonts w:hint="eastAsia" w:ascii="Times New Roman" w:hAnsi="Times New Roman" w:cs="Times New Roman"/>
          <w:b/>
          <w:kern w:val="0"/>
          <w:szCs w:val="28"/>
        </w:rPr>
        <w:t>分。</w:t>
      </w:r>
    </w:p>
    <w:p>
      <w:pPr>
        <w:pStyle w:val="3"/>
        <w:spacing w:before="0" w:after="0" w:line="560" w:lineRule="exact"/>
        <w:ind w:firstLine="643"/>
        <w:rPr>
          <w:rFonts w:ascii="Times New Roman" w:hAnsi="Times New Roman" w:eastAsia="仿宋"/>
        </w:rPr>
      </w:pPr>
      <w:bookmarkStart w:id="51" w:name="_Toc67911613"/>
      <w:bookmarkStart w:id="52" w:name="_Toc11348"/>
      <w:r>
        <w:rPr>
          <w:rFonts w:hint="eastAsia" w:ascii="Times New Roman" w:hAnsi="Times New Roman" w:eastAsia="仿宋"/>
        </w:rPr>
        <w:t>（二）项目过程情况</w:t>
      </w:r>
      <w:bookmarkEnd w:id="51"/>
      <w:bookmarkEnd w:id="52"/>
    </w:p>
    <w:p>
      <w:pPr>
        <w:spacing w:line="560" w:lineRule="exact"/>
        <w:ind w:firstLine="560"/>
        <w:rPr>
          <w:rFonts w:ascii="Times New Roman" w:hAnsi="Times New Roman" w:cs="Times New Roman"/>
          <w:color w:val="000000"/>
          <w:szCs w:val="28"/>
        </w:rPr>
      </w:pPr>
      <w:r>
        <w:rPr>
          <w:rFonts w:hint="eastAsia" w:ascii="Times New Roman" w:hAnsi="Times New Roman" w:cs="Times New Roman"/>
          <w:color w:val="000000"/>
          <w:szCs w:val="28"/>
        </w:rPr>
        <w:t>项目过程指标由</w:t>
      </w:r>
      <w:r>
        <w:rPr>
          <w:rFonts w:ascii="Times New Roman" w:hAnsi="Times New Roman" w:cs="Times New Roman"/>
          <w:color w:val="000000"/>
          <w:szCs w:val="28"/>
        </w:rPr>
        <w:t>2</w:t>
      </w:r>
      <w:r>
        <w:rPr>
          <w:rFonts w:hint="eastAsia" w:ascii="Times New Roman" w:hAnsi="Times New Roman" w:cs="Times New Roman"/>
          <w:color w:val="000000"/>
          <w:szCs w:val="28"/>
        </w:rPr>
        <w:t>个二级指标和</w:t>
      </w:r>
      <w:r>
        <w:rPr>
          <w:rFonts w:ascii="Times New Roman" w:hAnsi="Times New Roman" w:cs="Times New Roman"/>
          <w:color w:val="000000"/>
          <w:szCs w:val="28"/>
        </w:rPr>
        <w:t>5</w:t>
      </w:r>
      <w:r>
        <w:rPr>
          <w:rFonts w:hint="eastAsia" w:ascii="Times New Roman" w:hAnsi="Times New Roman" w:cs="Times New Roman"/>
          <w:color w:val="000000"/>
          <w:szCs w:val="28"/>
        </w:rPr>
        <w:t>个三级指标构成，权重为</w:t>
      </w:r>
      <w:r>
        <w:rPr>
          <w:rFonts w:ascii="Times New Roman" w:hAnsi="Times New Roman" w:cs="Times New Roman"/>
          <w:color w:val="000000"/>
          <w:szCs w:val="28"/>
        </w:rPr>
        <w:t>20</w:t>
      </w:r>
      <w:r>
        <w:rPr>
          <w:rFonts w:hint="eastAsia" w:ascii="Times New Roman" w:hAnsi="Times New Roman" w:cs="Times New Roman"/>
          <w:color w:val="000000"/>
          <w:szCs w:val="28"/>
        </w:rPr>
        <w:t>分，实际得分</w:t>
      </w:r>
      <w:r>
        <w:rPr>
          <w:rFonts w:ascii="Times New Roman" w:hAnsi="Times New Roman" w:cs="Times New Roman"/>
          <w:color w:val="000000"/>
          <w:szCs w:val="28"/>
        </w:rPr>
        <w:t>1</w:t>
      </w:r>
      <w:r>
        <w:rPr>
          <w:rFonts w:hint="eastAsia" w:ascii="Times New Roman" w:hAnsi="Times New Roman" w:cs="Times New Roman"/>
          <w:color w:val="000000"/>
          <w:szCs w:val="28"/>
        </w:rPr>
        <w:t>7</w:t>
      </w:r>
      <w:r>
        <w:rPr>
          <w:rFonts w:ascii="Times New Roman" w:hAnsi="Times New Roman" w:cs="Times New Roman"/>
          <w:color w:val="000000"/>
          <w:szCs w:val="28"/>
        </w:rPr>
        <w:t>.95</w:t>
      </w:r>
      <w:r>
        <w:rPr>
          <w:rFonts w:hint="eastAsia" w:ascii="Times New Roman" w:hAnsi="Times New Roman" w:cs="Times New Roman"/>
          <w:color w:val="000000"/>
          <w:szCs w:val="28"/>
        </w:rPr>
        <w:t>分。</w:t>
      </w:r>
    </w:p>
    <w:p>
      <w:pPr>
        <w:pStyle w:val="4"/>
        <w:spacing w:before="0" w:after="0" w:line="560" w:lineRule="exact"/>
        <w:ind w:firstLine="643"/>
        <w:rPr>
          <w:rFonts w:ascii="Times New Roman" w:hAnsi="Times New Roman" w:cs="Times New Roman"/>
        </w:rPr>
      </w:pPr>
      <w:bookmarkStart w:id="53" w:name="_Toc13773"/>
      <w:r>
        <w:rPr>
          <w:rFonts w:ascii="Times New Roman" w:hAnsi="Times New Roman" w:cs="Times New Roman"/>
        </w:rPr>
        <w:t>1.</w:t>
      </w:r>
      <w:r>
        <w:rPr>
          <w:rFonts w:hint="eastAsia" w:ascii="Times New Roman" w:hAnsi="Times New Roman" w:cs="Times New Roman"/>
        </w:rPr>
        <w:t>资金管理</w:t>
      </w:r>
      <w:bookmarkEnd w:id="53"/>
    </w:p>
    <w:p>
      <w:pPr>
        <w:spacing w:line="560" w:lineRule="exact"/>
        <w:ind w:firstLine="562"/>
        <w:rPr>
          <w:rFonts w:ascii="Times New Roman" w:hAnsi="Times New Roman" w:eastAsia="仿宋" w:cs="Times New Roman"/>
          <w:sz w:val="28"/>
          <w:szCs w:val="28"/>
        </w:rPr>
      </w:pPr>
      <w:r>
        <w:rPr>
          <w:rFonts w:ascii="Times New Roman" w:hAnsi="Times New Roman" w:cs="Times New Roman"/>
          <w:b/>
          <w:bCs/>
          <w:sz w:val="28"/>
          <w:szCs w:val="28"/>
        </w:rPr>
        <w:t>资金到位率：</w:t>
      </w:r>
      <w:r>
        <w:rPr>
          <w:rFonts w:ascii="Times New Roman" w:hAnsi="Times New Roman" w:eastAsia="仿宋" w:cs="Times New Roman"/>
          <w:sz w:val="28"/>
          <w:szCs w:val="28"/>
        </w:rPr>
        <w:t>预算资金301.75万元，2023年5月份拨付资金301.75万元及时到位，资金与实际到位资金相符，资金到位率100%。故资金到位率指标得分5分。</w:t>
      </w:r>
    </w:p>
    <w:p>
      <w:pPr>
        <w:spacing w:line="560" w:lineRule="exact"/>
        <w:ind w:firstLine="562"/>
        <w:rPr>
          <w:rFonts w:ascii="Times New Roman" w:hAnsi="Times New Roman" w:eastAsia="仿宋" w:cs="Times New Roman"/>
          <w:sz w:val="28"/>
          <w:szCs w:val="28"/>
        </w:rPr>
      </w:pPr>
      <w:r>
        <w:rPr>
          <w:rFonts w:ascii="Times New Roman" w:hAnsi="Times New Roman" w:cs="Times New Roman"/>
          <w:b/>
          <w:bCs/>
          <w:sz w:val="28"/>
          <w:szCs w:val="28"/>
        </w:rPr>
        <w:t>预算执行率</w:t>
      </w:r>
      <w:r>
        <w:rPr>
          <w:rFonts w:hint="eastAsia" w:ascii="Times New Roman" w:hAnsi="Times New Roman" w:cs="Times New Roman"/>
          <w:b/>
          <w:bCs/>
          <w:sz w:val="28"/>
          <w:szCs w:val="28"/>
        </w:rPr>
        <w:t>：</w:t>
      </w:r>
      <w:r>
        <w:rPr>
          <w:rFonts w:ascii="Times New Roman" w:hAnsi="Times New Roman" w:eastAsia="仿宋" w:cs="Times New Roman"/>
          <w:sz w:val="28"/>
          <w:szCs w:val="28"/>
        </w:rPr>
        <w:t>项目正常开展，</w:t>
      </w:r>
      <w:r>
        <w:rPr>
          <w:rFonts w:ascii="Times New Roman" w:hAnsi="Times New Roman" w:eastAsia="仿宋" w:cs="Times New Roman"/>
          <w:sz w:val="28"/>
          <w:szCs w:val="28"/>
          <w:highlight w:val="none"/>
        </w:rPr>
        <w:t>2023年1月1日-2023年12月31日共计支出经费298.</w:t>
      </w:r>
      <w:r>
        <w:rPr>
          <w:rFonts w:hint="eastAsia" w:ascii="Times New Roman" w:hAnsi="Times New Roman" w:eastAsia="仿宋" w:cs="Times New Roman"/>
          <w:sz w:val="28"/>
          <w:szCs w:val="28"/>
          <w:highlight w:val="none"/>
        </w:rPr>
        <w:t>9</w:t>
      </w:r>
      <w:r>
        <w:rPr>
          <w:rFonts w:ascii="Times New Roman" w:hAnsi="Times New Roman" w:eastAsia="仿宋" w:cs="Times New Roman"/>
          <w:sz w:val="28"/>
          <w:szCs w:val="28"/>
          <w:highlight w:val="none"/>
        </w:rPr>
        <w:t>万元，经费主要用于疫情物资购买方面</w:t>
      </w:r>
      <w:r>
        <w:rPr>
          <w:rFonts w:hint="eastAsia" w:ascii="Times New Roman" w:hAnsi="Times New Roman" w:eastAsia="仿宋" w:cs="Times New Roman"/>
          <w:sz w:val="28"/>
          <w:szCs w:val="28"/>
        </w:rPr>
        <w:t>，其中：2023年5月18日支付给新疆四平智联科技有限公司5.63万元的电子门磁款，2023年7月7日支付给乌鲁木齐宏腾欣远通迅有限公司19.99万元的电子门磁款，2023年7月7日支付给新疆民康医药有限公司20万元的防疫物资款，2023年7月7日支付给乌鲁木齐源汇顺电子信息科技有限公司20万元的防疫物资款，2023年7月7日支付给青海鸿涛科技有限公司10万元的防疫物资款，2023年7月7日支付给江西裕雄鑫隆医疗器械有限公司14.99万元核酸采样款，2023年7月7日支付给新疆竞胜健康产业有限公司15万元的防疫物资款，2023年7月7日支付给国药控股新疆医疗器械有限公司25万元的核酸试剂款，2023年7月7日支付给国药集团新疆新特药业有限公司25.04万元的核酸耗材款，2023年7月7日支付给国药集团新疆医疗器械有限公司5万元的核酸试剂款，2023年7月7日支付给国药集团新疆医学器械有限公司35万元的核酸试剂款，2023年7月7日支付给乌鲁木齐翔诚博瑞商贸有限公司30万元疫情物资款，2023年7月7日支付给乌鲁木齐忠昊利恒商贸有限公司30.07万元疫情物资款，2023年7月7日支付给北京华辰元昊国际贸易有限公司31.55万元疫情物资款，2023年7月7日支付给新疆银通生物卫消有限公司5.02万元消杀款，</w:t>
      </w:r>
      <w:r>
        <w:rPr>
          <w:rFonts w:hint="eastAsia" w:ascii="Times New Roman" w:hAnsi="Times New Roman" w:eastAsia="仿宋" w:cs="Times New Roman"/>
          <w:sz w:val="28"/>
          <w:szCs w:val="28"/>
          <w:lang w:val="en-US" w:eastAsia="zh-CN"/>
        </w:rPr>
        <w:t>2023年7月7日支付给中大佳瑞5万元消杀款，</w:t>
      </w:r>
      <w:r>
        <w:rPr>
          <w:rFonts w:hint="eastAsia" w:ascii="Times New Roman" w:hAnsi="Times New Roman" w:eastAsia="仿宋" w:cs="Times New Roman"/>
          <w:sz w:val="28"/>
          <w:szCs w:val="28"/>
        </w:rPr>
        <w:t>2023年7月7日支付给乌鲁木齐县水西沟镇大庙村惠万家超市0.40万元疫情物资款，2023年7月11日支付给乌鲁木齐蚂蚁搬迁服务有限公司1.20万元物资拉运费</w:t>
      </w:r>
      <w:r>
        <w:rPr>
          <w:rFonts w:ascii="Times New Roman" w:hAnsi="Times New Roman" w:eastAsia="仿宋" w:cs="Times New Roman"/>
          <w:sz w:val="28"/>
          <w:szCs w:val="28"/>
          <w:highlight w:val="none"/>
        </w:rPr>
        <w:t>。</w:t>
      </w:r>
      <w:r>
        <w:rPr>
          <w:rFonts w:hint="eastAsia" w:ascii="Times New Roman" w:hAnsi="Times New Roman" w:eastAsia="仿宋" w:cs="Times New Roman"/>
          <w:sz w:val="28"/>
          <w:szCs w:val="28"/>
        </w:rPr>
        <w:t>项目预算99.06%，</w:t>
      </w:r>
      <w:r>
        <w:rPr>
          <w:rFonts w:ascii="Times New Roman" w:hAnsi="Times New Roman" w:eastAsia="仿宋" w:cs="Times New Roman"/>
          <w:sz w:val="28"/>
          <w:szCs w:val="28"/>
        </w:rPr>
        <w:t>故预算执行率得分为4.95分。</w:t>
      </w:r>
    </w:p>
    <w:p>
      <w:pPr>
        <w:spacing w:line="560" w:lineRule="exact"/>
        <w:ind w:firstLine="562"/>
        <w:rPr>
          <w:rFonts w:ascii="Times New Roman" w:hAnsi="Times New Roman" w:cs="Times New Roman"/>
          <w:szCs w:val="28"/>
        </w:rPr>
      </w:pPr>
      <w:r>
        <w:rPr>
          <w:rFonts w:ascii="Times New Roman" w:hAnsi="Times New Roman" w:cs="Times New Roman"/>
          <w:b/>
          <w:bCs/>
          <w:sz w:val="28"/>
          <w:szCs w:val="28"/>
        </w:rPr>
        <w:t>资金使用合规性：</w:t>
      </w:r>
      <w:r>
        <w:rPr>
          <w:rFonts w:ascii="Times New Roman" w:hAnsi="Times New Roman" w:cs="Times New Roman"/>
          <w:sz w:val="28"/>
          <w:szCs w:val="28"/>
        </w:rPr>
        <w:t>本项目资金的使用符合</w:t>
      </w:r>
      <w:r>
        <w:rPr>
          <w:rFonts w:ascii="Times New Roman" w:hAnsi="Times New Roman" w:eastAsia="仿宋" w:cs="Times New Roman"/>
          <w:sz w:val="28"/>
          <w:szCs w:val="28"/>
        </w:rPr>
        <w:t>国家财经法规和财务管理制度以及有关专项资金管理办法</w:t>
      </w:r>
      <w:r>
        <w:rPr>
          <w:rFonts w:ascii="Times New Roman" w:hAnsi="Times New Roman" w:cs="Times New Roman"/>
          <w:sz w:val="28"/>
          <w:szCs w:val="28"/>
        </w:rPr>
        <w:t>规定。同时，资金的拨付有</w:t>
      </w:r>
      <w:r>
        <w:rPr>
          <w:rFonts w:ascii="Times New Roman" w:hAnsi="Times New Roman" w:eastAsia="仿宋" w:cs="Times New Roman"/>
          <w:sz w:val="28"/>
          <w:szCs w:val="28"/>
        </w:rPr>
        <w:t>有完整的审批程序和手续</w:t>
      </w:r>
      <w:r>
        <w:rPr>
          <w:rFonts w:ascii="Times New Roman" w:hAnsi="Times New Roman" w:cs="Times New Roman"/>
          <w:sz w:val="28"/>
          <w:szCs w:val="28"/>
        </w:rPr>
        <w:t>，符合项目预算批复或合同规定的用途，不存在截留、挤占、挪用、虚列支出等情况。故资金使用合规性得分</w:t>
      </w:r>
      <w:r>
        <w:rPr>
          <w:rFonts w:ascii="Times New Roman" w:hAnsi="Times New Roman" w:cs="Times New Roman"/>
          <w:szCs w:val="28"/>
        </w:rPr>
        <w:t>为3分。</w:t>
      </w:r>
    </w:p>
    <w:p>
      <w:pPr>
        <w:autoSpaceDE w:val="0"/>
        <w:spacing w:line="560" w:lineRule="exact"/>
        <w:ind w:firstLine="562"/>
        <w:rPr>
          <w:rFonts w:ascii="Times New Roman" w:hAnsi="Times New Roman" w:cs="Times New Roman"/>
          <w:b/>
          <w:kern w:val="0"/>
          <w:szCs w:val="28"/>
        </w:rPr>
      </w:pPr>
      <w:r>
        <w:rPr>
          <w:rFonts w:hint="eastAsia" w:ascii="Times New Roman" w:hAnsi="Times New Roman" w:cs="Times New Roman"/>
          <w:b/>
          <w:kern w:val="0"/>
          <w:szCs w:val="28"/>
        </w:rPr>
        <w:t>综上，该指标满分</w:t>
      </w:r>
      <w:r>
        <w:rPr>
          <w:rFonts w:ascii="Times New Roman" w:hAnsi="Times New Roman" w:cs="Times New Roman"/>
          <w:b/>
          <w:kern w:val="0"/>
          <w:szCs w:val="28"/>
        </w:rPr>
        <w:t>13</w:t>
      </w:r>
      <w:r>
        <w:rPr>
          <w:rFonts w:hint="eastAsia" w:ascii="Times New Roman" w:hAnsi="Times New Roman" w:cs="Times New Roman"/>
          <w:b/>
          <w:kern w:val="0"/>
          <w:szCs w:val="28"/>
        </w:rPr>
        <w:t>分，得分</w:t>
      </w:r>
      <w:r>
        <w:rPr>
          <w:rFonts w:ascii="Times New Roman" w:hAnsi="Times New Roman" w:cs="Times New Roman"/>
          <w:b/>
          <w:kern w:val="0"/>
          <w:szCs w:val="28"/>
        </w:rPr>
        <w:t>12.95</w:t>
      </w:r>
      <w:r>
        <w:rPr>
          <w:rFonts w:hint="eastAsia" w:ascii="Times New Roman" w:hAnsi="Times New Roman" w:cs="Times New Roman"/>
          <w:b/>
          <w:kern w:val="0"/>
          <w:szCs w:val="28"/>
        </w:rPr>
        <w:t>分。</w:t>
      </w:r>
    </w:p>
    <w:p>
      <w:pPr>
        <w:pStyle w:val="4"/>
        <w:spacing w:before="0" w:after="0" w:line="560" w:lineRule="exact"/>
        <w:ind w:firstLine="643"/>
        <w:rPr>
          <w:rFonts w:ascii="Times New Roman" w:hAnsi="Times New Roman" w:cs="Times New Roman"/>
        </w:rPr>
      </w:pPr>
      <w:bookmarkStart w:id="54" w:name="_Toc3814"/>
      <w:r>
        <w:rPr>
          <w:rFonts w:ascii="Times New Roman" w:hAnsi="Times New Roman" w:cs="Times New Roman"/>
        </w:rPr>
        <w:t>2.</w:t>
      </w:r>
      <w:r>
        <w:rPr>
          <w:rFonts w:hint="eastAsia" w:ascii="Times New Roman" w:hAnsi="Times New Roman" w:cs="Times New Roman"/>
        </w:rPr>
        <w:t>组织实施</w:t>
      </w:r>
      <w:bookmarkEnd w:id="54"/>
    </w:p>
    <w:p>
      <w:pPr>
        <w:spacing w:line="560" w:lineRule="exact"/>
        <w:ind w:firstLine="562"/>
        <w:rPr>
          <w:rFonts w:ascii="Times New Roman" w:hAnsi="Times New Roman" w:eastAsia="仿宋" w:cs="Times New Roman"/>
          <w:sz w:val="30"/>
          <w:szCs w:val="30"/>
        </w:rPr>
      </w:pPr>
      <w:r>
        <w:rPr>
          <w:rFonts w:ascii="Times New Roman" w:hAnsi="Times New Roman" w:cs="Times New Roman"/>
          <w:b/>
          <w:bCs/>
          <w:szCs w:val="28"/>
        </w:rPr>
        <w:t>管理制度健全性</w:t>
      </w:r>
      <w:r>
        <w:rPr>
          <w:rFonts w:ascii="Times New Roman" w:hAnsi="Times New Roman" w:cs="Times New Roman"/>
          <w:szCs w:val="28"/>
        </w:rPr>
        <w:t>：</w:t>
      </w:r>
      <w:r>
        <w:rPr>
          <w:rFonts w:ascii="Times New Roman" w:hAnsi="Times New Roman" w:eastAsia="仿宋" w:cs="Times New Roman"/>
          <w:sz w:val="30"/>
          <w:szCs w:val="30"/>
        </w:rPr>
        <w:t>项目已制定相应的</w:t>
      </w:r>
      <w:r>
        <w:rPr>
          <w:rFonts w:ascii="Times New Roman" w:hAnsi="Times New Roman" w:cs="Times New Roman"/>
          <w:szCs w:val="28"/>
        </w:rPr>
        <w:t>《财务支出管理办法》</w:t>
      </w:r>
      <w:r>
        <w:rPr>
          <w:rFonts w:ascii="Times New Roman" w:hAnsi="Times New Roman" w:eastAsia="仿宋" w:cs="Times New Roman"/>
          <w:sz w:val="30"/>
          <w:szCs w:val="30"/>
        </w:rPr>
        <w:t>，制度</w:t>
      </w:r>
      <w:r>
        <w:rPr>
          <w:rFonts w:hint="eastAsia" w:ascii="Times New Roman" w:hAnsi="Times New Roman" w:eastAsia="仿宋" w:cs="Times New Roman"/>
          <w:sz w:val="30"/>
          <w:szCs w:val="30"/>
        </w:rPr>
        <w:t>建设还需进一步完善</w:t>
      </w:r>
      <w:r>
        <w:rPr>
          <w:rFonts w:ascii="Times New Roman" w:hAnsi="Times New Roman" w:eastAsia="仿宋" w:cs="Times New Roman"/>
          <w:sz w:val="30"/>
          <w:szCs w:val="30"/>
        </w:rPr>
        <w:t>，为项目顺利实施提供重要保障。故管理制度健全性得分为</w:t>
      </w:r>
      <w:r>
        <w:rPr>
          <w:rFonts w:hint="eastAsia" w:ascii="Times New Roman" w:hAnsi="Times New Roman" w:eastAsia="仿宋" w:cs="Times New Roman"/>
          <w:sz w:val="30"/>
          <w:szCs w:val="30"/>
        </w:rPr>
        <w:t>2</w:t>
      </w:r>
      <w:r>
        <w:rPr>
          <w:rFonts w:ascii="Times New Roman" w:hAnsi="Times New Roman" w:eastAsia="仿宋" w:cs="Times New Roman"/>
          <w:sz w:val="30"/>
          <w:szCs w:val="30"/>
        </w:rPr>
        <w:t>分。</w:t>
      </w:r>
    </w:p>
    <w:p>
      <w:pPr>
        <w:spacing w:line="560" w:lineRule="exact"/>
        <w:ind w:firstLine="562"/>
        <w:rPr>
          <w:rFonts w:ascii="Times New Roman" w:hAnsi="Times New Roman" w:eastAsia="仿宋" w:cs="Times New Roman"/>
          <w:sz w:val="30"/>
          <w:szCs w:val="30"/>
          <w:highlight w:val="none"/>
        </w:rPr>
      </w:pPr>
      <w:r>
        <w:rPr>
          <w:rFonts w:ascii="Times New Roman" w:hAnsi="Times New Roman" w:cs="Times New Roman"/>
          <w:b/>
          <w:bCs/>
          <w:szCs w:val="28"/>
        </w:rPr>
        <w:t>制度执行有效性：</w:t>
      </w:r>
      <w:bookmarkStart w:id="55" w:name="_Hlk67670213"/>
      <w:r>
        <w:rPr>
          <w:rFonts w:ascii="Times New Roman" w:hAnsi="Times New Roman" w:eastAsia="仿宋" w:cs="Times New Roman"/>
          <w:sz w:val="30"/>
          <w:szCs w:val="30"/>
        </w:rPr>
        <w:t>根据现场调研和资料抽查情况，项目严格遵守相关法律法规和相关管理规定，项目调整及支出调整手续完备，整体管理合理有序，项目完成后，及时将会计凭证、固定资产入库单等相关资料分类归档，制度执行有效。</w:t>
      </w:r>
      <w:r>
        <w:rPr>
          <w:rFonts w:ascii="Times New Roman" w:hAnsi="Times New Roman" w:eastAsia="仿宋" w:cs="Times New Roman"/>
          <w:sz w:val="30"/>
          <w:szCs w:val="30"/>
          <w:highlight w:val="none"/>
        </w:rPr>
        <w:t>故制度执行有效性指标得分</w:t>
      </w:r>
      <w:r>
        <w:rPr>
          <w:rFonts w:hint="eastAsia" w:ascii="Times New Roman" w:hAnsi="Times New Roman" w:eastAsia="仿宋" w:cs="Times New Roman"/>
          <w:sz w:val="30"/>
          <w:szCs w:val="30"/>
          <w:highlight w:val="none"/>
        </w:rPr>
        <w:t>3</w:t>
      </w:r>
      <w:r>
        <w:rPr>
          <w:rFonts w:ascii="Times New Roman" w:hAnsi="Times New Roman" w:eastAsia="仿宋" w:cs="Times New Roman"/>
          <w:sz w:val="30"/>
          <w:szCs w:val="30"/>
          <w:highlight w:val="none"/>
        </w:rPr>
        <w:t>分。</w:t>
      </w:r>
    </w:p>
    <w:p>
      <w:pPr>
        <w:spacing w:line="560" w:lineRule="exact"/>
        <w:ind w:firstLine="562"/>
        <w:rPr>
          <w:rFonts w:ascii="Times New Roman" w:hAnsi="Times New Roman" w:cs="Times New Roman"/>
          <w:b/>
          <w:kern w:val="0"/>
          <w:szCs w:val="28"/>
        </w:rPr>
      </w:pPr>
      <w:r>
        <w:rPr>
          <w:rFonts w:hint="eastAsia" w:ascii="Times New Roman" w:hAnsi="Times New Roman" w:cs="Times New Roman"/>
          <w:b/>
          <w:kern w:val="0"/>
          <w:szCs w:val="28"/>
        </w:rPr>
        <w:t>综上，该指标满分</w:t>
      </w:r>
      <w:r>
        <w:rPr>
          <w:rFonts w:ascii="Times New Roman" w:hAnsi="Times New Roman" w:cs="Times New Roman"/>
          <w:b/>
          <w:kern w:val="0"/>
          <w:szCs w:val="28"/>
        </w:rPr>
        <w:t>7</w:t>
      </w:r>
      <w:r>
        <w:rPr>
          <w:rFonts w:hint="eastAsia" w:ascii="Times New Roman" w:hAnsi="Times New Roman" w:cs="Times New Roman"/>
          <w:b/>
          <w:kern w:val="0"/>
          <w:szCs w:val="28"/>
        </w:rPr>
        <w:t>分，得分5分。</w:t>
      </w:r>
    </w:p>
    <w:bookmarkEnd w:id="55"/>
    <w:p>
      <w:pPr>
        <w:pStyle w:val="3"/>
        <w:spacing w:before="0" w:after="0" w:line="560" w:lineRule="exact"/>
        <w:ind w:firstLine="643"/>
        <w:rPr>
          <w:rFonts w:ascii="Times New Roman" w:hAnsi="Times New Roman" w:eastAsia="仿宋"/>
        </w:rPr>
      </w:pPr>
      <w:bookmarkStart w:id="56" w:name="_Toc67911614"/>
      <w:bookmarkStart w:id="57" w:name="_Toc1724"/>
      <w:r>
        <w:rPr>
          <w:rFonts w:hint="eastAsia" w:ascii="Times New Roman" w:hAnsi="Times New Roman" w:eastAsia="仿宋"/>
        </w:rPr>
        <w:t>（三）项目产出情况</w:t>
      </w:r>
      <w:bookmarkEnd w:id="56"/>
      <w:bookmarkEnd w:id="57"/>
    </w:p>
    <w:p>
      <w:pPr>
        <w:spacing w:line="560" w:lineRule="exact"/>
        <w:ind w:firstLine="560"/>
        <w:rPr>
          <w:rFonts w:ascii="Times New Roman" w:hAnsi="Times New Roman" w:cs="Times New Roman"/>
          <w:szCs w:val="28"/>
        </w:rPr>
      </w:pPr>
      <w:r>
        <w:rPr>
          <w:rFonts w:hint="eastAsia" w:ascii="Times New Roman" w:hAnsi="Times New Roman" w:cs="Times New Roman"/>
          <w:szCs w:val="28"/>
        </w:rPr>
        <w:t>项目产出指标由</w:t>
      </w:r>
      <w:r>
        <w:rPr>
          <w:rFonts w:ascii="Times New Roman" w:hAnsi="Times New Roman" w:cs="Times New Roman"/>
          <w:szCs w:val="28"/>
        </w:rPr>
        <w:t>4</w:t>
      </w:r>
      <w:r>
        <w:rPr>
          <w:rFonts w:hint="eastAsia" w:ascii="Times New Roman" w:hAnsi="Times New Roman" w:cs="Times New Roman"/>
          <w:szCs w:val="28"/>
        </w:rPr>
        <w:t>个二级指标和5个三级指标构成，权重为</w:t>
      </w:r>
      <w:r>
        <w:rPr>
          <w:rFonts w:ascii="Times New Roman" w:hAnsi="Times New Roman" w:cs="Times New Roman"/>
          <w:szCs w:val="28"/>
        </w:rPr>
        <w:t>4</w:t>
      </w:r>
      <w:r>
        <w:rPr>
          <w:rFonts w:hint="eastAsia" w:ascii="Times New Roman" w:hAnsi="Times New Roman" w:cs="Times New Roman"/>
          <w:szCs w:val="28"/>
        </w:rPr>
        <w:t>5分，实际得分</w:t>
      </w:r>
      <w:r>
        <w:rPr>
          <w:rFonts w:ascii="Times New Roman" w:hAnsi="Times New Roman" w:cs="Times New Roman"/>
          <w:szCs w:val="28"/>
        </w:rPr>
        <w:t>4</w:t>
      </w:r>
      <w:r>
        <w:rPr>
          <w:rFonts w:hint="eastAsia" w:ascii="Times New Roman" w:hAnsi="Times New Roman" w:cs="Times New Roman"/>
          <w:szCs w:val="28"/>
          <w:lang w:val="en-US" w:eastAsia="zh-CN"/>
        </w:rPr>
        <w:t>4.91</w:t>
      </w:r>
      <w:bookmarkStart w:id="76" w:name="_GoBack"/>
      <w:bookmarkEnd w:id="76"/>
      <w:r>
        <w:rPr>
          <w:rFonts w:hint="eastAsia" w:ascii="Times New Roman" w:hAnsi="Times New Roman" w:cs="Times New Roman"/>
          <w:szCs w:val="28"/>
        </w:rPr>
        <w:t>分。</w:t>
      </w:r>
    </w:p>
    <w:p>
      <w:pPr>
        <w:pStyle w:val="4"/>
        <w:spacing w:before="0" w:after="0" w:line="560" w:lineRule="exact"/>
        <w:ind w:firstLine="643"/>
        <w:rPr>
          <w:rFonts w:ascii="Times New Roman" w:hAnsi="Times New Roman" w:cs="Times New Roman"/>
        </w:rPr>
      </w:pPr>
      <w:bookmarkStart w:id="58" w:name="_Toc10953"/>
      <w:r>
        <w:rPr>
          <w:rFonts w:ascii="Times New Roman" w:hAnsi="Times New Roman" w:cs="Times New Roman"/>
        </w:rPr>
        <w:t>1.</w:t>
      </w:r>
      <w:r>
        <w:rPr>
          <w:rFonts w:hint="eastAsia" w:ascii="Times New Roman" w:hAnsi="Times New Roman" w:cs="Times New Roman"/>
        </w:rPr>
        <w:t>产出数量</w:t>
      </w:r>
      <w:bookmarkEnd w:id="58"/>
    </w:p>
    <w:p>
      <w:pPr>
        <w:spacing w:line="560" w:lineRule="exact"/>
        <w:ind w:firstLine="560"/>
        <w:rPr>
          <w:rFonts w:ascii="Times New Roman" w:hAnsi="Times New Roman" w:cs="Times New Roman"/>
          <w:szCs w:val="28"/>
        </w:rPr>
      </w:pPr>
      <w:bookmarkStart w:id="59" w:name="_Toc18223"/>
      <w:r>
        <w:rPr>
          <w:rFonts w:hint="eastAsia" w:ascii="Times New Roman" w:hAnsi="Times New Roman" w:cs="Times New Roman"/>
          <w:szCs w:val="28"/>
        </w:rPr>
        <w:t>数量指标“购买物资批次”的目标值是</w:t>
      </w:r>
      <w:r>
        <w:rPr>
          <w:rFonts w:ascii="Times New Roman" w:hAnsi="Times New Roman" w:cs="Times New Roman"/>
          <w:szCs w:val="28"/>
        </w:rPr>
        <w:t>15</w:t>
      </w:r>
      <w:r>
        <w:rPr>
          <w:rFonts w:hint="eastAsia" w:ascii="Times New Roman" w:hAnsi="Times New Roman" w:cs="Times New Roman"/>
          <w:szCs w:val="28"/>
        </w:rPr>
        <w:t>次，</w:t>
      </w:r>
      <w:r>
        <w:rPr>
          <w:rFonts w:ascii="Times New Roman" w:hAnsi="Times New Roman" w:cs="Times New Roman"/>
          <w:szCs w:val="28"/>
        </w:rPr>
        <w:t>2023</w:t>
      </w:r>
      <w:r>
        <w:rPr>
          <w:rFonts w:hint="eastAsia" w:ascii="Times New Roman" w:hAnsi="Times New Roman" w:cs="Times New Roman"/>
          <w:szCs w:val="28"/>
        </w:rPr>
        <w:t>年度我单位实际采购</w:t>
      </w:r>
      <w:r>
        <w:rPr>
          <w:rFonts w:ascii="Times New Roman" w:hAnsi="Times New Roman" w:cs="Times New Roman"/>
          <w:szCs w:val="28"/>
        </w:rPr>
        <w:t>15</w:t>
      </w:r>
      <w:r>
        <w:rPr>
          <w:rFonts w:hint="eastAsia" w:ascii="Times New Roman" w:hAnsi="Times New Roman" w:cs="Times New Roman"/>
          <w:szCs w:val="28"/>
        </w:rPr>
        <w:t>次</w:t>
      </w:r>
      <w:bookmarkEnd w:id="59"/>
      <w:r>
        <w:rPr>
          <w:rFonts w:hint="eastAsia" w:ascii="Times New Roman" w:hAnsi="Times New Roman" w:cs="Times New Roman"/>
          <w:szCs w:val="28"/>
        </w:rPr>
        <w:t>。</w:t>
      </w:r>
    </w:p>
    <w:p>
      <w:pPr>
        <w:spacing w:line="560" w:lineRule="exact"/>
        <w:ind w:firstLine="560"/>
        <w:rPr>
          <w:rFonts w:hint="eastAsia" w:ascii="Times New Roman" w:hAnsi="Times New Roman" w:cs="Times New Roman"/>
          <w:bCs/>
          <w:szCs w:val="28"/>
        </w:rPr>
      </w:pPr>
      <w:r>
        <w:rPr>
          <w:rFonts w:hint="eastAsia" w:ascii="Times New Roman" w:hAnsi="Times New Roman" w:cs="Times New Roman"/>
          <w:szCs w:val="28"/>
        </w:rPr>
        <w:t>数量指标“购买突发疫情期间隔离人员物资批次”的目标值是5此，2023年度我单位实际</w:t>
      </w:r>
      <w:r>
        <w:rPr>
          <w:rFonts w:hint="eastAsia" w:ascii="Times New Roman" w:hAnsi="Times New Roman" w:cs="Times New Roman"/>
          <w:bCs/>
          <w:szCs w:val="28"/>
        </w:rPr>
        <w:t>采购5次。</w:t>
      </w:r>
    </w:p>
    <w:p>
      <w:pPr>
        <w:spacing w:line="560" w:lineRule="exact"/>
        <w:ind w:firstLine="562"/>
        <w:rPr>
          <w:rFonts w:ascii="Times New Roman" w:hAnsi="Times New Roman" w:cs="Times New Roman"/>
          <w:szCs w:val="28"/>
        </w:rPr>
      </w:pPr>
      <w:r>
        <w:rPr>
          <w:rFonts w:hint="eastAsia" w:ascii="Times New Roman" w:hAnsi="Times New Roman" w:cs="Times New Roman"/>
          <w:b/>
          <w:bCs/>
          <w:szCs w:val="28"/>
        </w:rPr>
        <w:t>实际完成率：</w:t>
      </w:r>
      <w:r>
        <w:rPr>
          <w:rFonts w:hint="eastAsia" w:ascii="Times New Roman" w:hAnsi="Times New Roman" w:cs="Times New Roman"/>
          <w:szCs w:val="28"/>
        </w:rPr>
        <w:t>100%，故实际完成率得分为20分。</w:t>
      </w:r>
    </w:p>
    <w:p>
      <w:pPr>
        <w:pStyle w:val="4"/>
        <w:spacing w:before="0" w:after="0" w:line="560" w:lineRule="exact"/>
        <w:ind w:firstLine="643"/>
        <w:rPr>
          <w:rFonts w:ascii="Times New Roman" w:hAnsi="Times New Roman" w:cs="Times New Roman"/>
        </w:rPr>
      </w:pPr>
      <w:bookmarkStart w:id="60" w:name="_Toc7461"/>
      <w:r>
        <w:rPr>
          <w:rFonts w:ascii="Times New Roman" w:hAnsi="Times New Roman" w:cs="Times New Roman"/>
        </w:rPr>
        <w:t>2.产出质量</w:t>
      </w:r>
      <w:bookmarkEnd w:id="60"/>
    </w:p>
    <w:p>
      <w:pPr>
        <w:spacing w:line="560" w:lineRule="exact"/>
        <w:ind w:firstLine="562"/>
        <w:rPr>
          <w:rFonts w:hint="default" w:ascii="Times New Roman" w:hAnsi="Times New Roman" w:eastAsia="仿宋" w:cs="Times New Roman"/>
          <w:sz w:val="30"/>
          <w:szCs w:val="30"/>
        </w:rPr>
      </w:pPr>
      <w:r>
        <w:rPr>
          <w:rFonts w:hint="default" w:ascii="Times New Roman" w:hAnsi="Times New Roman" w:cs="Times New Roman"/>
          <w:b/>
          <w:bCs/>
          <w:szCs w:val="28"/>
        </w:rPr>
        <w:t>防疫物资验收合格率：</w:t>
      </w:r>
      <w:r>
        <w:rPr>
          <w:rFonts w:ascii="Times New Roman" w:hAnsi="Times New Roman" w:eastAsia="仿宋" w:cs="Times New Roman"/>
          <w:sz w:val="30"/>
          <w:szCs w:val="30"/>
        </w:rPr>
        <w:t>完成率100%</w:t>
      </w:r>
      <w:r>
        <w:rPr>
          <w:rFonts w:hint="default" w:ascii="Times New Roman" w:hAnsi="Times New Roman" w:eastAsia="仿宋" w:cs="Times New Roman"/>
          <w:sz w:val="30"/>
          <w:szCs w:val="30"/>
        </w:rPr>
        <w:t>。</w:t>
      </w:r>
    </w:p>
    <w:p>
      <w:pPr>
        <w:spacing w:line="560" w:lineRule="exact"/>
        <w:ind w:firstLine="602"/>
        <w:rPr>
          <w:rFonts w:hint="default" w:ascii="Times New Roman" w:hAnsi="Times New Roman" w:eastAsia="仿宋" w:cs="Times New Roman"/>
          <w:sz w:val="30"/>
          <w:szCs w:val="30"/>
        </w:rPr>
      </w:pPr>
      <w:r>
        <w:rPr>
          <w:rFonts w:hint="default" w:ascii="Times New Roman" w:hAnsi="Times New Roman" w:eastAsia="仿宋" w:cs="Times New Roman"/>
          <w:b/>
          <w:sz w:val="30"/>
          <w:szCs w:val="30"/>
        </w:rPr>
        <w:t>政府采购率：</w:t>
      </w:r>
      <w:r>
        <w:rPr>
          <w:rFonts w:ascii="Times New Roman" w:hAnsi="Times New Roman" w:eastAsia="仿宋" w:cs="Times New Roman"/>
          <w:sz w:val="30"/>
          <w:szCs w:val="30"/>
        </w:rPr>
        <w:t>完成率100%</w:t>
      </w:r>
      <w:r>
        <w:rPr>
          <w:rFonts w:hint="default" w:ascii="Times New Roman" w:hAnsi="Times New Roman" w:eastAsia="仿宋" w:cs="Times New Roman"/>
          <w:sz w:val="30"/>
          <w:szCs w:val="30"/>
        </w:rPr>
        <w:t>。</w:t>
      </w:r>
    </w:p>
    <w:p>
      <w:pPr>
        <w:spacing w:line="560" w:lineRule="exact"/>
        <w:ind w:firstLine="560"/>
        <w:rPr>
          <w:rFonts w:ascii="Times New Roman" w:hAnsi="Times New Roman" w:cs="Times New Roman"/>
          <w:szCs w:val="28"/>
        </w:rPr>
      </w:pPr>
      <w:r>
        <w:rPr>
          <w:rFonts w:ascii="Times New Roman" w:hAnsi="Times New Roman" w:cs="Times New Roman"/>
          <w:bCs/>
          <w:szCs w:val="28"/>
        </w:rPr>
        <w:t>质量达标率</w:t>
      </w:r>
      <w:r>
        <w:rPr>
          <w:rFonts w:ascii="Times New Roman" w:hAnsi="Times New Roman" w:eastAsia="仿宋" w:cs="Times New Roman"/>
          <w:sz w:val="30"/>
          <w:szCs w:val="30"/>
        </w:rPr>
        <w:t>得分为10分。</w:t>
      </w:r>
    </w:p>
    <w:p>
      <w:pPr>
        <w:pStyle w:val="4"/>
        <w:spacing w:before="0" w:after="0" w:line="560" w:lineRule="exact"/>
        <w:ind w:firstLine="643"/>
        <w:rPr>
          <w:rFonts w:ascii="Times New Roman" w:hAnsi="Times New Roman" w:cs="Times New Roman"/>
        </w:rPr>
      </w:pPr>
      <w:bookmarkStart w:id="61" w:name="_Toc26358"/>
      <w:r>
        <w:rPr>
          <w:rFonts w:ascii="Times New Roman" w:hAnsi="Times New Roman" w:cs="Times New Roman"/>
        </w:rPr>
        <w:t>3.</w:t>
      </w:r>
      <w:r>
        <w:rPr>
          <w:rFonts w:hint="eastAsia" w:ascii="Times New Roman" w:hAnsi="Times New Roman" w:cs="Times New Roman"/>
        </w:rPr>
        <w:t>产出时效</w:t>
      </w:r>
      <w:bookmarkEnd w:id="61"/>
    </w:p>
    <w:p>
      <w:pPr>
        <w:spacing w:line="560" w:lineRule="exact"/>
        <w:ind w:firstLine="562"/>
        <w:rPr>
          <w:rFonts w:ascii="Times New Roman" w:hAnsi="Times New Roman" w:cs="Times New Roman"/>
          <w:szCs w:val="28"/>
        </w:rPr>
      </w:pPr>
      <w:r>
        <w:rPr>
          <w:rFonts w:hint="eastAsia" w:ascii="Times New Roman" w:hAnsi="Times New Roman" w:cs="Times New Roman"/>
          <w:b/>
          <w:bCs/>
          <w:szCs w:val="28"/>
        </w:rPr>
        <w:t>完成及时性：</w:t>
      </w:r>
      <w:r>
        <w:rPr>
          <w:rFonts w:hint="eastAsia" w:ascii="Times New Roman" w:hAnsi="Times New Roman" w:cs="Times New Roman"/>
          <w:szCs w:val="28"/>
        </w:rPr>
        <w:t>本项目按照年初计划，已在规定的时间（</w:t>
      </w:r>
      <w:r>
        <w:rPr>
          <w:rFonts w:ascii="Times New Roman" w:hAnsi="Times New Roman" w:cs="Times New Roman"/>
          <w:szCs w:val="28"/>
        </w:rPr>
        <w:t>2023</w:t>
      </w:r>
      <w:r>
        <w:rPr>
          <w:rFonts w:hint="eastAsia" w:ascii="Times New Roman" w:hAnsi="Times New Roman" w:cs="Times New Roman"/>
          <w:szCs w:val="28"/>
        </w:rPr>
        <w:t>年</w:t>
      </w:r>
      <w:r>
        <w:rPr>
          <w:rFonts w:ascii="Times New Roman" w:hAnsi="Times New Roman" w:cs="Times New Roman"/>
          <w:szCs w:val="28"/>
        </w:rPr>
        <w:t>1</w:t>
      </w:r>
      <w:r>
        <w:rPr>
          <w:rFonts w:hint="eastAsia" w:ascii="Times New Roman" w:hAnsi="Times New Roman" w:cs="Times New Roman"/>
          <w:szCs w:val="28"/>
        </w:rPr>
        <w:t>月</w:t>
      </w:r>
      <w:r>
        <w:rPr>
          <w:rFonts w:ascii="Times New Roman" w:hAnsi="Times New Roman" w:cs="Times New Roman"/>
          <w:szCs w:val="28"/>
        </w:rPr>
        <w:t>1</w:t>
      </w:r>
      <w:r>
        <w:rPr>
          <w:rFonts w:hint="eastAsia" w:ascii="Times New Roman" w:hAnsi="Times New Roman" w:cs="Times New Roman"/>
          <w:szCs w:val="28"/>
        </w:rPr>
        <w:t>日至</w:t>
      </w:r>
      <w:r>
        <w:rPr>
          <w:rFonts w:ascii="Times New Roman" w:hAnsi="Times New Roman" w:cs="Times New Roman"/>
          <w:szCs w:val="28"/>
        </w:rPr>
        <w:t>2023</w:t>
      </w:r>
      <w:r>
        <w:rPr>
          <w:rFonts w:hint="eastAsia" w:ascii="Times New Roman" w:hAnsi="Times New Roman" w:cs="Times New Roman"/>
          <w:szCs w:val="28"/>
        </w:rPr>
        <w:t>年</w:t>
      </w:r>
      <w:r>
        <w:rPr>
          <w:rFonts w:ascii="Times New Roman" w:hAnsi="Times New Roman" w:cs="Times New Roman"/>
          <w:szCs w:val="28"/>
        </w:rPr>
        <w:t>12</w:t>
      </w:r>
      <w:r>
        <w:rPr>
          <w:rFonts w:hint="eastAsia" w:ascii="Times New Roman" w:hAnsi="Times New Roman" w:cs="Times New Roman"/>
          <w:szCs w:val="28"/>
        </w:rPr>
        <w:t>月</w:t>
      </w:r>
      <w:r>
        <w:rPr>
          <w:rFonts w:ascii="Times New Roman" w:hAnsi="Times New Roman" w:cs="Times New Roman"/>
          <w:szCs w:val="28"/>
        </w:rPr>
        <w:t>31</w:t>
      </w:r>
      <w:r>
        <w:rPr>
          <w:rFonts w:hint="eastAsia" w:ascii="Times New Roman" w:hAnsi="Times New Roman" w:cs="Times New Roman"/>
          <w:szCs w:val="28"/>
        </w:rPr>
        <w:t>日）完成。</w:t>
      </w:r>
    </w:p>
    <w:p>
      <w:pPr>
        <w:spacing w:line="560" w:lineRule="exact"/>
        <w:ind w:firstLine="560"/>
        <w:rPr>
          <w:rFonts w:ascii="Times New Roman" w:hAnsi="Times New Roman" w:cs="Times New Roman"/>
          <w:szCs w:val="28"/>
        </w:rPr>
      </w:pPr>
      <w:r>
        <w:rPr>
          <w:rFonts w:hint="eastAsia" w:ascii="Times New Roman" w:hAnsi="Times New Roman" w:cs="Times New Roman"/>
          <w:szCs w:val="28"/>
        </w:rPr>
        <w:t>项目按时完成率100</w:t>
      </w:r>
      <w:r>
        <w:rPr>
          <w:rFonts w:ascii="Times New Roman" w:hAnsi="Times New Roman" w:cs="Times New Roman"/>
          <w:szCs w:val="28"/>
        </w:rPr>
        <w:t>%</w:t>
      </w:r>
      <w:r>
        <w:rPr>
          <w:rFonts w:hint="eastAsia" w:ascii="Times New Roman" w:hAnsi="Times New Roman" w:cs="Times New Roman"/>
          <w:szCs w:val="28"/>
        </w:rPr>
        <w:t>：故完成及时性得分为5分。</w:t>
      </w:r>
    </w:p>
    <w:p>
      <w:pPr>
        <w:pStyle w:val="4"/>
        <w:spacing w:before="0" w:after="0" w:line="560" w:lineRule="exact"/>
        <w:ind w:firstLine="643"/>
        <w:rPr>
          <w:rFonts w:ascii="Times New Roman" w:hAnsi="Times New Roman" w:cs="Times New Roman"/>
        </w:rPr>
      </w:pPr>
      <w:bookmarkStart w:id="62" w:name="_Toc12681"/>
      <w:r>
        <w:rPr>
          <w:rFonts w:ascii="Times New Roman" w:hAnsi="Times New Roman" w:cs="Times New Roman"/>
        </w:rPr>
        <w:t>4.</w:t>
      </w:r>
      <w:r>
        <w:rPr>
          <w:rFonts w:hint="eastAsia" w:ascii="Times New Roman" w:hAnsi="Times New Roman" w:cs="Times New Roman"/>
        </w:rPr>
        <w:t>产出成本</w:t>
      </w:r>
      <w:bookmarkEnd w:id="62"/>
    </w:p>
    <w:p>
      <w:pPr>
        <w:spacing w:line="560" w:lineRule="exact"/>
        <w:ind w:firstLine="562"/>
        <w:rPr>
          <w:rFonts w:ascii="Times New Roman" w:hAnsi="Times New Roman" w:cs="Times New Roman"/>
          <w:b/>
          <w:bCs/>
          <w:szCs w:val="28"/>
        </w:rPr>
      </w:pPr>
      <w:r>
        <w:rPr>
          <w:rFonts w:hint="eastAsia" w:ascii="Times New Roman" w:hAnsi="Times New Roman" w:cs="Times New Roman"/>
          <w:b/>
          <w:bCs/>
          <w:szCs w:val="28"/>
        </w:rPr>
        <w:t>项目成本节约率：</w:t>
      </w:r>
      <w:r>
        <w:rPr>
          <w:rFonts w:hint="eastAsia" w:ascii="Times New Roman" w:hAnsi="Times New Roman" w:cs="Times New Roman"/>
          <w:bCs/>
          <w:szCs w:val="28"/>
        </w:rPr>
        <w:t>本项目实际支出298.9万元，</w:t>
      </w:r>
      <w:r>
        <w:rPr>
          <w:rFonts w:hint="eastAsia" w:ascii="Times New Roman" w:hAnsi="Times New Roman" w:cs="Times New Roman"/>
          <w:bCs/>
          <w:szCs w:val="28"/>
          <w:lang w:val="en-US" w:eastAsia="zh-CN"/>
        </w:rPr>
        <w:t>预算执行率</w:t>
      </w:r>
      <w:r>
        <w:rPr>
          <w:rFonts w:hint="eastAsia" w:ascii="Times New Roman" w:hAnsi="Times New Roman" w:eastAsia="仿宋" w:cs="Times New Roman"/>
          <w:sz w:val="28"/>
          <w:szCs w:val="28"/>
        </w:rPr>
        <w:t>99.06%</w:t>
      </w:r>
      <w:r>
        <w:rPr>
          <w:rFonts w:hint="eastAsia" w:ascii="Times New Roman" w:hAnsi="Times New Roman" w:cs="Times New Roman"/>
          <w:bCs/>
          <w:szCs w:val="28"/>
        </w:rPr>
        <w:t>，得分为</w:t>
      </w:r>
      <w:r>
        <w:rPr>
          <w:rFonts w:hint="eastAsia" w:ascii="Times New Roman" w:hAnsi="Times New Roman" w:cs="Times New Roman"/>
          <w:bCs/>
          <w:szCs w:val="28"/>
          <w:lang w:val="en-US" w:eastAsia="zh-CN"/>
        </w:rPr>
        <w:t>9.91</w:t>
      </w:r>
      <w:r>
        <w:rPr>
          <w:rFonts w:hint="eastAsia" w:ascii="Times New Roman" w:hAnsi="Times New Roman" w:cs="Times New Roman"/>
          <w:bCs/>
          <w:szCs w:val="28"/>
        </w:rPr>
        <w:t>分。</w:t>
      </w:r>
    </w:p>
    <w:p>
      <w:pPr>
        <w:autoSpaceDE w:val="0"/>
        <w:spacing w:line="560" w:lineRule="exact"/>
        <w:ind w:firstLine="562"/>
        <w:rPr>
          <w:rFonts w:ascii="Times New Roman" w:hAnsi="Times New Roman" w:cs="Times New Roman"/>
          <w:b/>
          <w:kern w:val="0"/>
          <w:szCs w:val="28"/>
        </w:rPr>
      </w:pPr>
      <w:r>
        <w:rPr>
          <w:rFonts w:hint="eastAsia" w:ascii="Times New Roman" w:hAnsi="Times New Roman" w:cs="Times New Roman"/>
          <w:b/>
          <w:kern w:val="0"/>
          <w:szCs w:val="28"/>
        </w:rPr>
        <w:t>综上，该部分指标满分</w:t>
      </w:r>
      <w:r>
        <w:rPr>
          <w:rFonts w:ascii="Times New Roman" w:hAnsi="Times New Roman" w:cs="Times New Roman"/>
          <w:b/>
          <w:kern w:val="0"/>
          <w:szCs w:val="28"/>
        </w:rPr>
        <w:t>4</w:t>
      </w:r>
      <w:r>
        <w:rPr>
          <w:rFonts w:hint="eastAsia" w:ascii="Times New Roman" w:hAnsi="Times New Roman" w:cs="Times New Roman"/>
          <w:b/>
          <w:kern w:val="0"/>
          <w:szCs w:val="28"/>
          <w:lang w:val="en-US" w:eastAsia="zh-CN"/>
        </w:rPr>
        <w:t>5</w:t>
      </w:r>
      <w:r>
        <w:rPr>
          <w:rFonts w:hint="eastAsia" w:ascii="Times New Roman" w:hAnsi="Times New Roman" w:cs="Times New Roman"/>
          <w:b/>
          <w:kern w:val="0"/>
          <w:szCs w:val="28"/>
        </w:rPr>
        <w:t>分，得分</w:t>
      </w:r>
      <w:r>
        <w:rPr>
          <w:rFonts w:hint="eastAsia" w:ascii="Times New Roman" w:hAnsi="Times New Roman" w:cs="Times New Roman"/>
          <w:szCs w:val="28"/>
        </w:rPr>
        <w:t>4</w:t>
      </w:r>
      <w:r>
        <w:rPr>
          <w:rFonts w:hint="eastAsia" w:ascii="Times New Roman" w:hAnsi="Times New Roman" w:cs="Times New Roman"/>
          <w:szCs w:val="28"/>
          <w:lang w:val="en-US" w:eastAsia="zh-CN"/>
        </w:rPr>
        <w:t>4.91</w:t>
      </w:r>
      <w:r>
        <w:rPr>
          <w:rFonts w:hint="eastAsia" w:ascii="Times New Roman" w:hAnsi="Times New Roman" w:cs="Times New Roman"/>
          <w:b/>
          <w:kern w:val="0"/>
          <w:szCs w:val="28"/>
        </w:rPr>
        <w:t>分。</w:t>
      </w:r>
    </w:p>
    <w:p>
      <w:pPr>
        <w:pStyle w:val="3"/>
        <w:spacing w:before="0" w:after="0" w:line="560" w:lineRule="exact"/>
        <w:ind w:firstLine="643"/>
        <w:rPr>
          <w:rFonts w:ascii="Times New Roman" w:hAnsi="Times New Roman" w:eastAsia="仿宋"/>
        </w:rPr>
      </w:pPr>
      <w:bookmarkStart w:id="63" w:name="_Toc31147"/>
      <w:bookmarkStart w:id="64" w:name="_Toc67911615"/>
      <w:r>
        <w:rPr>
          <w:rFonts w:hint="eastAsia" w:ascii="Times New Roman" w:hAnsi="Times New Roman" w:eastAsia="仿宋"/>
        </w:rPr>
        <w:t>（四）项目效益情况</w:t>
      </w:r>
      <w:bookmarkEnd w:id="63"/>
      <w:bookmarkEnd w:id="64"/>
    </w:p>
    <w:p>
      <w:pPr>
        <w:spacing w:line="560" w:lineRule="exact"/>
        <w:ind w:firstLine="560"/>
        <w:rPr>
          <w:rFonts w:ascii="Times New Roman" w:hAnsi="Times New Roman" w:cs="Times New Roman"/>
          <w:szCs w:val="28"/>
        </w:rPr>
      </w:pPr>
      <w:r>
        <w:rPr>
          <w:rFonts w:hint="eastAsia" w:ascii="Times New Roman" w:hAnsi="Times New Roman" w:cs="Times New Roman"/>
          <w:szCs w:val="28"/>
        </w:rPr>
        <w:t>项目效益指标由</w:t>
      </w:r>
      <w:r>
        <w:rPr>
          <w:rFonts w:ascii="Times New Roman" w:hAnsi="Times New Roman" w:cs="Times New Roman"/>
          <w:szCs w:val="28"/>
        </w:rPr>
        <w:t>1</w:t>
      </w:r>
      <w:r>
        <w:rPr>
          <w:rFonts w:hint="eastAsia" w:ascii="Times New Roman" w:hAnsi="Times New Roman" w:cs="Times New Roman"/>
          <w:szCs w:val="28"/>
        </w:rPr>
        <w:t>个二级指标和</w:t>
      </w:r>
      <w:r>
        <w:rPr>
          <w:rFonts w:ascii="Times New Roman" w:hAnsi="Times New Roman" w:cs="Times New Roman"/>
          <w:szCs w:val="28"/>
        </w:rPr>
        <w:t>2</w:t>
      </w:r>
      <w:r>
        <w:rPr>
          <w:rFonts w:hint="eastAsia" w:ascii="Times New Roman" w:hAnsi="Times New Roman" w:cs="Times New Roman"/>
          <w:szCs w:val="28"/>
        </w:rPr>
        <w:t>个三级指标构成，权重为15分，实际得分</w:t>
      </w:r>
      <w:r>
        <w:rPr>
          <w:rFonts w:hint="eastAsia" w:ascii="Times New Roman" w:hAnsi="Times New Roman" w:cs="Times New Roman"/>
          <w:szCs w:val="28"/>
          <w:lang w:val="en-US" w:eastAsia="zh-CN"/>
        </w:rPr>
        <w:t>13.5</w:t>
      </w:r>
      <w:r>
        <w:rPr>
          <w:rFonts w:hint="eastAsia" w:ascii="Times New Roman" w:hAnsi="Times New Roman" w:cs="Times New Roman"/>
          <w:szCs w:val="28"/>
        </w:rPr>
        <w:t>分。</w:t>
      </w:r>
      <w:r>
        <w:rPr>
          <w:rFonts w:ascii="Times New Roman" w:hAnsi="Times New Roman" w:cs="Times New Roman"/>
          <w:szCs w:val="28"/>
        </w:rPr>
        <w:t xml:space="preserve"> </w:t>
      </w:r>
    </w:p>
    <w:p>
      <w:pPr>
        <w:pStyle w:val="4"/>
        <w:spacing w:before="0" w:after="0" w:line="560" w:lineRule="exact"/>
        <w:ind w:firstLine="643"/>
        <w:rPr>
          <w:rFonts w:ascii="Times New Roman" w:hAnsi="Times New Roman" w:cs="Times New Roman"/>
        </w:rPr>
      </w:pPr>
      <w:bookmarkStart w:id="65" w:name="_Toc2534"/>
      <w:r>
        <w:rPr>
          <w:rFonts w:ascii="Times New Roman" w:hAnsi="Times New Roman" w:cs="Times New Roman"/>
        </w:rPr>
        <w:t>1.</w:t>
      </w:r>
      <w:r>
        <w:rPr>
          <w:rFonts w:hint="eastAsia" w:ascii="Times New Roman" w:hAnsi="Times New Roman" w:cs="Times New Roman"/>
        </w:rPr>
        <w:t>项目效益</w:t>
      </w:r>
      <w:bookmarkEnd w:id="65"/>
    </w:p>
    <w:p>
      <w:pPr>
        <w:spacing w:line="560" w:lineRule="exact"/>
        <w:ind w:firstLine="562"/>
        <w:rPr>
          <w:rFonts w:ascii="Times New Roman" w:hAnsi="Times New Roman" w:cs="Times New Roman"/>
          <w:b/>
          <w:bCs/>
          <w:szCs w:val="28"/>
        </w:rPr>
      </w:pPr>
      <w:r>
        <w:rPr>
          <w:rFonts w:hint="eastAsia" w:ascii="Times New Roman" w:hAnsi="Times New Roman" w:cs="Times New Roman"/>
          <w:b/>
          <w:bCs/>
          <w:szCs w:val="28"/>
        </w:rPr>
        <w:t>（</w:t>
      </w:r>
      <w:r>
        <w:rPr>
          <w:rFonts w:ascii="Times New Roman" w:hAnsi="Times New Roman" w:cs="Times New Roman"/>
          <w:b/>
          <w:bCs/>
          <w:szCs w:val="28"/>
        </w:rPr>
        <w:t>1</w:t>
      </w:r>
      <w:r>
        <w:rPr>
          <w:rFonts w:hint="eastAsia" w:ascii="Times New Roman" w:hAnsi="Times New Roman" w:cs="Times New Roman"/>
          <w:b/>
          <w:bCs/>
          <w:szCs w:val="28"/>
        </w:rPr>
        <w:t>）实施效益</w:t>
      </w:r>
    </w:p>
    <w:p>
      <w:pPr>
        <w:spacing w:line="560" w:lineRule="exact"/>
        <w:ind w:firstLine="562"/>
        <w:rPr>
          <w:rFonts w:ascii="Times New Roman" w:hAnsi="Times New Roman" w:cs="Times New Roman"/>
          <w:szCs w:val="28"/>
        </w:rPr>
      </w:pPr>
      <w:r>
        <w:rPr>
          <w:rFonts w:hint="eastAsia" w:ascii="Times New Roman" w:hAnsi="Times New Roman" w:cs="Times New Roman"/>
          <w:b/>
          <w:bCs/>
          <w:szCs w:val="28"/>
        </w:rPr>
        <w:t>经济效益指标：</w:t>
      </w:r>
      <w:r>
        <w:rPr>
          <w:rFonts w:hint="eastAsia" w:ascii="Times New Roman" w:hAnsi="Times New Roman" w:cs="Times New Roman"/>
          <w:szCs w:val="28"/>
        </w:rPr>
        <w:t>不适用。</w:t>
      </w:r>
      <w:r>
        <w:rPr>
          <w:rFonts w:ascii="Times New Roman" w:hAnsi="Times New Roman" w:cs="Times New Roman"/>
          <w:szCs w:val="28"/>
        </w:rPr>
        <w:t xml:space="preserve"> </w:t>
      </w:r>
    </w:p>
    <w:p>
      <w:pPr>
        <w:pStyle w:val="14"/>
        <w:widowControl/>
        <w:spacing w:before="0" w:beforeAutospacing="0" w:after="0" w:afterAutospacing="0" w:line="560" w:lineRule="exact"/>
        <w:ind w:firstLine="562"/>
        <w:jc w:val="both"/>
        <w:rPr>
          <w:rFonts w:ascii="Times New Roman" w:hAnsi="Times New Roman" w:cs="Times New Roman"/>
          <w:color w:val="auto"/>
          <w:kern w:val="2"/>
          <w:sz w:val="28"/>
          <w:szCs w:val="28"/>
        </w:rPr>
      </w:pPr>
      <w:r>
        <w:rPr>
          <w:rFonts w:hint="eastAsia" w:ascii="Times New Roman" w:hAnsi="Times New Roman" w:cs="Times New Roman"/>
          <w:b/>
          <w:bCs/>
          <w:color w:val="auto"/>
          <w:kern w:val="2"/>
          <w:sz w:val="28"/>
          <w:szCs w:val="28"/>
        </w:rPr>
        <w:t>社会效益指标：</w:t>
      </w:r>
      <w:r>
        <w:rPr>
          <w:rFonts w:hint="eastAsia" w:ascii="Times New Roman" w:hAnsi="Times New Roman" w:cs="Times New Roman"/>
          <w:bCs/>
          <w:color w:val="auto"/>
          <w:kern w:val="2"/>
          <w:sz w:val="28"/>
          <w:szCs w:val="28"/>
        </w:rPr>
        <w:t>评价指标保障我县防疫工作的正常有序开展，指标</w:t>
      </w:r>
      <w:r>
        <w:rPr>
          <w:rFonts w:hint="eastAsia" w:ascii="Times New Roman" w:hAnsi="Times New Roman" w:cs="Times New Roman"/>
          <w:color w:val="auto"/>
          <w:kern w:val="2"/>
          <w:sz w:val="28"/>
          <w:szCs w:val="28"/>
        </w:rPr>
        <w:t>值：有所提高，实际完成值：达成年度指标；</w:t>
      </w:r>
      <w:r>
        <w:rPr>
          <w:rFonts w:hint="eastAsia" w:ascii="Times New Roman" w:hAnsi="Times New Roman" w:cs="Times New Roman"/>
          <w:bCs/>
          <w:color w:val="auto"/>
          <w:kern w:val="2"/>
          <w:sz w:val="28"/>
          <w:szCs w:val="28"/>
        </w:rPr>
        <w:t>评价指标</w:t>
      </w:r>
      <w:r>
        <w:rPr>
          <w:rFonts w:hint="eastAsia" w:ascii="Times New Roman" w:hAnsi="Times New Roman" w:cs="Times New Roman"/>
          <w:color w:val="auto"/>
          <w:kern w:val="2"/>
          <w:sz w:val="28"/>
          <w:szCs w:val="28"/>
        </w:rPr>
        <w:t>提升群众卫生防疫意识，</w:t>
      </w:r>
      <w:r>
        <w:rPr>
          <w:rFonts w:hint="eastAsia" w:ascii="Times New Roman" w:hAnsi="Times New Roman" w:cs="Times New Roman"/>
          <w:bCs/>
          <w:color w:val="auto"/>
          <w:kern w:val="2"/>
          <w:sz w:val="28"/>
          <w:szCs w:val="28"/>
        </w:rPr>
        <w:t>指标</w:t>
      </w:r>
      <w:r>
        <w:rPr>
          <w:rFonts w:hint="eastAsia" w:ascii="Times New Roman" w:hAnsi="Times New Roman" w:cs="Times New Roman"/>
          <w:color w:val="auto"/>
          <w:kern w:val="2"/>
          <w:sz w:val="28"/>
          <w:szCs w:val="28"/>
        </w:rPr>
        <w:t>值：有所提高，实际完成值：达成年度指标。本项目的实施</w:t>
      </w:r>
    </w:p>
    <w:p>
      <w:pPr>
        <w:spacing w:line="560" w:lineRule="exact"/>
        <w:ind w:firstLine="562"/>
        <w:rPr>
          <w:rFonts w:ascii="Times New Roman" w:hAnsi="Times New Roman" w:cs="Times New Roman"/>
          <w:szCs w:val="28"/>
        </w:rPr>
      </w:pPr>
      <w:r>
        <w:rPr>
          <w:rFonts w:hint="eastAsia" w:ascii="Times New Roman" w:hAnsi="Times New Roman" w:cs="Times New Roman"/>
          <w:b/>
          <w:bCs/>
          <w:szCs w:val="28"/>
        </w:rPr>
        <w:t>生态效益指标</w:t>
      </w:r>
      <w:r>
        <w:rPr>
          <w:rFonts w:hint="eastAsia" w:ascii="Times New Roman" w:hAnsi="Times New Roman" w:cs="Times New Roman"/>
          <w:szCs w:val="28"/>
        </w:rPr>
        <w:t>：不适用。</w:t>
      </w:r>
    </w:p>
    <w:p>
      <w:pPr>
        <w:autoSpaceDE w:val="0"/>
        <w:spacing w:line="560" w:lineRule="exact"/>
        <w:ind w:firstLine="562"/>
        <w:rPr>
          <w:rFonts w:ascii="Times New Roman" w:hAnsi="Times New Roman" w:cs="Times New Roman"/>
          <w:b/>
          <w:kern w:val="0"/>
          <w:szCs w:val="28"/>
        </w:rPr>
      </w:pPr>
      <w:r>
        <w:rPr>
          <w:rFonts w:hint="eastAsia" w:ascii="Times New Roman" w:hAnsi="Times New Roman" w:cs="Times New Roman"/>
          <w:b/>
          <w:kern w:val="0"/>
          <w:szCs w:val="28"/>
        </w:rPr>
        <w:t>综上，该指标满分</w:t>
      </w:r>
      <w:r>
        <w:rPr>
          <w:rFonts w:ascii="Times New Roman" w:hAnsi="Times New Roman" w:cs="Times New Roman"/>
          <w:b/>
          <w:kern w:val="0"/>
          <w:szCs w:val="28"/>
        </w:rPr>
        <w:t>1</w:t>
      </w:r>
      <w:r>
        <w:rPr>
          <w:rFonts w:hint="eastAsia" w:ascii="Times New Roman" w:hAnsi="Times New Roman" w:cs="Times New Roman"/>
          <w:b/>
          <w:kern w:val="0"/>
          <w:szCs w:val="28"/>
        </w:rPr>
        <w:t>5分，得分</w:t>
      </w:r>
      <w:r>
        <w:rPr>
          <w:rFonts w:hint="eastAsia" w:ascii="Times New Roman" w:hAnsi="Times New Roman" w:cs="Times New Roman"/>
          <w:b/>
          <w:kern w:val="0"/>
          <w:szCs w:val="28"/>
          <w:lang w:val="en-US" w:eastAsia="zh-CN"/>
        </w:rPr>
        <w:t>13.5</w:t>
      </w:r>
      <w:r>
        <w:rPr>
          <w:rFonts w:hint="eastAsia" w:ascii="Times New Roman" w:hAnsi="Times New Roman" w:cs="Times New Roman"/>
          <w:b/>
          <w:kern w:val="0"/>
          <w:szCs w:val="28"/>
        </w:rPr>
        <w:t>分。</w:t>
      </w:r>
    </w:p>
    <w:p>
      <w:pPr>
        <w:pStyle w:val="2"/>
        <w:spacing w:before="0" w:after="0" w:line="560" w:lineRule="exact"/>
        <w:ind w:firstLine="0" w:firstLineChars="0"/>
        <w:jc w:val="left"/>
        <w:rPr>
          <w:rFonts w:ascii="Times New Roman" w:hAnsi="Times New Roman" w:eastAsia="仿宋" w:cs="Times New Roman"/>
          <w:sz w:val="36"/>
          <w:szCs w:val="36"/>
        </w:rPr>
      </w:pPr>
      <w:bookmarkStart w:id="66" w:name="_Toc67911617"/>
      <w:bookmarkStart w:id="67" w:name="_Toc16066"/>
      <w:r>
        <w:rPr>
          <w:rFonts w:hint="eastAsia" w:ascii="Times New Roman" w:hAnsi="Times New Roman" w:eastAsia="仿宋" w:cs="Times New Roman"/>
          <w:sz w:val="36"/>
          <w:szCs w:val="36"/>
        </w:rPr>
        <w:t>五、主要经验及做法、存在的问题及原因分析</w:t>
      </w:r>
      <w:bookmarkEnd w:id="66"/>
      <w:bookmarkEnd w:id="67"/>
    </w:p>
    <w:p>
      <w:pPr>
        <w:pStyle w:val="3"/>
        <w:spacing w:before="0" w:after="0" w:line="560" w:lineRule="exact"/>
        <w:ind w:firstLine="643"/>
        <w:rPr>
          <w:rFonts w:ascii="Times New Roman" w:hAnsi="Times New Roman" w:eastAsia="仿宋"/>
        </w:rPr>
      </w:pPr>
      <w:bookmarkStart w:id="68" w:name="_Toc67911618"/>
      <w:bookmarkStart w:id="69" w:name="_Toc20791"/>
      <w:r>
        <w:rPr>
          <w:rFonts w:hint="eastAsia" w:ascii="Times New Roman" w:hAnsi="Times New Roman" w:eastAsia="仿宋"/>
        </w:rPr>
        <w:t>（一）主要经验及做法</w:t>
      </w:r>
      <w:bookmarkEnd w:id="68"/>
      <w:bookmarkEnd w:id="69"/>
    </w:p>
    <w:p>
      <w:pPr>
        <w:pStyle w:val="3"/>
        <w:spacing w:before="0" w:after="0" w:line="560" w:lineRule="exact"/>
        <w:ind w:firstLine="643"/>
        <w:rPr>
          <w:rFonts w:hint="eastAsia" w:ascii="Times New Roman" w:hAnsi="Times New Roman" w:eastAsia="仿宋_GB2312" w:cs="Times New Roman"/>
          <w:b w:val="0"/>
          <w:bCs/>
          <w:color w:val="auto"/>
          <w:kern w:val="2"/>
          <w:sz w:val="28"/>
          <w:szCs w:val="28"/>
          <w:lang w:val="en-US" w:eastAsia="zh-CN" w:bidi="ar-SA"/>
        </w:rPr>
      </w:pPr>
      <w:bookmarkStart w:id="70" w:name="_Toc8619"/>
      <w:r>
        <w:rPr>
          <w:rFonts w:hint="eastAsia" w:ascii="Times New Roman" w:hAnsi="Times New Roman" w:eastAsia="仿宋_GB2312" w:cs="Times New Roman"/>
          <w:b w:val="0"/>
          <w:bCs/>
          <w:color w:val="auto"/>
          <w:kern w:val="2"/>
          <w:sz w:val="28"/>
          <w:szCs w:val="28"/>
          <w:lang w:val="en-US" w:eastAsia="zh-CN" w:bidi="ar-SA"/>
        </w:rPr>
        <w:t>拓宽采购渠道：积极寻找疆内外供应商，建立稳定的供货渠道，确保疫情物资的充足供应。同时，加强与供应商的沟通协调，及时解决供货过程中出现的问题。严格按照国家和地方标准进行采购，确保疫情物资的质量安全。对采购的物资进行严格检验，杜绝假冒伪劣产品进入市场。</w:t>
      </w:r>
      <w:bookmarkEnd w:id="70"/>
    </w:p>
    <w:p>
      <w:pPr>
        <w:pStyle w:val="3"/>
        <w:spacing w:before="0" w:after="0" w:line="560" w:lineRule="exact"/>
        <w:ind w:firstLine="643"/>
        <w:rPr>
          <w:rFonts w:hint="eastAsia" w:ascii="Times New Roman" w:hAnsi="Times New Roman" w:eastAsia="仿宋"/>
          <w:lang w:val="en-US" w:eastAsia="zh-CN"/>
        </w:rPr>
      </w:pPr>
      <w:bookmarkStart w:id="71" w:name="_Toc2058"/>
      <w:r>
        <w:rPr>
          <w:rFonts w:hint="eastAsia" w:ascii="Times New Roman" w:hAnsi="Times New Roman" w:eastAsia="仿宋"/>
          <w:lang w:val="en-US" w:eastAsia="zh-CN"/>
        </w:rPr>
        <w:t>（二）存在的问题及原因分析</w:t>
      </w:r>
      <w:bookmarkEnd w:id="71"/>
    </w:p>
    <w:p>
      <w:pPr>
        <w:autoSpaceDE w:val="0"/>
        <w:spacing w:line="560" w:lineRule="exact"/>
        <w:ind w:firstLine="560"/>
        <w:rPr>
          <w:rFonts w:ascii="Times New Roman" w:hAnsi="Times New Roman" w:cs="Times New Roman"/>
          <w:szCs w:val="28"/>
        </w:rPr>
      </w:pPr>
      <w:bookmarkStart w:id="72" w:name="_Toc67911620"/>
      <w:bookmarkStart w:id="73" w:name="_Toc67911619"/>
      <w:r>
        <w:rPr>
          <w:rFonts w:ascii="Times New Roman" w:hAnsi="Times New Roman" w:cs="Times New Roman"/>
          <w:szCs w:val="28"/>
        </w:rPr>
        <w:t>1.财政部明确疫情防控期间可以不执行政府采购法规定的方式和程序，但具体按怎样的程序组织实施还缺少相应的制度规定。</w:t>
      </w:r>
    </w:p>
    <w:p>
      <w:pPr>
        <w:spacing w:line="560" w:lineRule="exact"/>
        <w:ind w:firstLine="56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稳定供应渠道难：口罩、防护服、消毒液等防护用品每天都在使用消耗，需要持续采购供应，而在当前供需矛盾十分突出的情况下，供应商的供货难以持续稳定。销售商现货售完后便无货可供，生产企业受到政府部门管控、原材料紧缺等方面因素的影响，也很难稳定供货。同时，受原材料价格上涨、工人工资上涨等因素影响，有的产品市场价格大幅上涨，甚至远远超出了预算。</w:t>
      </w:r>
    </w:p>
    <w:p>
      <w:pPr>
        <w:pStyle w:val="2"/>
        <w:spacing w:before="0" w:after="0" w:line="560" w:lineRule="exact"/>
        <w:ind w:firstLine="0" w:firstLineChars="0"/>
        <w:jc w:val="left"/>
        <w:rPr>
          <w:rFonts w:hint="eastAsia" w:ascii="Times New Roman" w:hAnsi="Times New Roman" w:eastAsia="仿宋" w:cs="Times New Roman"/>
          <w:sz w:val="36"/>
          <w:szCs w:val="36"/>
        </w:rPr>
      </w:pPr>
    </w:p>
    <w:p>
      <w:pPr>
        <w:pStyle w:val="2"/>
        <w:spacing w:before="0" w:after="0" w:line="560" w:lineRule="exact"/>
        <w:ind w:firstLine="0" w:firstLineChars="0"/>
        <w:jc w:val="left"/>
        <w:rPr>
          <w:rFonts w:ascii="Times New Roman" w:hAnsi="Times New Roman" w:eastAsia="仿宋" w:cs="Times New Roman"/>
          <w:sz w:val="36"/>
          <w:szCs w:val="36"/>
        </w:rPr>
      </w:pPr>
      <w:bookmarkStart w:id="74" w:name="_Toc16431"/>
      <w:r>
        <w:rPr>
          <w:rFonts w:hint="eastAsia" w:ascii="Times New Roman" w:hAnsi="Times New Roman" w:eastAsia="仿宋" w:cs="Times New Roman"/>
          <w:sz w:val="36"/>
          <w:szCs w:val="36"/>
        </w:rPr>
        <w:t>六、有关建议</w:t>
      </w:r>
      <w:bookmarkEnd w:id="72"/>
      <w:bookmarkEnd w:id="74"/>
    </w:p>
    <w:p>
      <w:pPr>
        <w:snapToGrid w:val="0"/>
        <w:spacing w:line="560" w:lineRule="exact"/>
        <w:ind w:firstLine="560"/>
        <w:rPr>
          <w:rFonts w:hint="eastAsia" w:ascii="Times New Roman" w:hAnsi="Times New Roman" w:cs="Times New Roman"/>
          <w:kern w:val="0"/>
          <w:szCs w:val="28"/>
        </w:rPr>
      </w:pPr>
      <w:r>
        <w:rPr>
          <w:rFonts w:hint="eastAsia" w:ascii="Times New Roman" w:hAnsi="Times New Roman" w:cs="Times New Roman"/>
          <w:kern w:val="0"/>
          <w:szCs w:val="28"/>
        </w:rPr>
        <w:t>1.</w:t>
      </w:r>
      <w:r>
        <w:rPr>
          <w:rFonts w:hint="eastAsia"/>
        </w:rPr>
        <w:t xml:space="preserve"> 制定疫情物资应急采购预案，明确采购流程、供应商选择标准、合同签订要求等，确保采购工作的合法性、规范性和高效性。</w:t>
      </w:r>
      <w:r>
        <w:rPr>
          <w:rFonts w:hint="eastAsia" w:ascii="Times New Roman" w:hAnsi="Times New Roman" w:cs="Times New Roman"/>
          <w:kern w:val="0"/>
          <w:szCs w:val="28"/>
        </w:rPr>
        <w:t>优化采购流程，简化审批程序，缩短采购周期，提高采购效率。对于紧急需求的疫情物资，开辟绿色通道，确保及时采购到位。</w:t>
      </w:r>
    </w:p>
    <w:p>
      <w:pPr>
        <w:snapToGrid w:val="0"/>
        <w:spacing w:line="560" w:lineRule="exact"/>
        <w:ind w:firstLine="560"/>
        <w:rPr>
          <w:rFonts w:ascii="Times New Roman" w:hAnsi="Times New Roman" w:cs="Times New Roman"/>
          <w:kern w:val="0"/>
          <w:szCs w:val="28"/>
        </w:rPr>
      </w:pPr>
      <w:r>
        <w:rPr>
          <w:rFonts w:hint="eastAsia" w:ascii="Times New Roman" w:hAnsi="Times New Roman" w:cs="Times New Roman"/>
          <w:kern w:val="0"/>
          <w:szCs w:val="28"/>
        </w:rPr>
        <w:t>2.</w:t>
      </w:r>
      <w:r>
        <w:rPr>
          <w:rFonts w:hint="eastAsia"/>
        </w:rPr>
        <w:t xml:space="preserve"> </w:t>
      </w:r>
      <w:r>
        <w:rPr>
          <w:rFonts w:hint="eastAsia" w:ascii="Times New Roman" w:hAnsi="Times New Roman" w:cs="Times New Roman"/>
          <w:kern w:val="0"/>
          <w:szCs w:val="28"/>
        </w:rPr>
        <w:t>拓宽采购渠道：积极寻找疆内外供应商，建立稳定的供货渠道，确保疫情物资的充足供应。同时，加强与供应商的沟通协调，及时解决供货过程中出现的问题。</w:t>
      </w:r>
    </w:p>
    <w:p>
      <w:pPr>
        <w:spacing w:line="540" w:lineRule="exact"/>
        <w:ind w:firstLine="624"/>
        <w:rPr>
          <w:spacing w:val="-4"/>
          <w:sz w:val="32"/>
          <w:szCs w:val="32"/>
        </w:rPr>
      </w:pPr>
    </w:p>
    <w:p>
      <w:pPr>
        <w:pStyle w:val="2"/>
        <w:spacing w:before="0" w:after="0" w:line="560" w:lineRule="exact"/>
        <w:ind w:firstLine="0" w:firstLineChars="0"/>
        <w:jc w:val="left"/>
        <w:rPr>
          <w:rFonts w:ascii="Times New Roman" w:hAnsi="Times New Roman" w:eastAsia="仿宋" w:cs="Times New Roman"/>
          <w:sz w:val="36"/>
          <w:szCs w:val="36"/>
        </w:rPr>
      </w:pPr>
      <w:bookmarkStart w:id="75" w:name="_Toc16041"/>
      <w:r>
        <w:rPr>
          <w:rFonts w:hint="eastAsia" w:ascii="Times New Roman" w:hAnsi="Times New Roman" w:eastAsia="仿宋" w:cs="Times New Roman"/>
          <w:sz w:val="36"/>
          <w:szCs w:val="36"/>
        </w:rPr>
        <w:t>七、其他需要说明的问题</w:t>
      </w:r>
      <w:bookmarkEnd w:id="73"/>
      <w:bookmarkEnd w:id="75"/>
    </w:p>
    <w:p>
      <w:pPr>
        <w:spacing w:line="560" w:lineRule="exact"/>
        <w:ind w:firstLine="560"/>
        <w:rPr>
          <w:rFonts w:ascii="Times New Roman" w:hAnsi="Times New Roman" w:cs="Times New Roman"/>
          <w:szCs w:val="28"/>
        </w:rPr>
      </w:pPr>
      <w:r>
        <w:rPr>
          <w:rFonts w:ascii="Times New Roman" w:hAnsi="Times New Roman" w:cs="Times New Roman"/>
          <w:szCs w:val="28"/>
        </w:rPr>
        <w:t>1.</w:t>
      </w:r>
      <w:r>
        <w:rPr>
          <w:rFonts w:hint="eastAsia" w:ascii="Times New Roman" w:hAnsi="Times New Roman" w:cs="Times New Roman"/>
          <w:szCs w:val="28"/>
        </w:rPr>
        <w:t>项目支出政策和路径设计科学，符合实际需要；</w:t>
      </w:r>
    </w:p>
    <w:p>
      <w:pPr>
        <w:spacing w:line="560" w:lineRule="exact"/>
        <w:ind w:firstLine="560"/>
        <w:rPr>
          <w:rFonts w:ascii="Times New Roman" w:hAnsi="Times New Roman" w:cs="Times New Roman"/>
          <w:szCs w:val="28"/>
        </w:rPr>
      </w:pPr>
      <w:r>
        <w:rPr>
          <w:rFonts w:ascii="Times New Roman" w:hAnsi="Times New Roman" w:cs="Times New Roman"/>
          <w:szCs w:val="28"/>
        </w:rPr>
        <w:t>2.</w:t>
      </w:r>
      <w:r>
        <w:rPr>
          <w:rFonts w:hint="eastAsia" w:ascii="Times New Roman" w:hAnsi="Times New Roman" w:cs="Times New Roman"/>
          <w:szCs w:val="28"/>
        </w:rPr>
        <w:t>项目安排准确，未发现背离项目立项初衷的情况；</w:t>
      </w:r>
    </w:p>
    <w:p>
      <w:pPr>
        <w:spacing w:line="560" w:lineRule="exact"/>
        <w:ind w:firstLine="560"/>
        <w:rPr>
          <w:rFonts w:ascii="Times New Roman" w:hAnsi="Times New Roman" w:cs="Times New Roman"/>
          <w:szCs w:val="28"/>
        </w:rPr>
      </w:pPr>
      <w:r>
        <w:rPr>
          <w:rFonts w:ascii="Times New Roman" w:hAnsi="Times New Roman" w:cs="Times New Roman"/>
          <w:szCs w:val="28"/>
        </w:rPr>
        <w:t>3.</w:t>
      </w:r>
      <w:r>
        <w:rPr>
          <w:rFonts w:hint="eastAsia" w:ascii="Times New Roman" w:hAnsi="Times New Roman" w:cs="Times New Roman"/>
          <w:szCs w:val="28"/>
        </w:rPr>
        <w:t>项目的申报、审核机制完善；</w:t>
      </w:r>
    </w:p>
    <w:p>
      <w:pPr>
        <w:spacing w:line="560" w:lineRule="exact"/>
        <w:ind w:firstLine="560"/>
        <w:rPr>
          <w:rFonts w:ascii="Times New Roman" w:hAnsi="Times New Roman" w:cs="Times New Roman"/>
          <w:szCs w:val="28"/>
        </w:rPr>
      </w:pPr>
      <w:r>
        <w:rPr>
          <w:rFonts w:ascii="Times New Roman" w:hAnsi="Times New Roman" w:cs="Times New Roman"/>
          <w:szCs w:val="28"/>
        </w:rPr>
        <w:t>4.</w:t>
      </w:r>
      <w:r>
        <w:rPr>
          <w:rFonts w:hint="eastAsia" w:ascii="Times New Roman" w:hAnsi="Times New Roman" w:cs="Times New Roman"/>
          <w:szCs w:val="28"/>
        </w:rPr>
        <w:t>未发现虚假行为和骗取财政资金的问题。</w:t>
      </w:r>
    </w:p>
    <w:p>
      <w:pPr>
        <w:spacing w:line="360" w:lineRule="auto"/>
        <w:ind w:firstLine="560"/>
        <w:rPr>
          <w:rFonts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_GB2312" w:eastAsia="仿宋_GB2312"/>
        <w:sz w:val="21"/>
        <w:szCs w:val="21"/>
      </w:rPr>
    </w:pPr>
    <w:r>
      <w:rPr>
        <w:rFonts w:ascii="Times New Roman" w:hAnsi="Times New Roman" w:eastAsia="仿宋_GB2312"/>
        <w:sz w:val="21"/>
        <w:szCs w:val="21"/>
      </w:rPr>
      <w:fldChar w:fldCharType="begin"/>
    </w:r>
    <w:r>
      <w:rPr>
        <w:rFonts w:ascii="Times New Roman" w:hAnsi="Times New Roman" w:eastAsia="仿宋_GB2312"/>
        <w:sz w:val="21"/>
        <w:szCs w:val="21"/>
      </w:rPr>
      <w:instrText xml:space="preserve">PAGE   \* MERGEFORMAT</w:instrText>
    </w:r>
    <w:r>
      <w:rPr>
        <w:rFonts w:ascii="Times New Roman" w:hAnsi="Times New Roman" w:eastAsia="仿宋_GB2312"/>
        <w:sz w:val="21"/>
        <w:szCs w:val="21"/>
      </w:rPr>
      <w:fldChar w:fldCharType="separate"/>
    </w:r>
    <w:r>
      <w:rPr>
        <w:rFonts w:ascii="Times New Roman" w:hAnsi="Times New Roman" w:eastAsia="仿宋_GB2312"/>
        <w:sz w:val="21"/>
        <w:szCs w:val="21"/>
        <w:lang w:val="zh-CN"/>
      </w:rPr>
      <w:t>4</w:t>
    </w:r>
    <w:r>
      <w:rPr>
        <w:rFonts w:ascii="Times New Roman" w:hAnsi="Times New Roman" w:eastAsia="仿宋_GB2312"/>
        <w:sz w:val="21"/>
        <w:szCs w:val="21"/>
      </w:rPr>
      <w:fldChar w:fldCharType="end"/>
    </w:r>
  </w:p>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Times New Roman" w:hAnsi="Times New Roman" w:eastAsia="仿宋_GB2312"/>
        <w:sz w:val="21"/>
        <w:szCs w:val="21"/>
      </w:rPr>
    </w:pPr>
    <w:r>
      <w:rPr>
        <w:rFonts w:ascii="Times New Roman" w:hAnsi="Times New Roman" w:eastAsia="仿宋_GB2312"/>
        <w:sz w:val="21"/>
        <w:szCs w:val="21"/>
      </w:rPr>
      <w:fldChar w:fldCharType="begin"/>
    </w:r>
    <w:r>
      <w:rPr>
        <w:rFonts w:ascii="Times New Roman" w:hAnsi="Times New Roman" w:eastAsia="仿宋_GB2312"/>
        <w:sz w:val="21"/>
        <w:szCs w:val="21"/>
      </w:rPr>
      <w:instrText xml:space="preserve">PAGE   \* MERGEFORMAT</w:instrText>
    </w:r>
    <w:r>
      <w:rPr>
        <w:rFonts w:ascii="Times New Roman" w:hAnsi="Times New Roman" w:eastAsia="仿宋_GB2312"/>
        <w:sz w:val="21"/>
        <w:szCs w:val="21"/>
      </w:rPr>
      <w:fldChar w:fldCharType="separate"/>
    </w:r>
    <w:r>
      <w:rPr>
        <w:rFonts w:ascii="Times New Roman" w:hAnsi="Times New Roman" w:eastAsia="仿宋_GB2312"/>
        <w:sz w:val="21"/>
        <w:szCs w:val="21"/>
        <w:lang w:val="zh-CN"/>
      </w:rPr>
      <w:t>11</w:t>
    </w:r>
    <w:r>
      <w:rPr>
        <w:rFonts w:ascii="Times New Roman" w:hAnsi="Times New Roman" w:eastAsia="仿宋_GB2312"/>
        <w:sz w:val="21"/>
        <w:szCs w:val="21"/>
      </w:rPr>
      <w:fldChar w:fldCharType="end"/>
    </w:r>
  </w:p>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2"/>
        <w:ind w:firstLine="0" w:firstLineChars="0"/>
        <w:jc w:val="both"/>
      </w:pPr>
      <w:r>
        <w:rPr>
          <w:rStyle w:val="22"/>
          <w:rFonts w:ascii="仿宋_GB2312" w:cs="黑体"/>
        </w:rPr>
        <w:footnoteRef/>
      </w:r>
      <w:r>
        <w:rPr>
          <w:rFonts w:ascii="仿宋_GB2312"/>
        </w:rPr>
        <w:t xml:space="preserve"> </w:t>
      </w:r>
      <w:r>
        <w:rPr>
          <w:rFonts w:hint="eastAsia" w:ascii="仿宋_GB231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noLineBreaksAfter w:lang="zh-CN" w:val="$([{£¥·‘“〈《「『【〔〖〝﹙﹛﹝＄（．［｛￡￥"/>
  <w:noLineBreaksBefore w:lang="zh-CN" w:val="!%),.:;&gt;?]}¢¨°·ˇˉ―‖’”…‰′″›℃∶、。〃〉》」』】〕〗〞︶︺︾﹀﹄﹚﹜﹞！＂％＇），．：；？］｀｜｝～￠"/>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Q4M2U5YzNlYWRkMTkxMzhlZDc3MDcyOTZjODBhOTYifQ=="/>
  </w:docVars>
  <w:rsids>
    <w:rsidRoot w:val="00A43A0A"/>
    <w:rsid w:val="00031A7F"/>
    <w:rsid w:val="00042151"/>
    <w:rsid w:val="000438A0"/>
    <w:rsid w:val="0007002C"/>
    <w:rsid w:val="00071C0F"/>
    <w:rsid w:val="00084362"/>
    <w:rsid w:val="00086724"/>
    <w:rsid w:val="00086751"/>
    <w:rsid w:val="000A2B58"/>
    <w:rsid w:val="000A43E8"/>
    <w:rsid w:val="000B520E"/>
    <w:rsid w:val="000B6FA0"/>
    <w:rsid w:val="000C22A1"/>
    <w:rsid w:val="000C720A"/>
    <w:rsid w:val="000C77D3"/>
    <w:rsid w:val="000D465B"/>
    <w:rsid w:val="000E1EB5"/>
    <w:rsid w:val="000F5DE3"/>
    <w:rsid w:val="00111969"/>
    <w:rsid w:val="001140EA"/>
    <w:rsid w:val="001435FF"/>
    <w:rsid w:val="00147D9F"/>
    <w:rsid w:val="001544E6"/>
    <w:rsid w:val="001645EB"/>
    <w:rsid w:val="001703B8"/>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55C8"/>
    <w:rsid w:val="002B7C09"/>
    <w:rsid w:val="002C4E40"/>
    <w:rsid w:val="002E1E67"/>
    <w:rsid w:val="002E608B"/>
    <w:rsid w:val="00302E15"/>
    <w:rsid w:val="0032183D"/>
    <w:rsid w:val="0032329D"/>
    <w:rsid w:val="00332C71"/>
    <w:rsid w:val="00333EA5"/>
    <w:rsid w:val="00340CED"/>
    <w:rsid w:val="00343485"/>
    <w:rsid w:val="00350839"/>
    <w:rsid w:val="00355E6B"/>
    <w:rsid w:val="003766AB"/>
    <w:rsid w:val="00377BA7"/>
    <w:rsid w:val="003C24DB"/>
    <w:rsid w:val="003C4BD9"/>
    <w:rsid w:val="003D611E"/>
    <w:rsid w:val="003D74DE"/>
    <w:rsid w:val="003E6725"/>
    <w:rsid w:val="004011A0"/>
    <w:rsid w:val="00404C10"/>
    <w:rsid w:val="004249EE"/>
    <w:rsid w:val="00425C1F"/>
    <w:rsid w:val="00437C39"/>
    <w:rsid w:val="00450FA4"/>
    <w:rsid w:val="00453D4B"/>
    <w:rsid w:val="004920D2"/>
    <w:rsid w:val="004925F6"/>
    <w:rsid w:val="004950E1"/>
    <w:rsid w:val="004957B3"/>
    <w:rsid w:val="004A06CA"/>
    <w:rsid w:val="004B12BE"/>
    <w:rsid w:val="004B5A40"/>
    <w:rsid w:val="004D4759"/>
    <w:rsid w:val="004E0DF3"/>
    <w:rsid w:val="004F17C9"/>
    <w:rsid w:val="004F25EB"/>
    <w:rsid w:val="004F66E9"/>
    <w:rsid w:val="00502EC2"/>
    <w:rsid w:val="005345BF"/>
    <w:rsid w:val="00534DD6"/>
    <w:rsid w:val="00540BD2"/>
    <w:rsid w:val="005417D4"/>
    <w:rsid w:val="0054442E"/>
    <w:rsid w:val="00553F30"/>
    <w:rsid w:val="00563798"/>
    <w:rsid w:val="00566083"/>
    <w:rsid w:val="0056794C"/>
    <w:rsid w:val="005764CD"/>
    <w:rsid w:val="005779FD"/>
    <w:rsid w:val="0058379D"/>
    <w:rsid w:val="0058762E"/>
    <w:rsid w:val="00592653"/>
    <w:rsid w:val="00593474"/>
    <w:rsid w:val="005A12D0"/>
    <w:rsid w:val="005A2254"/>
    <w:rsid w:val="005A2953"/>
    <w:rsid w:val="005A5ABF"/>
    <w:rsid w:val="005A5E3B"/>
    <w:rsid w:val="005A76A5"/>
    <w:rsid w:val="005B7A28"/>
    <w:rsid w:val="005C20E4"/>
    <w:rsid w:val="005D02D3"/>
    <w:rsid w:val="005D2F48"/>
    <w:rsid w:val="005D4D5B"/>
    <w:rsid w:val="005E2098"/>
    <w:rsid w:val="005F226E"/>
    <w:rsid w:val="005F273F"/>
    <w:rsid w:val="005F3A17"/>
    <w:rsid w:val="006001EB"/>
    <w:rsid w:val="00604BA5"/>
    <w:rsid w:val="00607D5B"/>
    <w:rsid w:val="00611B95"/>
    <w:rsid w:val="006134D0"/>
    <w:rsid w:val="00614CEC"/>
    <w:rsid w:val="00627F97"/>
    <w:rsid w:val="00640AF4"/>
    <w:rsid w:val="0065079B"/>
    <w:rsid w:val="00656DB7"/>
    <w:rsid w:val="00662C67"/>
    <w:rsid w:val="006B60FE"/>
    <w:rsid w:val="006C40AE"/>
    <w:rsid w:val="006E6431"/>
    <w:rsid w:val="006F3315"/>
    <w:rsid w:val="007027A1"/>
    <w:rsid w:val="00705854"/>
    <w:rsid w:val="00722A72"/>
    <w:rsid w:val="00723E5C"/>
    <w:rsid w:val="0073210F"/>
    <w:rsid w:val="00733402"/>
    <w:rsid w:val="0073417E"/>
    <w:rsid w:val="00743F96"/>
    <w:rsid w:val="007508D6"/>
    <w:rsid w:val="0076734C"/>
    <w:rsid w:val="0078063A"/>
    <w:rsid w:val="00783118"/>
    <w:rsid w:val="00794639"/>
    <w:rsid w:val="007A772C"/>
    <w:rsid w:val="007C3F63"/>
    <w:rsid w:val="007E3E59"/>
    <w:rsid w:val="007F185A"/>
    <w:rsid w:val="007F6051"/>
    <w:rsid w:val="007F6745"/>
    <w:rsid w:val="007F77F3"/>
    <w:rsid w:val="0081129A"/>
    <w:rsid w:val="008123C5"/>
    <w:rsid w:val="0081503B"/>
    <w:rsid w:val="00831695"/>
    <w:rsid w:val="008327EB"/>
    <w:rsid w:val="00835535"/>
    <w:rsid w:val="00845BE2"/>
    <w:rsid w:val="00863F65"/>
    <w:rsid w:val="00866FB0"/>
    <w:rsid w:val="008775B9"/>
    <w:rsid w:val="00884C5F"/>
    <w:rsid w:val="00894E2C"/>
    <w:rsid w:val="00896CB3"/>
    <w:rsid w:val="008A3394"/>
    <w:rsid w:val="008A476A"/>
    <w:rsid w:val="008B3BD6"/>
    <w:rsid w:val="008C4803"/>
    <w:rsid w:val="008D3FFC"/>
    <w:rsid w:val="008D6D96"/>
    <w:rsid w:val="009068E0"/>
    <w:rsid w:val="00907B15"/>
    <w:rsid w:val="00917C57"/>
    <w:rsid w:val="009214DF"/>
    <w:rsid w:val="00923604"/>
    <w:rsid w:val="009258BD"/>
    <w:rsid w:val="00933961"/>
    <w:rsid w:val="00941624"/>
    <w:rsid w:val="009546FE"/>
    <w:rsid w:val="0095473C"/>
    <w:rsid w:val="00954936"/>
    <w:rsid w:val="00963948"/>
    <w:rsid w:val="00981879"/>
    <w:rsid w:val="0098656D"/>
    <w:rsid w:val="00995079"/>
    <w:rsid w:val="00996B5B"/>
    <w:rsid w:val="009A33B6"/>
    <w:rsid w:val="009B50FE"/>
    <w:rsid w:val="009D32B6"/>
    <w:rsid w:val="009D3A4F"/>
    <w:rsid w:val="009D4C5C"/>
    <w:rsid w:val="009F031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D57AD"/>
    <w:rsid w:val="00AE1DCD"/>
    <w:rsid w:val="00AE6C31"/>
    <w:rsid w:val="00AF6D19"/>
    <w:rsid w:val="00B22F6F"/>
    <w:rsid w:val="00B364BB"/>
    <w:rsid w:val="00B4167E"/>
    <w:rsid w:val="00B56B1B"/>
    <w:rsid w:val="00B570A9"/>
    <w:rsid w:val="00B72218"/>
    <w:rsid w:val="00B743DD"/>
    <w:rsid w:val="00B90BA4"/>
    <w:rsid w:val="00B928FF"/>
    <w:rsid w:val="00B962E0"/>
    <w:rsid w:val="00BA053C"/>
    <w:rsid w:val="00BA0A35"/>
    <w:rsid w:val="00BA10B1"/>
    <w:rsid w:val="00BA13B7"/>
    <w:rsid w:val="00BA65B8"/>
    <w:rsid w:val="00BA76B5"/>
    <w:rsid w:val="00BC5C63"/>
    <w:rsid w:val="00BD263E"/>
    <w:rsid w:val="00BF1766"/>
    <w:rsid w:val="00C00DA2"/>
    <w:rsid w:val="00C10C79"/>
    <w:rsid w:val="00C20C51"/>
    <w:rsid w:val="00C251EC"/>
    <w:rsid w:val="00C409B9"/>
    <w:rsid w:val="00C42FCA"/>
    <w:rsid w:val="00C634EC"/>
    <w:rsid w:val="00C66545"/>
    <w:rsid w:val="00C8191C"/>
    <w:rsid w:val="00C927D9"/>
    <w:rsid w:val="00CA74C5"/>
    <w:rsid w:val="00CB3DFC"/>
    <w:rsid w:val="00CB6D38"/>
    <w:rsid w:val="00CD0380"/>
    <w:rsid w:val="00CE6337"/>
    <w:rsid w:val="00CF640C"/>
    <w:rsid w:val="00D04E2D"/>
    <w:rsid w:val="00D152B1"/>
    <w:rsid w:val="00D23DCB"/>
    <w:rsid w:val="00D3320C"/>
    <w:rsid w:val="00D435A3"/>
    <w:rsid w:val="00D4562E"/>
    <w:rsid w:val="00D61388"/>
    <w:rsid w:val="00D61463"/>
    <w:rsid w:val="00D67847"/>
    <w:rsid w:val="00D82B16"/>
    <w:rsid w:val="00D84293"/>
    <w:rsid w:val="00D9228E"/>
    <w:rsid w:val="00DA4BA7"/>
    <w:rsid w:val="00DB316E"/>
    <w:rsid w:val="00DC1EA8"/>
    <w:rsid w:val="00DD54BF"/>
    <w:rsid w:val="00DE1689"/>
    <w:rsid w:val="00DE3A5F"/>
    <w:rsid w:val="00DF643F"/>
    <w:rsid w:val="00E00B28"/>
    <w:rsid w:val="00E014DB"/>
    <w:rsid w:val="00E04EC2"/>
    <w:rsid w:val="00E14FE5"/>
    <w:rsid w:val="00E24ACA"/>
    <w:rsid w:val="00E25F33"/>
    <w:rsid w:val="00E26770"/>
    <w:rsid w:val="00E30B1D"/>
    <w:rsid w:val="00E526C7"/>
    <w:rsid w:val="00E67459"/>
    <w:rsid w:val="00E73F9C"/>
    <w:rsid w:val="00E75E83"/>
    <w:rsid w:val="00EA63EF"/>
    <w:rsid w:val="00EA7E72"/>
    <w:rsid w:val="00EB0442"/>
    <w:rsid w:val="00EB47C5"/>
    <w:rsid w:val="00EC5F03"/>
    <w:rsid w:val="00ED7D9F"/>
    <w:rsid w:val="00EE20A2"/>
    <w:rsid w:val="00EF3B51"/>
    <w:rsid w:val="00F06D23"/>
    <w:rsid w:val="00F36E98"/>
    <w:rsid w:val="00F52C6D"/>
    <w:rsid w:val="00F55451"/>
    <w:rsid w:val="00F73710"/>
    <w:rsid w:val="00F872E7"/>
    <w:rsid w:val="00FA4373"/>
    <w:rsid w:val="00FB09C6"/>
    <w:rsid w:val="00FB2BBD"/>
    <w:rsid w:val="00FC0A1D"/>
    <w:rsid w:val="00FD7A36"/>
    <w:rsid w:val="00FD7C5F"/>
    <w:rsid w:val="00FE193C"/>
    <w:rsid w:val="00FE34E1"/>
    <w:rsid w:val="00FE7DCA"/>
    <w:rsid w:val="00FF0452"/>
    <w:rsid w:val="054315EA"/>
    <w:rsid w:val="1546095D"/>
    <w:rsid w:val="1EEB11AF"/>
    <w:rsid w:val="256E6613"/>
    <w:rsid w:val="2B7E0FE5"/>
    <w:rsid w:val="30296927"/>
    <w:rsid w:val="31F745C9"/>
    <w:rsid w:val="34293286"/>
    <w:rsid w:val="3BB57B15"/>
    <w:rsid w:val="48D847C0"/>
    <w:rsid w:val="527108B2"/>
    <w:rsid w:val="55D310BC"/>
    <w:rsid w:val="59F76DDC"/>
    <w:rsid w:val="5C7D2A85"/>
    <w:rsid w:val="5CB048FD"/>
    <w:rsid w:val="5F93650B"/>
    <w:rsid w:val="61310598"/>
    <w:rsid w:val="6DCF55D8"/>
    <w:rsid w:val="6ECD726F"/>
    <w:rsid w:val="7F6254C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nhideWhenUsed="0"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3"/>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24"/>
    <w:qFormat/>
    <w:uiPriority w:val="99"/>
    <w:pPr>
      <w:keepNext/>
      <w:keepLines/>
      <w:spacing w:before="260" w:after="260" w:line="416" w:lineRule="auto"/>
      <w:outlineLvl w:val="1"/>
    </w:pPr>
    <w:rPr>
      <w:rFonts w:ascii="等线 Light" w:hAnsi="等线 Light" w:eastAsia="等线 Light" w:cs="Times New Roman"/>
      <w:b/>
      <w:bCs/>
      <w:sz w:val="32"/>
      <w:szCs w:val="32"/>
    </w:rPr>
  </w:style>
  <w:style w:type="paragraph" w:styleId="4">
    <w:name w:val="heading 3"/>
    <w:basedOn w:val="1"/>
    <w:next w:val="1"/>
    <w:link w:val="25"/>
    <w:qFormat/>
    <w:uiPriority w:val="9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6"/>
    <w:qFormat/>
    <w:uiPriority w:val="99"/>
    <w:pPr>
      <w:jc w:val="left"/>
    </w:pPr>
  </w:style>
  <w:style w:type="paragraph" w:styleId="6">
    <w:name w:val="toc 3"/>
    <w:basedOn w:val="1"/>
    <w:next w:val="1"/>
    <w:qFormat/>
    <w:uiPriority w:val="39"/>
    <w:pPr>
      <w:ind w:left="840" w:leftChars="400"/>
    </w:pPr>
  </w:style>
  <w:style w:type="paragraph" w:styleId="7">
    <w:name w:val="Date"/>
    <w:basedOn w:val="1"/>
    <w:next w:val="1"/>
    <w:link w:val="27"/>
    <w:semiHidden/>
    <w:qFormat/>
    <w:uiPriority w:val="99"/>
    <w:pPr>
      <w:ind w:left="100" w:leftChars="2500"/>
    </w:pPr>
  </w:style>
  <w:style w:type="paragraph" w:styleId="8">
    <w:name w:val="Balloon Text"/>
    <w:basedOn w:val="1"/>
    <w:link w:val="28"/>
    <w:semiHidden/>
    <w:qFormat/>
    <w:uiPriority w:val="99"/>
    <w:rPr>
      <w:sz w:val="18"/>
      <w:szCs w:val="18"/>
    </w:rPr>
  </w:style>
  <w:style w:type="paragraph" w:styleId="9">
    <w:name w:val="footer"/>
    <w:basedOn w:val="1"/>
    <w:link w:val="29"/>
    <w:uiPriority w:val="99"/>
    <w:pPr>
      <w:tabs>
        <w:tab w:val="center" w:pos="4153"/>
        <w:tab w:val="right" w:pos="8306"/>
      </w:tabs>
      <w:snapToGrid w:val="0"/>
      <w:ind w:firstLine="0" w:firstLineChars="0"/>
      <w:jc w:val="left"/>
    </w:pPr>
    <w:rPr>
      <w:rFonts w:ascii="等线" w:hAnsi="等线" w:eastAsia="等线" w:cs="Times New Roman"/>
      <w:sz w:val="18"/>
      <w:szCs w:val="18"/>
    </w:rPr>
  </w:style>
  <w:style w:type="paragraph" w:styleId="10">
    <w:name w:val="header"/>
    <w:basedOn w:val="1"/>
    <w:link w:val="30"/>
    <w:qFormat/>
    <w:uiPriority w:val="99"/>
    <w:pPr>
      <w:pBdr>
        <w:bottom w:val="single" w:color="auto" w:sz="6" w:space="1"/>
      </w:pBdr>
      <w:tabs>
        <w:tab w:val="center" w:pos="4153"/>
        <w:tab w:val="right" w:pos="8306"/>
      </w:tabs>
      <w:snapToGrid w:val="0"/>
      <w:ind w:firstLine="0" w:firstLineChars="0"/>
      <w:jc w:val="center"/>
    </w:pPr>
    <w:rPr>
      <w:rFonts w:ascii="等线" w:hAnsi="等线" w:eastAsia="等线" w:cs="Times New Roman"/>
      <w:sz w:val="18"/>
      <w:szCs w:val="18"/>
    </w:rPr>
  </w:style>
  <w:style w:type="paragraph" w:styleId="11">
    <w:name w:val="toc 1"/>
    <w:basedOn w:val="1"/>
    <w:next w:val="1"/>
    <w:uiPriority w:val="39"/>
  </w:style>
  <w:style w:type="paragraph" w:styleId="12">
    <w:name w:val="footnote text"/>
    <w:basedOn w:val="1"/>
    <w:link w:val="31"/>
    <w:semiHidden/>
    <w:qFormat/>
    <w:uiPriority w:val="99"/>
    <w:pPr>
      <w:snapToGrid w:val="0"/>
      <w:jc w:val="left"/>
    </w:pPr>
    <w:rPr>
      <w:sz w:val="18"/>
      <w:szCs w:val="18"/>
    </w:rPr>
  </w:style>
  <w:style w:type="paragraph" w:styleId="13">
    <w:name w:val="toc 2"/>
    <w:basedOn w:val="1"/>
    <w:next w:val="1"/>
    <w:qFormat/>
    <w:uiPriority w:val="39"/>
    <w:pPr>
      <w:ind w:left="420" w:leftChars="200"/>
    </w:pPr>
  </w:style>
  <w:style w:type="paragraph" w:styleId="14">
    <w:name w:val="Normal (Web)"/>
    <w:basedOn w:val="1"/>
    <w:qFormat/>
    <w:uiPriority w:val="99"/>
    <w:pPr>
      <w:spacing w:before="100" w:beforeAutospacing="1" w:after="100" w:afterAutospacing="1"/>
      <w:jc w:val="left"/>
    </w:pPr>
    <w:rPr>
      <w:color w:val="000000"/>
      <w:kern w:val="0"/>
      <w:sz w:val="24"/>
    </w:rPr>
  </w:style>
  <w:style w:type="paragraph" w:styleId="15">
    <w:name w:val="annotation subject"/>
    <w:basedOn w:val="5"/>
    <w:next w:val="5"/>
    <w:link w:val="32"/>
    <w:semiHidden/>
    <w:uiPriority w:val="99"/>
    <w:rPr>
      <w:b/>
      <w:bCs/>
    </w:rPr>
  </w:style>
  <w:style w:type="table" w:styleId="17">
    <w:name w:val="Table Grid"/>
    <w:basedOn w:val="1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locked/>
    <w:uiPriority w:val="99"/>
    <w:rPr>
      <w:rFonts w:cs="Times New Roman"/>
      <w:b/>
      <w:bCs/>
    </w:rPr>
  </w:style>
  <w:style w:type="character" w:styleId="20">
    <w:name w:val="Hyperlink"/>
    <w:basedOn w:val="18"/>
    <w:uiPriority w:val="99"/>
    <w:rPr>
      <w:rFonts w:cs="Times New Roman"/>
      <w:color w:val="0563C1"/>
      <w:u w:val="single"/>
    </w:rPr>
  </w:style>
  <w:style w:type="character" w:styleId="21">
    <w:name w:val="annotation reference"/>
    <w:basedOn w:val="18"/>
    <w:semiHidden/>
    <w:qFormat/>
    <w:uiPriority w:val="99"/>
    <w:rPr>
      <w:rFonts w:cs="Times New Roman"/>
      <w:sz w:val="21"/>
      <w:szCs w:val="21"/>
    </w:rPr>
  </w:style>
  <w:style w:type="character" w:styleId="22">
    <w:name w:val="footnote reference"/>
    <w:basedOn w:val="18"/>
    <w:semiHidden/>
    <w:uiPriority w:val="99"/>
    <w:rPr>
      <w:rFonts w:cs="Times New Roman"/>
      <w:vertAlign w:val="superscript"/>
    </w:rPr>
  </w:style>
  <w:style w:type="character" w:customStyle="1" w:styleId="23">
    <w:name w:val="标题 1 Char"/>
    <w:basedOn w:val="18"/>
    <w:link w:val="2"/>
    <w:locked/>
    <w:uiPriority w:val="99"/>
    <w:rPr>
      <w:rFonts w:ascii="Calibri" w:hAnsi="Calibri" w:eastAsia="仿宋_GB2312" w:cs="黑体"/>
      <w:b/>
      <w:bCs/>
      <w:kern w:val="44"/>
      <w:sz w:val="44"/>
      <w:szCs w:val="44"/>
    </w:rPr>
  </w:style>
  <w:style w:type="character" w:customStyle="1" w:styleId="24">
    <w:name w:val="标题 2 Char"/>
    <w:basedOn w:val="18"/>
    <w:link w:val="3"/>
    <w:qFormat/>
    <w:locked/>
    <w:uiPriority w:val="99"/>
    <w:rPr>
      <w:rFonts w:ascii="等线 Light" w:hAnsi="等线 Light" w:eastAsia="等线 Light" w:cs="Times New Roman"/>
      <w:b/>
      <w:bCs/>
      <w:sz w:val="32"/>
      <w:szCs w:val="32"/>
    </w:rPr>
  </w:style>
  <w:style w:type="character" w:customStyle="1" w:styleId="25">
    <w:name w:val="标题 3 Char"/>
    <w:basedOn w:val="18"/>
    <w:link w:val="4"/>
    <w:qFormat/>
    <w:locked/>
    <w:uiPriority w:val="99"/>
    <w:rPr>
      <w:rFonts w:ascii="Calibri" w:hAnsi="Calibri" w:eastAsia="仿宋_GB2312" w:cs="黑体"/>
      <w:b/>
      <w:bCs/>
      <w:sz w:val="32"/>
      <w:szCs w:val="32"/>
    </w:rPr>
  </w:style>
  <w:style w:type="character" w:customStyle="1" w:styleId="26">
    <w:name w:val="批注文字 Char"/>
    <w:basedOn w:val="18"/>
    <w:link w:val="5"/>
    <w:qFormat/>
    <w:locked/>
    <w:uiPriority w:val="99"/>
    <w:rPr>
      <w:rFonts w:ascii="Calibri" w:hAnsi="Calibri" w:eastAsia="仿宋_GB2312" w:cs="黑体"/>
      <w:sz w:val="28"/>
    </w:rPr>
  </w:style>
  <w:style w:type="character" w:customStyle="1" w:styleId="27">
    <w:name w:val="日期 Char"/>
    <w:basedOn w:val="18"/>
    <w:link w:val="7"/>
    <w:semiHidden/>
    <w:locked/>
    <w:uiPriority w:val="99"/>
    <w:rPr>
      <w:rFonts w:ascii="Calibri" w:hAnsi="Calibri" w:eastAsia="仿宋_GB2312" w:cs="黑体"/>
      <w:sz w:val="28"/>
    </w:rPr>
  </w:style>
  <w:style w:type="character" w:customStyle="1" w:styleId="28">
    <w:name w:val="批注框文本 Char"/>
    <w:basedOn w:val="18"/>
    <w:link w:val="8"/>
    <w:semiHidden/>
    <w:qFormat/>
    <w:locked/>
    <w:uiPriority w:val="99"/>
    <w:rPr>
      <w:rFonts w:ascii="Calibri" w:hAnsi="Calibri" w:eastAsia="仿宋_GB2312" w:cs="黑体"/>
      <w:sz w:val="18"/>
      <w:szCs w:val="18"/>
    </w:rPr>
  </w:style>
  <w:style w:type="character" w:customStyle="1" w:styleId="29">
    <w:name w:val="页脚 Char"/>
    <w:basedOn w:val="18"/>
    <w:link w:val="9"/>
    <w:qFormat/>
    <w:locked/>
    <w:uiPriority w:val="99"/>
    <w:rPr>
      <w:rFonts w:cs="Times New Roman"/>
      <w:sz w:val="18"/>
      <w:szCs w:val="18"/>
    </w:rPr>
  </w:style>
  <w:style w:type="character" w:customStyle="1" w:styleId="30">
    <w:name w:val="页眉 Char"/>
    <w:basedOn w:val="18"/>
    <w:link w:val="10"/>
    <w:qFormat/>
    <w:locked/>
    <w:uiPriority w:val="99"/>
    <w:rPr>
      <w:rFonts w:cs="Times New Roman"/>
      <w:sz w:val="18"/>
      <w:szCs w:val="18"/>
    </w:rPr>
  </w:style>
  <w:style w:type="character" w:customStyle="1" w:styleId="31">
    <w:name w:val="脚注文本 Char"/>
    <w:basedOn w:val="18"/>
    <w:link w:val="12"/>
    <w:semiHidden/>
    <w:qFormat/>
    <w:locked/>
    <w:uiPriority w:val="99"/>
    <w:rPr>
      <w:rFonts w:ascii="Calibri" w:hAnsi="Calibri" w:eastAsia="仿宋_GB2312" w:cs="黑体"/>
      <w:sz w:val="18"/>
      <w:szCs w:val="18"/>
    </w:rPr>
  </w:style>
  <w:style w:type="character" w:customStyle="1" w:styleId="32">
    <w:name w:val="批注主题 Char"/>
    <w:basedOn w:val="26"/>
    <w:link w:val="15"/>
    <w:semiHidden/>
    <w:qFormat/>
    <w:locked/>
    <w:uiPriority w:val="99"/>
    <w:rPr>
      <w:rFonts w:ascii="Calibri" w:hAnsi="Calibri" w:eastAsia="仿宋_GB2312" w:cs="黑体"/>
      <w:b/>
      <w:bCs/>
      <w:sz w:val="28"/>
    </w:rPr>
  </w:style>
  <w:style w:type="paragraph" w:styleId="33">
    <w:name w:val="List Paragraph"/>
    <w:basedOn w:val="1"/>
    <w:qFormat/>
    <w:uiPriority w:val="99"/>
    <w:pPr>
      <w:ind w:firstLine="420"/>
    </w:pPr>
  </w:style>
  <w:style w:type="table" w:customStyle="1" w:styleId="34">
    <w:name w:val="网格型1"/>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5">
    <w:name w:val="TOC Heading1"/>
    <w:basedOn w:val="2"/>
    <w:next w:val="1"/>
    <w:uiPriority w:val="99"/>
    <w:pPr>
      <w:widowControl/>
      <w:spacing w:before="240" w:after="0" w:line="259" w:lineRule="auto"/>
      <w:ind w:firstLine="0" w:firstLineChars="0"/>
      <w:jc w:val="left"/>
      <w:outlineLvl w:val="9"/>
    </w:pPr>
    <w:rPr>
      <w:rFonts w:ascii="等线 Light" w:hAnsi="等线 Light" w:eastAsia="等线 Light" w:cs="Times New Roman"/>
      <w:b w:val="0"/>
      <w:bCs w:val="0"/>
      <w:color w:val="2F5496"/>
      <w:kern w:val="0"/>
      <w:sz w:val="32"/>
      <w:szCs w:val="32"/>
    </w:rPr>
  </w:style>
  <w:style w:type="paragraph" w:customStyle="1" w:styleId="36">
    <w:name w:val="闻政-正文段落文字"/>
    <w:basedOn w:val="1"/>
    <w:uiPriority w:val="99"/>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10507</Words>
  <Characters>11104</Characters>
  <Lines>98</Lines>
  <Paragraphs>27</Paragraphs>
  <TotalTime>1</TotalTime>
  <ScaleCrop>false</ScaleCrop>
  <LinksUpToDate>false</LinksUpToDate>
  <CharactersWithSpaces>11167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2023-04-11T02:57:00Z</cp:lastPrinted>
  <dcterms:modified xsi:type="dcterms:W3CDTF">2024-06-06T03:07:27Z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F3DD1D5557CB495A9A242D699674AB82_12</vt:lpwstr>
  </property>
</Properties>
</file>