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left="280" w:leftChars="100" w:firstLine="1091" w:firstLineChars="341"/>
        <w:jc w:val="left"/>
        <w:rPr>
          <w:rFonts w:hint="default"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val="en-US" w:eastAsia="zh-CN" w:bidi="en-US"/>
        </w:rPr>
        <w:t>项目名称：</w:t>
      </w:r>
      <w:r>
        <w:rPr>
          <w:rFonts w:hint="eastAsia" w:ascii="Times New Roman" w:hAnsi="Times New Roman" w:cs="Times New Roman"/>
          <w:kern w:val="0"/>
          <w:sz w:val="32"/>
          <w:szCs w:val="32"/>
          <w:lang w:val="en-US" w:eastAsia="zh-CN" w:bidi="en-US"/>
        </w:rPr>
        <w:t>乌财教科【2021】96号文关于提前下达2022年城乡义务教育项目直达资金校舍安全保障机制经费--消防水池</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乌鲁木齐县小渠子中学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left="280" w:leftChars="100" w:firstLine="1091" w:firstLineChars="341"/>
        <w:jc w:val="left"/>
        <w:rPr>
          <w:rFonts w:hint="default" w:ascii="Times New Roman" w:hAnsi="Times New Roman" w:cs="Times New Roman"/>
          <w:kern w:val="0"/>
          <w:sz w:val="32"/>
          <w:szCs w:val="32"/>
          <w:lang w:bidi="en-US"/>
        </w:rPr>
      </w:pP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w:t>
      </w:r>
      <w:r>
        <w:rPr>
          <w:rFonts w:hint="eastAsia" w:ascii="Times New Roman" w:hAnsi="Times New Roman" w:cs="Times New Roman"/>
          <w:kern w:val="0"/>
          <w:sz w:val="32"/>
          <w:szCs w:val="32"/>
          <w:lang w:val="en-US" w:eastAsia="zh-CN" w:bidi="en-US"/>
        </w:rPr>
        <w:t>4</w:t>
      </w:r>
      <w:r>
        <w:rPr>
          <w:rFonts w:hint="default" w:ascii="Times New Roman" w:hAnsi="Times New Roman" w:cs="Times New Roman"/>
          <w:kern w:val="0"/>
          <w:sz w:val="32"/>
          <w:szCs w:val="32"/>
          <w:lang w:bidi="en-US"/>
        </w:rPr>
        <w:t>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tabs>
          <w:tab w:val="left" w:pos="3324"/>
        </w:tabs>
        <w:spacing w:line="480" w:lineRule="auto"/>
        <w:ind w:firstLine="0" w:firstLineChars="0"/>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tabs>
              <w:tab w:val="left" w:pos="3324"/>
            </w:tabs>
            <w:spacing w:line="480" w:lineRule="auto"/>
            <w:ind w:firstLine="0" w:firstLineChars="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3"/>
            <w:tabs>
              <w:tab w:val="right" w:leader="dot" w:pos="8306"/>
            </w:tabs>
          </w:pPr>
          <w:bookmarkStart w:id="70" w:name="_GoBack"/>
          <w:bookmarkEnd w:id="70"/>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_Toc15142 </w:instrText>
          </w:r>
          <w:r>
            <w:rPr>
              <w:rFonts w:hint="default" w:ascii="Times New Roman" w:hAnsi="Times New Roman" w:cs="Times New Roman"/>
            </w:rPr>
            <w:fldChar w:fldCharType="separate"/>
          </w:r>
          <w:r>
            <w:rPr>
              <w:rFonts w:hint="default"/>
            </w:rPr>
            <w:t>一、基本情况</w:t>
          </w:r>
          <w:r>
            <w:tab/>
          </w:r>
          <w:r>
            <w:fldChar w:fldCharType="begin"/>
          </w:r>
          <w:r>
            <w:instrText xml:space="preserve"> PAGEREF _Toc15142 \h </w:instrText>
          </w:r>
          <w:r>
            <w:fldChar w:fldCharType="separate"/>
          </w:r>
          <w:r>
            <w:t>1</w:t>
          </w:r>
          <w:r>
            <w:fldChar w:fldCharType="end"/>
          </w:r>
          <w:r>
            <w:rPr>
              <w:rFonts w:hint="default" w:ascii="Times New Roman" w:hAnsi="Times New Roman" w:cs="Times New Roma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_Toc32610 </w:instrText>
          </w:r>
          <w:r>
            <w:rPr>
              <w:rFonts w:hint="default" w:ascii="Times New Roman" w:hAnsi="Times New Roman" w:cs="Times New Roman"/>
              <w:bCs/>
              <w:lang w:val="zh-CN"/>
            </w:rPr>
            <w:fldChar w:fldCharType="separate"/>
          </w:r>
          <w:r>
            <w:rPr>
              <w:rFonts w:hint="default"/>
            </w:rPr>
            <w:t>（一）项目概</w:t>
          </w:r>
          <w:r>
            <w:rPr>
              <w:rFonts w:hint="eastAsia"/>
              <w:lang w:val="en-US" w:eastAsia="zh-CN"/>
            </w:rPr>
            <w:t>况：</w:t>
          </w:r>
          <w:r>
            <w:tab/>
          </w:r>
          <w:r>
            <w:fldChar w:fldCharType="begin"/>
          </w:r>
          <w:r>
            <w:instrText xml:space="preserve"> PAGEREF _Toc32610 \h </w:instrText>
          </w:r>
          <w:r>
            <w:fldChar w:fldCharType="separate"/>
          </w:r>
          <w:r>
            <w:t>1</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_Toc15406 </w:instrText>
          </w:r>
          <w:r>
            <w:rPr>
              <w:rFonts w:hint="default" w:ascii="Times New Roman" w:hAnsi="Times New Roman" w:cs="Times New Roman"/>
              <w:bCs/>
              <w:lang w:val="zh-CN"/>
            </w:rPr>
            <w:fldChar w:fldCharType="separate"/>
          </w:r>
          <w:r>
            <w:rPr>
              <w:rFonts w:hint="default"/>
            </w:rPr>
            <w:t>1</w:t>
          </w:r>
          <w:r>
            <w:rPr>
              <w:rFonts w:hint="eastAsia"/>
              <w:lang w:eastAsia="zh-CN"/>
            </w:rPr>
            <w:t>.</w:t>
          </w:r>
          <w:r>
            <w:rPr>
              <w:rFonts w:hint="default"/>
            </w:rPr>
            <w:t>项目背景、主要内容及实施情况</w:t>
          </w:r>
          <w:r>
            <w:tab/>
          </w:r>
          <w:r>
            <w:fldChar w:fldCharType="begin"/>
          </w:r>
          <w:r>
            <w:instrText xml:space="preserve"> PAGEREF _Toc15406 \h </w:instrText>
          </w:r>
          <w:r>
            <w:fldChar w:fldCharType="separate"/>
          </w:r>
          <w:r>
            <w:t>1</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_Toc23611 </w:instrText>
          </w:r>
          <w:r>
            <w:rPr>
              <w:rFonts w:hint="default" w:ascii="Times New Roman" w:hAnsi="Times New Roman" w:cs="Times New Roman"/>
              <w:bCs/>
              <w:lang w:val="zh-CN"/>
            </w:rPr>
            <w:fldChar w:fldCharType="separate"/>
          </w:r>
          <w:r>
            <w:rPr>
              <w:rFonts w:hint="default"/>
            </w:rPr>
            <w:t>2.资金投入和使用情况</w:t>
          </w:r>
          <w:r>
            <w:tab/>
          </w:r>
          <w:r>
            <w:fldChar w:fldCharType="begin"/>
          </w:r>
          <w:r>
            <w:instrText xml:space="preserve"> PAGEREF _Toc23611 \h </w:instrText>
          </w:r>
          <w:r>
            <w:fldChar w:fldCharType="separate"/>
          </w:r>
          <w:r>
            <w:t>2</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_Toc24565 </w:instrText>
          </w:r>
          <w:r>
            <w:rPr>
              <w:rFonts w:hint="default" w:ascii="Times New Roman" w:hAnsi="Times New Roman" w:cs="Times New Roman"/>
              <w:bCs/>
              <w:lang w:val="zh-CN"/>
            </w:rPr>
            <w:fldChar w:fldCharType="separate"/>
          </w:r>
          <w:r>
            <w:rPr>
              <w:rFonts w:hint="default"/>
            </w:rPr>
            <w:t>（二）项目绩效目</w:t>
          </w:r>
          <w:r>
            <w:rPr>
              <w:rFonts w:hint="eastAsia"/>
              <w:lang w:val="en-US" w:eastAsia="zh-CN"/>
            </w:rPr>
            <w:t>标：</w:t>
          </w:r>
          <w:r>
            <w:tab/>
          </w:r>
          <w:r>
            <w:fldChar w:fldCharType="begin"/>
          </w:r>
          <w:r>
            <w:instrText xml:space="preserve"> PAGEREF _Toc24565 \h </w:instrText>
          </w:r>
          <w:r>
            <w:fldChar w:fldCharType="separate"/>
          </w:r>
          <w:r>
            <w:t>3</w:t>
          </w:r>
          <w:r>
            <w:fldChar w:fldCharType="end"/>
          </w:r>
          <w:r>
            <w:rPr>
              <w:rFonts w:hint="default" w:ascii="Times New Roman" w:hAnsi="Times New Roman" w:cs="Times New Roman"/>
              <w:bCs/>
              <w:lang w:val="zh-CN"/>
            </w:rPr>
            <w:fldChar w:fldCharType="end"/>
          </w:r>
        </w:p>
        <w:p>
          <w:pPr>
            <w:pStyle w:val="13"/>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_Toc13206 </w:instrText>
          </w:r>
          <w:r>
            <w:rPr>
              <w:rFonts w:hint="default" w:ascii="Times New Roman" w:hAnsi="Times New Roman" w:cs="Times New Roman"/>
              <w:bCs/>
              <w:lang w:val="zh-CN"/>
            </w:rPr>
            <w:fldChar w:fldCharType="separate"/>
          </w:r>
          <w:r>
            <w:rPr>
              <w:rFonts w:hint="default"/>
            </w:rPr>
            <w:t>二、绩效评价工作开展情况</w:t>
          </w:r>
          <w:r>
            <w:tab/>
          </w:r>
          <w:r>
            <w:fldChar w:fldCharType="begin"/>
          </w:r>
          <w:r>
            <w:instrText xml:space="preserve"> PAGEREF _Toc13206 \h </w:instrText>
          </w:r>
          <w:r>
            <w:fldChar w:fldCharType="separate"/>
          </w:r>
          <w:r>
            <w:t>4</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_Toc15604 </w:instrText>
          </w:r>
          <w:r>
            <w:rPr>
              <w:rFonts w:hint="default" w:ascii="Times New Roman" w:hAnsi="Times New Roman" w:cs="Times New Roman"/>
              <w:bCs/>
              <w:lang w:val="zh-CN"/>
            </w:rPr>
            <w:fldChar w:fldCharType="separate"/>
          </w:r>
          <w:r>
            <w:rPr>
              <w:rFonts w:hint="default"/>
            </w:rPr>
            <w:t>（一）绩效评价目的、对象和</w:t>
          </w:r>
          <w:r>
            <w:rPr>
              <w:rFonts w:hint="eastAsia"/>
              <w:lang w:val="en-US" w:eastAsia="zh-CN"/>
            </w:rPr>
            <w:t>范围</w:t>
          </w:r>
          <w:r>
            <w:tab/>
          </w:r>
          <w:r>
            <w:fldChar w:fldCharType="begin"/>
          </w:r>
          <w:r>
            <w:instrText xml:space="preserve"> PAGEREF _Toc15604 \h </w:instrText>
          </w:r>
          <w:r>
            <w:fldChar w:fldCharType="separate"/>
          </w:r>
          <w:r>
            <w:t>4</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_Toc29197 </w:instrText>
          </w:r>
          <w:r>
            <w:rPr>
              <w:rFonts w:hint="default" w:ascii="Times New Roman" w:hAnsi="Times New Roman" w:cs="Times New Roman"/>
              <w:bCs/>
              <w:lang w:val="zh-CN"/>
            </w:rPr>
            <w:fldChar w:fldCharType="separate"/>
          </w:r>
          <w:r>
            <w:rPr>
              <w:rFonts w:hint="default"/>
            </w:rPr>
            <w:t>1.绩效评价完整性</w:t>
          </w:r>
          <w:r>
            <w:tab/>
          </w:r>
          <w:r>
            <w:fldChar w:fldCharType="begin"/>
          </w:r>
          <w:r>
            <w:instrText xml:space="preserve"> PAGEREF _Toc29197 \h </w:instrText>
          </w:r>
          <w:r>
            <w:fldChar w:fldCharType="separate"/>
          </w:r>
          <w:r>
            <w:t>4</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_Toc1366 </w:instrText>
          </w:r>
          <w:r>
            <w:rPr>
              <w:rFonts w:hint="default" w:ascii="Times New Roman" w:hAnsi="Times New Roman" w:cs="Times New Roman"/>
              <w:bCs/>
              <w:lang w:val="zh-CN"/>
            </w:rPr>
            <w:fldChar w:fldCharType="separate"/>
          </w:r>
          <w:r>
            <w:rPr>
              <w:rFonts w:hint="default"/>
            </w:rPr>
            <w:t>2.评价目的</w:t>
          </w:r>
          <w:r>
            <w:tab/>
          </w:r>
          <w:r>
            <w:fldChar w:fldCharType="begin"/>
          </w:r>
          <w:r>
            <w:instrText xml:space="preserve"> PAGEREF _Toc1366 \h </w:instrText>
          </w:r>
          <w:r>
            <w:fldChar w:fldCharType="separate"/>
          </w:r>
          <w:r>
            <w:t>4</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_Toc300 </w:instrText>
          </w:r>
          <w:r>
            <w:rPr>
              <w:rFonts w:hint="default" w:ascii="Times New Roman" w:hAnsi="Times New Roman" w:cs="Times New Roman"/>
              <w:bCs/>
              <w:lang w:val="zh-CN"/>
            </w:rPr>
            <w:fldChar w:fldCharType="separate"/>
          </w:r>
          <w:r>
            <w:rPr>
              <w:rFonts w:hint="default"/>
            </w:rPr>
            <w:t>3.评价对象</w:t>
          </w:r>
          <w:r>
            <w:tab/>
          </w:r>
          <w:r>
            <w:fldChar w:fldCharType="begin"/>
          </w:r>
          <w:r>
            <w:instrText xml:space="preserve"> PAGEREF _Toc300 \h </w:instrText>
          </w:r>
          <w:r>
            <w:fldChar w:fldCharType="separate"/>
          </w:r>
          <w:r>
            <w:t>5</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_Toc17477 </w:instrText>
          </w:r>
          <w:r>
            <w:rPr>
              <w:rFonts w:hint="default" w:ascii="Times New Roman" w:hAnsi="Times New Roman" w:cs="Times New Roman"/>
              <w:bCs/>
              <w:lang w:val="zh-CN"/>
            </w:rPr>
            <w:fldChar w:fldCharType="separate"/>
          </w:r>
          <w:r>
            <w:rPr>
              <w:rFonts w:hint="default"/>
            </w:rPr>
            <w:t>4.绩效评价范围</w:t>
          </w:r>
          <w:r>
            <w:tab/>
          </w:r>
          <w:r>
            <w:fldChar w:fldCharType="begin"/>
          </w:r>
          <w:r>
            <w:instrText xml:space="preserve"> PAGEREF _Toc17477 \h </w:instrText>
          </w:r>
          <w:r>
            <w:fldChar w:fldCharType="separate"/>
          </w:r>
          <w:r>
            <w:t>5</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_Toc4126 </w:instrText>
          </w:r>
          <w:r>
            <w:rPr>
              <w:rFonts w:hint="default" w:ascii="Times New Roman" w:hAnsi="Times New Roman" w:cs="Times New Roman"/>
              <w:bCs/>
              <w:lang w:val="zh-CN"/>
            </w:rPr>
            <w:fldChar w:fldCharType="separate"/>
          </w:r>
          <w:r>
            <w:rPr>
              <w:rFonts w:hint="default"/>
            </w:rPr>
            <w:t>（二）绩效评价原则、指标体系、方法及</w:t>
          </w:r>
          <w:r>
            <w:rPr>
              <w:rFonts w:hint="eastAsia"/>
              <w:lang w:val="en-US" w:eastAsia="zh-CN"/>
            </w:rPr>
            <w:t>标准：</w:t>
          </w:r>
          <w:r>
            <w:tab/>
          </w:r>
          <w:r>
            <w:fldChar w:fldCharType="begin"/>
          </w:r>
          <w:r>
            <w:instrText xml:space="preserve"> PAGEREF _Toc4126 \h </w:instrText>
          </w:r>
          <w:r>
            <w:fldChar w:fldCharType="separate"/>
          </w:r>
          <w:r>
            <w:t>6</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_Toc601 </w:instrText>
          </w:r>
          <w:r>
            <w:rPr>
              <w:rFonts w:hint="default" w:ascii="Times New Roman" w:hAnsi="Times New Roman" w:cs="Times New Roman"/>
              <w:bCs/>
              <w:lang w:val="zh-CN"/>
            </w:rPr>
            <w:fldChar w:fldCharType="separate"/>
          </w:r>
          <w:r>
            <w:rPr>
              <w:rFonts w:hint="default"/>
            </w:rPr>
            <w:t>1.评价</w:t>
          </w:r>
          <w:r>
            <w:rPr>
              <w:rFonts w:hint="eastAsia"/>
              <w:lang w:val="en-US" w:eastAsia="zh-CN"/>
            </w:rPr>
            <w:t>原则：</w:t>
          </w:r>
          <w:r>
            <w:tab/>
          </w:r>
          <w:r>
            <w:fldChar w:fldCharType="begin"/>
          </w:r>
          <w:r>
            <w:instrText xml:space="preserve"> PAGEREF _Toc601 \h </w:instrText>
          </w:r>
          <w:r>
            <w:fldChar w:fldCharType="separate"/>
          </w:r>
          <w:r>
            <w:t>6</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_Toc10950 </w:instrText>
          </w:r>
          <w:r>
            <w:rPr>
              <w:rFonts w:hint="default" w:ascii="Times New Roman" w:hAnsi="Times New Roman" w:cs="Times New Roman"/>
              <w:bCs/>
              <w:lang w:val="zh-CN"/>
            </w:rPr>
            <w:fldChar w:fldCharType="separate"/>
          </w:r>
          <w:r>
            <w:rPr>
              <w:rFonts w:hint="default"/>
            </w:rPr>
            <w:t>2.评价指标体系</w:t>
          </w:r>
          <w:r>
            <w:tab/>
          </w:r>
          <w:r>
            <w:fldChar w:fldCharType="begin"/>
          </w:r>
          <w:r>
            <w:instrText xml:space="preserve"> PAGEREF _Toc10950 \h </w:instrText>
          </w:r>
          <w:r>
            <w:fldChar w:fldCharType="separate"/>
          </w:r>
          <w:r>
            <w:t>6</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_Toc29391 </w:instrText>
          </w:r>
          <w:r>
            <w:rPr>
              <w:rFonts w:hint="default" w:ascii="Times New Roman" w:hAnsi="Times New Roman" w:cs="Times New Roman"/>
              <w:bCs/>
              <w:lang w:val="zh-CN"/>
            </w:rPr>
            <w:fldChar w:fldCharType="separate"/>
          </w:r>
          <w:r>
            <w:rPr>
              <w:rFonts w:hint="default"/>
            </w:rPr>
            <w:t>3.评价方法</w:t>
          </w:r>
          <w:r>
            <w:tab/>
          </w:r>
          <w:r>
            <w:fldChar w:fldCharType="begin"/>
          </w:r>
          <w:r>
            <w:instrText xml:space="preserve"> PAGEREF _Toc29391 \h </w:instrText>
          </w:r>
          <w:r>
            <w:fldChar w:fldCharType="separate"/>
          </w:r>
          <w:r>
            <w:t>13</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_Toc23221 </w:instrText>
          </w:r>
          <w:r>
            <w:rPr>
              <w:rFonts w:hint="default" w:ascii="Times New Roman" w:hAnsi="Times New Roman" w:cs="Times New Roman"/>
              <w:bCs/>
              <w:lang w:val="zh-CN"/>
            </w:rPr>
            <w:fldChar w:fldCharType="separate"/>
          </w:r>
          <w:r>
            <w:rPr>
              <w:rFonts w:hint="default"/>
            </w:rPr>
            <w:t>4.评价标准</w:t>
          </w:r>
          <w:r>
            <w:tab/>
          </w:r>
          <w:r>
            <w:fldChar w:fldCharType="begin"/>
          </w:r>
          <w:r>
            <w:instrText xml:space="preserve"> PAGEREF _Toc23221 \h </w:instrText>
          </w:r>
          <w:r>
            <w:fldChar w:fldCharType="separate"/>
          </w:r>
          <w:r>
            <w:t>14</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_Toc5941 </w:instrText>
          </w:r>
          <w:r>
            <w:rPr>
              <w:rFonts w:hint="default" w:ascii="Times New Roman" w:hAnsi="Times New Roman" w:cs="Times New Roman"/>
              <w:bCs/>
              <w:lang w:val="zh-CN"/>
            </w:rPr>
            <w:fldChar w:fldCharType="separate"/>
          </w:r>
          <w:r>
            <w:rPr>
              <w:rFonts w:hint="default"/>
            </w:rPr>
            <w:t>（三）绩效评价工作过程</w:t>
          </w:r>
          <w:r>
            <w:tab/>
          </w:r>
          <w:r>
            <w:fldChar w:fldCharType="begin"/>
          </w:r>
          <w:r>
            <w:instrText xml:space="preserve"> PAGEREF _Toc5941 \h </w:instrText>
          </w:r>
          <w:r>
            <w:fldChar w:fldCharType="separate"/>
          </w:r>
          <w:r>
            <w:t>15</w:t>
          </w:r>
          <w:r>
            <w:fldChar w:fldCharType="end"/>
          </w:r>
          <w:r>
            <w:rPr>
              <w:rFonts w:hint="default" w:ascii="Times New Roman" w:hAnsi="Times New Roman" w:cs="Times New Roman"/>
              <w:bCs/>
              <w:lang w:val="zh-CN"/>
            </w:rPr>
            <w:fldChar w:fldCharType="end"/>
          </w:r>
        </w:p>
        <w:p>
          <w:pPr>
            <w:pStyle w:val="13"/>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_Toc10381 </w:instrText>
          </w:r>
          <w:r>
            <w:rPr>
              <w:rFonts w:hint="default" w:ascii="Times New Roman" w:hAnsi="Times New Roman" w:cs="Times New Roman"/>
              <w:bCs/>
              <w:lang w:val="zh-CN"/>
            </w:rPr>
            <w:fldChar w:fldCharType="separate"/>
          </w:r>
          <w:r>
            <w:rPr>
              <w:rFonts w:hint="default"/>
            </w:rPr>
            <w:t>三、综合评价情况及评价结论</w:t>
          </w:r>
          <w:r>
            <w:tab/>
          </w:r>
          <w:r>
            <w:fldChar w:fldCharType="begin"/>
          </w:r>
          <w:r>
            <w:instrText xml:space="preserve"> PAGEREF _Toc10381 \h </w:instrText>
          </w:r>
          <w:r>
            <w:fldChar w:fldCharType="separate"/>
          </w:r>
          <w:r>
            <w:t>15</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_Toc30121 </w:instrText>
          </w:r>
          <w:r>
            <w:rPr>
              <w:rFonts w:hint="default" w:ascii="Times New Roman" w:hAnsi="Times New Roman" w:cs="Times New Roman"/>
              <w:bCs/>
              <w:lang w:val="zh-CN"/>
            </w:rPr>
            <w:fldChar w:fldCharType="separate"/>
          </w:r>
          <w:r>
            <w:rPr>
              <w:rFonts w:hint="default"/>
            </w:rPr>
            <w:t>（一）评价结论</w:t>
          </w:r>
          <w:r>
            <w:tab/>
          </w:r>
          <w:r>
            <w:fldChar w:fldCharType="begin"/>
          </w:r>
          <w:r>
            <w:instrText xml:space="preserve"> PAGEREF _Toc30121 \h </w:instrText>
          </w:r>
          <w:r>
            <w:fldChar w:fldCharType="separate"/>
          </w:r>
          <w:r>
            <w:t>15</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_Toc18908 </w:instrText>
          </w:r>
          <w:r>
            <w:rPr>
              <w:rFonts w:hint="default" w:ascii="Times New Roman" w:hAnsi="Times New Roman" w:cs="Times New Roman"/>
              <w:bCs/>
              <w:lang w:val="zh-CN"/>
            </w:rPr>
            <w:fldChar w:fldCharType="separate"/>
          </w:r>
          <w:r>
            <w:rPr>
              <w:rFonts w:hint="default"/>
            </w:rPr>
            <w:t>（二）主要</w:t>
          </w:r>
          <w:r>
            <w:rPr>
              <w:rFonts w:hint="eastAsia"/>
              <w:lang w:val="en-US" w:eastAsia="zh-CN"/>
            </w:rPr>
            <w:t>绩效</w:t>
          </w:r>
          <w:r>
            <w:tab/>
          </w:r>
          <w:r>
            <w:fldChar w:fldCharType="begin"/>
          </w:r>
          <w:r>
            <w:instrText xml:space="preserve"> PAGEREF _Toc18908 \h </w:instrText>
          </w:r>
          <w:r>
            <w:fldChar w:fldCharType="separate"/>
          </w:r>
          <w:r>
            <w:t>17</w:t>
          </w:r>
          <w:r>
            <w:fldChar w:fldCharType="end"/>
          </w:r>
          <w:r>
            <w:rPr>
              <w:rFonts w:hint="default" w:ascii="Times New Roman" w:hAnsi="Times New Roman" w:cs="Times New Roman"/>
              <w:bCs/>
              <w:lang w:val="zh-CN"/>
            </w:rPr>
            <w:fldChar w:fldCharType="end"/>
          </w:r>
        </w:p>
        <w:p>
          <w:pPr>
            <w:pStyle w:val="13"/>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_Toc7647 </w:instrText>
          </w:r>
          <w:r>
            <w:rPr>
              <w:rFonts w:hint="default" w:ascii="Times New Roman" w:hAnsi="Times New Roman" w:cs="Times New Roman"/>
              <w:bCs/>
              <w:lang w:val="zh-CN"/>
            </w:rPr>
            <w:fldChar w:fldCharType="separate"/>
          </w:r>
          <w:r>
            <w:rPr>
              <w:rFonts w:hint="default"/>
            </w:rPr>
            <w:t>四、绩效评价指标分析</w:t>
          </w:r>
          <w:r>
            <w:tab/>
          </w:r>
          <w:r>
            <w:fldChar w:fldCharType="begin"/>
          </w:r>
          <w:r>
            <w:instrText xml:space="preserve"> PAGEREF _Toc7647 \h </w:instrText>
          </w:r>
          <w:r>
            <w:fldChar w:fldCharType="separate"/>
          </w:r>
          <w:r>
            <w:t>17</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_Toc26227 </w:instrText>
          </w:r>
          <w:r>
            <w:rPr>
              <w:rFonts w:hint="default" w:ascii="Times New Roman" w:hAnsi="Times New Roman" w:cs="Times New Roman"/>
              <w:bCs/>
              <w:lang w:val="zh-CN"/>
            </w:rPr>
            <w:fldChar w:fldCharType="separate"/>
          </w:r>
          <w:r>
            <w:rPr>
              <w:rFonts w:hint="default"/>
            </w:rPr>
            <w:t>（一）项目决策情况</w:t>
          </w:r>
          <w:r>
            <w:tab/>
          </w:r>
          <w:r>
            <w:fldChar w:fldCharType="begin"/>
          </w:r>
          <w:r>
            <w:instrText xml:space="preserve"> PAGEREF _Toc26227 \h </w:instrText>
          </w:r>
          <w:r>
            <w:fldChar w:fldCharType="separate"/>
          </w:r>
          <w:r>
            <w:t>17</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_Toc23434 </w:instrText>
          </w:r>
          <w:r>
            <w:rPr>
              <w:rFonts w:hint="default" w:ascii="Times New Roman" w:hAnsi="Times New Roman" w:cs="Times New Roman"/>
              <w:bCs/>
              <w:lang w:val="zh-CN"/>
            </w:rPr>
            <w:fldChar w:fldCharType="separate"/>
          </w:r>
          <w:r>
            <w:rPr>
              <w:rFonts w:hint="default"/>
            </w:rPr>
            <w:t>1.项目</w:t>
          </w:r>
          <w:r>
            <w:rPr>
              <w:rFonts w:hint="eastAsia"/>
              <w:lang w:val="en-US" w:eastAsia="zh-CN"/>
            </w:rPr>
            <w:t>立项</w:t>
          </w:r>
          <w:r>
            <w:tab/>
          </w:r>
          <w:r>
            <w:fldChar w:fldCharType="begin"/>
          </w:r>
          <w:r>
            <w:instrText xml:space="preserve"> PAGEREF _Toc23434 \h </w:instrText>
          </w:r>
          <w:r>
            <w:fldChar w:fldCharType="separate"/>
          </w:r>
          <w:r>
            <w:t>17</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_Toc31169 </w:instrText>
          </w:r>
          <w:r>
            <w:rPr>
              <w:rFonts w:hint="default" w:ascii="Times New Roman" w:hAnsi="Times New Roman" w:cs="Times New Roman"/>
              <w:bCs/>
              <w:lang w:val="zh-CN"/>
            </w:rPr>
            <w:fldChar w:fldCharType="separate"/>
          </w:r>
          <w:r>
            <w:rPr>
              <w:rFonts w:hint="default"/>
            </w:rPr>
            <w:t>2.绩效</w:t>
          </w:r>
          <w:r>
            <w:rPr>
              <w:rFonts w:hint="eastAsia"/>
              <w:lang w:val="en-US" w:eastAsia="zh-CN"/>
            </w:rPr>
            <w:t>目标</w:t>
          </w:r>
          <w:r>
            <w:tab/>
          </w:r>
          <w:r>
            <w:fldChar w:fldCharType="begin"/>
          </w:r>
          <w:r>
            <w:instrText xml:space="preserve"> PAGEREF _Toc31169 \h </w:instrText>
          </w:r>
          <w:r>
            <w:fldChar w:fldCharType="separate"/>
          </w:r>
          <w:r>
            <w:t>18</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_Toc10460 </w:instrText>
          </w:r>
          <w:r>
            <w:rPr>
              <w:rFonts w:hint="default" w:ascii="Times New Roman" w:hAnsi="Times New Roman" w:cs="Times New Roman"/>
              <w:bCs/>
              <w:lang w:val="zh-CN"/>
            </w:rPr>
            <w:fldChar w:fldCharType="separate"/>
          </w:r>
          <w:r>
            <w:rPr>
              <w:rFonts w:hint="default"/>
            </w:rPr>
            <w:t>3.资金投入</w:t>
          </w:r>
          <w:r>
            <w:tab/>
          </w:r>
          <w:r>
            <w:fldChar w:fldCharType="begin"/>
          </w:r>
          <w:r>
            <w:instrText xml:space="preserve"> PAGEREF _Toc10460 \h </w:instrText>
          </w:r>
          <w:r>
            <w:fldChar w:fldCharType="separate"/>
          </w:r>
          <w:r>
            <w:t>18</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_Toc14268 </w:instrText>
          </w:r>
          <w:r>
            <w:rPr>
              <w:rFonts w:hint="default" w:ascii="Times New Roman" w:hAnsi="Times New Roman" w:cs="Times New Roman"/>
              <w:bCs/>
              <w:lang w:val="zh-CN"/>
            </w:rPr>
            <w:fldChar w:fldCharType="separate"/>
          </w:r>
          <w:r>
            <w:rPr>
              <w:rFonts w:hint="default"/>
            </w:rPr>
            <w:t>（二）项目过程情况</w:t>
          </w:r>
          <w:r>
            <w:tab/>
          </w:r>
          <w:r>
            <w:fldChar w:fldCharType="begin"/>
          </w:r>
          <w:r>
            <w:instrText xml:space="preserve"> PAGEREF _Toc14268 \h </w:instrText>
          </w:r>
          <w:r>
            <w:fldChar w:fldCharType="separate"/>
          </w:r>
          <w:r>
            <w:t>19</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_Toc19001 </w:instrText>
          </w:r>
          <w:r>
            <w:rPr>
              <w:rFonts w:hint="default" w:ascii="Times New Roman" w:hAnsi="Times New Roman" w:cs="Times New Roman"/>
              <w:bCs/>
              <w:lang w:val="zh-CN"/>
            </w:rPr>
            <w:fldChar w:fldCharType="separate"/>
          </w:r>
          <w:r>
            <w:rPr>
              <w:rFonts w:hint="default"/>
            </w:rPr>
            <w:t>1.资金管理</w:t>
          </w:r>
          <w:r>
            <w:tab/>
          </w:r>
          <w:r>
            <w:fldChar w:fldCharType="begin"/>
          </w:r>
          <w:r>
            <w:instrText xml:space="preserve"> PAGEREF _Toc19001 \h </w:instrText>
          </w:r>
          <w:r>
            <w:fldChar w:fldCharType="separate"/>
          </w:r>
          <w:r>
            <w:t>19</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_Toc23132 </w:instrText>
          </w:r>
          <w:r>
            <w:rPr>
              <w:rFonts w:hint="default" w:ascii="Times New Roman" w:hAnsi="Times New Roman" w:cs="Times New Roman"/>
              <w:bCs/>
              <w:lang w:val="zh-CN"/>
            </w:rPr>
            <w:fldChar w:fldCharType="separate"/>
          </w:r>
          <w:r>
            <w:rPr>
              <w:rFonts w:hint="default"/>
            </w:rPr>
            <w:t>2.组织实施</w:t>
          </w:r>
          <w:r>
            <w:tab/>
          </w:r>
          <w:r>
            <w:fldChar w:fldCharType="begin"/>
          </w:r>
          <w:r>
            <w:instrText xml:space="preserve"> PAGEREF _Toc23132 \h </w:instrText>
          </w:r>
          <w:r>
            <w:fldChar w:fldCharType="separate"/>
          </w:r>
          <w:r>
            <w:t>20</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_Toc1107 </w:instrText>
          </w:r>
          <w:r>
            <w:rPr>
              <w:rFonts w:hint="default" w:ascii="Times New Roman" w:hAnsi="Times New Roman" w:cs="Times New Roman"/>
              <w:bCs/>
              <w:lang w:val="zh-CN"/>
            </w:rPr>
            <w:fldChar w:fldCharType="separate"/>
          </w:r>
          <w:r>
            <w:rPr>
              <w:rFonts w:hint="default"/>
            </w:rPr>
            <w:t>（三）项目产出</w:t>
          </w:r>
          <w:r>
            <w:rPr>
              <w:rFonts w:hint="eastAsia"/>
              <w:lang w:val="en-US" w:eastAsia="zh-CN"/>
            </w:rPr>
            <w:t>情况</w:t>
          </w:r>
          <w:r>
            <w:tab/>
          </w:r>
          <w:r>
            <w:fldChar w:fldCharType="begin"/>
          </w:r>
          <w:r>
            <w:instrText xml:space="preserve"> PAGEREF _Toc1107 \h </w:instrText>
          </w:r>
          <w:r>
            <w:fldChar w:fldCharType="separate"/>
          </w:r>
          <w:r>
            <w:t>20</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_Toc9148 </w:instrText>
          </w:r>
          <w:r>
            <w:rPr>
              <w:rFonts w:hint="default" w:ascii="Times New Roman" w:hAnsi="Times New Roman" w:cs="Times New Roman"/>
              <w:bCs/>
              <w:lang w:val="zh-CN"/>
            </w:rPr>
            <w:fldChar w:fldCharType="separate"/>
          </w:r>
          <w:r>
            <w:rPr>
              <w:rFonts w:hint="default"/>
            </w:rPr>
            <w:t>1.产出数量</w:t>
          </w:r>
          <w:r>
            <w:tab/>
          </w:r>
          <w:r>
            <w:fldChar w:fldCharType="begin"/>
          </w:r>
          <w:r>
            <w:instrText xml:space="preserve"> PAGEREF _Toc9148 \h </w:instrText>
          </w:r>
          <w:r>
            <w:fldChar w:fldCharType="separate"/>
          </w:r>
          <w:r>
            <w:t>20</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_Toc10308 </w:instrText>
          </w:r>
          <w:r>
            <w:rPr>
              <w:rFonts w:hint="default" w:ascii="Times New Roman" w:hAnsi="Times New Roman" w:cs="Times New Roman"/>
              <w:bCs/>
              <w:lang w:val="zh-CN"/>
            </w:rPr>
            <w:fldChar w:fldCharType="separate"/>
          </w:r>
          <w:r>
            <w:rPr>
              <w:rFonts w:hint="default"/>
            </w:rPr>
            <w:t>2.产出</w:t>
          </w:r>
          <w:r>
            <w:rPr>
              <w:rFonts w:hint="eastAsia"/>
              <w:lang w:val="en-US" w:eastAsia="zh-CN"/>
            </w:rPr>
            <w:t>数</w:t>
          </w:r>
          <w:r>
            <w:rPr>
              <w:rFonts w:hint="default"/>
            </w:rPr>
            <w:t>量</w:t>
          </w:r>
          <w:r>
            <w:tab/>
          </w:r>
          <w:r>
            <w:fldChar w:fldCharType="begin"/>
          </w:r>
          <w:r>
            <w:instrText xml:space="preserve"> PAGEREF _Toc10308 \h </w:instrText>
          </w:r>
          <w:r>
            <w:fldChar w:fldCharType="separate"/>
          </w:r>
          <w:r>
            <w:t>20</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_Toc594 </w:instrText>
          </w:r>
          <w:r>
            <w:rPr>
              <w:rFonts w:hint="default" w:ascii="Times New Roman" w:hAnsi="Times New Roman" w:cs="Times New Roman"/>
              <w:bCs/>
              <w:lang w:val="zh-CN"/>
            </w:rPr>
            <w:fldChar w:fldCharType="separate"/>
          </w:r>
          <w:r>
            <w:rPr>
              <w:rFonts w:hint="default"/>
            </w:rPr>
            <w:t>3.产出</w:t>
          </w:r>
          <w:r>
            <w:rPr>
              <w:rFonts w:hint="eastAsia"/>
              <w:lang w:val="en-US" w:eastAsia="zh-CN"/>
            </w:rPr>
            <w:t>质量</w:t>
          </w:r>
          <w:r>
            <w:tab/>
          </w:r>
          <w:r>
            <w:fldChar w:fldCharType="begin"/>
          </w:r>
          <w:r>
            <w:instrText xml:space="preserve"> PAGEREF _Toc594 \h </w:instrText>
          </w:r>
          <w:r>
            <w:fldChar w:fldCharType="separate"/>
          </w:r>
          <w:r>
            <w:t>21</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_Toc19814 </w:instrText>
          </w:r>
          <w:r>
            <w:rPr>
              <w:rFonts w:hint="default" w:ascii="Times New Roman" w:hAnsi="Times New Roman" w:cs="Times New Roman"/>
              <w:bCs/>
              <w:lang w:val="zh-CN"/>
            </w:rPr>
            <w:fldChar w:fldCharType="separate"/>
          </w:r>
          <w:r>
            <w:rPr>
              <w:rFonts w:hint="default"/>
            </w:rPr>
            <w:t>4.产出</w:t>
          </w:r>
          <w:r>
            <w:rPr>
              <w:rFonts w:hint="eastAsia"/>
              <w:lang w:val="en-US" w:eastAsia="zh-CN"/>
            </w:rPr>
            <w:t>时效</w:t>
          </w:r>
          <w:r>
            <w:tab/>
          </w:r>
          <w:r>
            <w:fldChar w:fldCharType="begin"/>
          </w:r>
          <w:r>
            <w:instrText xml:space="preserve"> PAGEREF _Toc19814 \h </w:instrText>
          </w:r>
          <w:r>
            <w:fldChar w:fldCharType="separate"/>
          </w:r>
          <w:r>
            <w:t>21</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_Toc28642 </w:instrText>
          </w:r>
          <w:r>
            <w:rPr>
              <w:rFonts w:hint="default" w:ascii="Times New Roman" w:hAnsi="Times New Roman" w:cs="Times New Roman"/>
              <w:bCs/>
              <w:lang w:val="zh-CN"/>
            </w:rPr>
            <w:fldChar w:fldCharType="separate"/>
          </w:r>
          <w:r>
            <w:rPr>
              <w:rFonts w:hint="eastAsia"/>
              <w:lang w:val="en-US" w:eastAsia="zh-CN"/>
            </w:rPr>
            <w:t>5</w:t>
          </w:r>
          <w:r>
            <w:rPr>
              <w:rFonts w:hint="default"/>
            </w:rPr>
            <w:t>.产出</w:t>
          </w:r>
          <w:r>
            <w:rPr>
              <w:rFonts w:hint="eastAsia"/>
              <w:lang w:val="en-US" w:eastAsia="zh-CN"/>
            </w:rPr>
            <w:t>成本</w:t>
          </w:r>
          <w:r>
            <w:tab/>
          </w:r>
          <w:r>
            <w:fldChar w:fldCharType="begin"/>
          </w:r>
          <w:r>
            <w:instrText xml:space="preserve"> PAGEREF _Toc28642 \h </w:instrText>
          </w:r>
          <w:r>
            <w:fldChar w:fldCharType="separate"/>
          </w:r>
          <w:r>
            <w:t>21</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_Toc3829 </w:instrText>
          </w:r>
          <w:r>
            <w:rPr>
              <w:rFonts w:hint="default" w:ascii="Times New Roman" w:hAnsi="Times New Roman" w:cs="Times New Roman"/>
              <w:bCs/>
              <w:lang w:val="zh-CN"/>
            </w:rPr>
            <w:fldChar w:fldCharType="separate"/>
          </w:r>
          <w:r>
            <w:rPr>
              <w:rFonts w:hint="default"/>
            </w:rPr>
            <w:t>（四）项目效益情况</w:t>
          </w:r>
          <w:r>
            <w:tab/>
          </w:r>
          <w:r>
            <w:fldChar w:fldCharType="begin"/>
          </w:r>
          <w:r>
            <w:instrText xml:space="preserve"> PAGEREF _Toc3829 \h </w:instrText>
          </w:r>
          <w:r>
            <w:fldChar w:fldCharType="separate"/>
          </w:r>
          <w:r>
            <w:t>21</w:t>
          </w:r>
          <w:r>
            <w:fldChar w:fldCharType="end"/>
          </w:r>
          <w:r>
            <w:rPr>
              <w:rFonts w:hint="default" w:ascii="Times New Roman" w:hAnsi="Times New Roman" w:cs="Times New Roman"/>
              <w:bCs/>
              <w:lang w:val="zh-CN"/>
            </w:rPr>
            <w:fldChar w:fldCharType="end"/>
          </w:r>
        </w:p>
        <w:p>
          <w:pPr>
            <w:pStyle w:val="8"/>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_Toc10521 </w:instrText>
          </w:r>
          <w:r>
            <w:rPr>
              <w:rFonts w:hint="default" w:ascii="Times New Roman" w:hAnsi="Times New Roman" w:cs="Times New Roman"/>
              <w:bCs/>
              <w:lang w:val="zh-CN"/>
            </w:rPr>
            <w:fldChar w:fldCharType="separate"/>
          </w:r>
          <w:r>
            <w:rPr>
              <w:rFonts w:hint="default"/>
            </w:rPr>
            <w:t>1.项目效益</w:t>
          </w:r>
          <w:r>
            <w:tab/>
          </w:r>
          <w:r>
            <w:fldChar w:fldCharType="begin"/>
          </w:r>
          <w:r>
            <w:instrText xml:space="preserve"> PAGEREF _Toc10521 \h </w:instrText>
          </w:r>
          <w:r>
            <w:fldChar w:fldCharType="separate"/>
          </w:r>
          <w:r>
            <w:t>21</w:t>
          </w:r>
          <w:r>
            <w:fldChar w:fldCharType="end"/>
          </w:r>
          <w:r>
            <w:rPr>
              <w:rFonts w:hint="default" w:ascii="Times New Roman" w:hAnsi="Times New Roman" w:cs="Times New Roman"/>
              <w:bCs/>
              <w:lang w:val="zh-CN"/>
            </w:rPr>
            <w:fldChar w:fldCharType="end"/>
          </w:r>
        </w:p>
        <w:p>
          <w:pPr>
            <w:pStyle w:val="13"/>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_Toc5058 </w:instrText>
          </w:r>
          <w:r>
            <w:rPr>
              <w:rFonts w:hint="default" w:ascii="Times New Roman" w:hAnsi="Times New Roman" w:cs="Times New Roman"/>
              <w:bCs/>
              <w:lang w:val="zh-CN"/>
            </w:rPr>
            <w:fldChar w:fldCharType="separate"/>
          </w:r>
          <w:r>
            <w:rPr>
              <w:rFonts w:hint="default"/>
            </w:rPr>
            <w:t>六、主要经验及做法、存在的问题及原因分析</w:t>
          </w:r>
          <w:r>
            <w:tab/>
          </w:r>
          <w:r>
            <w:fldChar w:fldCharType="begin"/>
          </w:r>
          <w:r>
            <w:instrText xml:space="preserve"> PAGEREF _Toc5058 \h </w:instrText>
          </w:r>
          <w:r>
            <w:fldChar w:fldCharType="separate"/>
          </w:r>
          <w:r>
            <w:t>22</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_Toc2805 </w:instrText>
          </w:r>
          <w:r>
            <w:rPr>
              <w:rFonts w:hint="default" w:ascii="Times New Roman" w:hAnsi="Times New Roman" w:cs="Times New Roman"/>
              <w:bCs/>
              <w:lang w:val="zh-CN"/>
            </w:rPr>
            <w:fldChar w:fldCharType="separate"/>
          </w:r>
          <w:r>
            <w:rPr>
              <w:rFonts w:hint="default"/>
            </w:rPr>
            <w:t>（一）主要经验及做法</w:t>
          </w:r>
          <w:r>
            <w:tab/>
          </w:r>
          <w:r>
            <w:fldChar w:fldCharType="begin"/>
          </w:r>
          <w:r>
            <w:instrText xml:space="preserve"> PAGEREF _Toc2805 \h </w:instrText>
          </w:r>
          <w:r>
            <w:fldChar w:fldCharType="separate"/>
          </w:r>
          <w:r>
            <w:t>22</w:t>
          </w:r>
          <w:r>
            <w:fldChar w:fldCharType="end"/>
          </w:r>
          <w:r>
            <w:rPr>
              <w:rFonts w:hint="default" w:ascii="Times New Roman" w:hAnsi="Times New Roman" w:cs="Times New Roman"/>
              <w:bCs/>
              <w:lang w:val="zh-CN"/>
            </w:rPr>
            <w:fldChar w:fldCharType="end"/>
          </w:r>
        </w:p>
        <w:p>
          <w:pPr>
            <w:pStyle w:val="15"/>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_Toc6274 </w:instrText>
          </w:r>
          <w:r>
            <w:rPr>
              <w:rFonts w:hint="default" w:ascii="Times New Roman" w:hAnsi="Times New Roman" w:cs="Times New Roman"/>
              <w:bCs/>
              <w:lang w:val="zh-CN"/>
            </w:rPr>
            <w:fldChar w:fldCharType="separate"/>
          </w:r>
          <w:r>
            <w:rPr>
              <w:rFonts w:hint="default"/>
            </w:rPr>
            <w:t>（二）存在的问题及原因分析</w:t>
          </w:r>
          <w:r>
            <w:tab/>
          </w:r>
          <w:r>
            <w:fldChar w:fldCharType="begin"/>
          </w:r>
          <w:r>
            <w:instrText xml:space="preserve"> PAGEREF _Toc6274 \h </w:instrText>
          </w:r>
          <w:r>
            <w:fldChar w:fldCharType="separate"/>
          </w:r>
          <w:r>
            <w:t>22</w:t>
          </w:r>
          <w:r>
            <w:fldChar w:fldCharType="end"/>
          </w:r>
          <w:r>
            <w:rPr>
              <w:rFonts w:hint="default" w:ascii="Times New Roman" w:hAnsi="Times New Roman" w:cs="Times New Roman"/>
              <w:bCs/>
              <w:lang w:val="zh-CN"/>
            </w:rPr>
            <w:fldChar w:fldCharType="end"/>
          </w:r>
        </w:p>
        <w:p>
          <w:pPr>
            <w:pStyle w:val="13"/>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_Toc3165 </w:instrText>
          </w:r>
          <w:r>
            <w:rPr>
              <w:rFonts w:hint="default" w:ascii="Times New Roman" w:hAnsi="Times New Roman" w:cs="Times New Roman"/>
              <w:bCs/>
              <w:lang w:val="zh-CN"/>
            </w:rPr>
            <w:fldChar w:fldCharType="separate"/>
          </w:r>
          <w:r>
            <w:rPr>
              <w:rFonts w:hint="eastAsia"/>
              <w:lang w:val="en-US" w:eastAsia="zh-CN"/>
            </w:rPr>
            <w:t xml:space="preserve">六、 </w:t>
          </w:r>
          <w:r>
            <w:rPr>
              <w:rFonts w:hint="default"/>
            </w:rPr>
            <w:t>有关</w:t>
          </w:r>
          <w:r>
            <w:rPr>
              <w:rFonts w:hint="eastAsia"/>
              <w:lang w:val="en-US" w:eastAsia="zh-CN"/>
            </w:rPr>
            <w:t>建议</w:t>
          </w:r>
          <w:r>
            <w:tab/>
          </w:r>
          <w:r>
            <w:fldChar w:fldCharType="begin"/>
          </w:r>
          <w:r>
            <w:instrText xml:space="preserve"> PAGEREF _Toc3165 \h </w:instrText>
          </w:r>
          <w:r>
            <w:fldChar w:fldCharType="separate"/>
          </w:r>
          <w:r>
            <w:t>23</w:t>
          </w:r>
          <w:r>
            <w:fldChar w:fldCharType="end"/>
          </w:r>
          <w:r>
            <w:rPr>
              <w:rFonts w:hint="default" w:ascii="Times New Roman" w:hAnsi="Times New Roman" w:cs="Times New Roman"/>
              <w:bCs/>
              <w:lang w:val="zh-CN"/>
            </w:rPr>
            <w:fldChar w:fldCharType="end"/>
          </w:r>
        </w:p>
        <w:p>
          <w:pPr>
            <w:pStyle w:val="13"/>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_Toc14709 </w:instrText>
          </w:r>
          <w:r>
            <w:rPr>
              <w:rFonts w:hint="default" w:ascii="Times New Roman" w:hAnsi="Times New Roman" w:cs="Times New Roman"/>
              <w:bCs/>
              <w:lang w:val="zh-CN"/>
            </w:rPr>
            <w:fldChar w:fldCharType="separate"/>
          </w:r>
          <w:r>
            <w:rPr>
              <w:rFonts w:hint="default"/>
            </w:rPr>
            <w:t>七、其他需要说明的问题</w:t>
          </w:r>
          <w:r>
            <w:tab/>
          </w:r>
          <w:r>
            <w:fldChar w:fldCharType="begin"/>
          </w:r>
          <w:r>
            <w:instrText xml:space="preserve"> PAGEREF _Toc14709 \h </w:instrText>
          </w:r>
          <w:r>
            <w:fldChar w:fldCharType="separate"/>
          </w:r>
          <w:r>
            <w:t>23</w:t>
          </w:r>
          <w:r>
            <w:fldChar w:fldCharType="end"/>
          </w:r>
          <w:r>
            <w:rPr>
              <w:rFonts w:hint="default" w:ascii="Times New Roman" w:hAnsi="Times New Roman" w:cs="Times New Roman"/>
              <w:bCs/>
              <w:lang w:val="zh-CN"/>
            </w:rPr>
            <w:fldChar w:fldCharType="end"/>
          </w:r>
        </w:p>
        <w:p>
          <w:pPr>
            <w:ind w:firstLine="562"/>
            <w:rPr>
              <w:rFonts w:hint="default" w:ascii="Times New Roman" w:hAnsi="Times New Roman" w:cs="Times New Roman"/>
            </w:rPr>
          </w:pPr>
          <w:r>
            <w:rPr>
              <w:rFonts w:hint="default" w:ascii="Times New Roman" w:hAnsi="Times New Roman" w:cs="Times New Roman"/>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bidi w:val="0"/>
        <w:rPr>
          <w:rFonts w:hint="default"/>
        </w:rPr>
      </w:pPr>
      <w:bookmarkStart w:id="0" w:name="_Toc67911601"/>
      <w:bookmarkStart w:id="1" w:name="_Toc15142"/>
      <w:r>
        <w:rPr>
          <w:rFonts w:hint="default"/>
        </w:rPr>
        <w:t>一、基本情况</w:t>
      </w:r>
      <w:bookmarkEnd w:id="0"/>
      <w:bookmarkEnd w:id="1"/>
    </w:p>
    <w:p>
      <w:pPr>
        <w:pStyle w:val="3"/>
        <w:bidi w:val="0"/>
        <w:rPr>
          <w:rFonts w:hint="eastAsia"/>
          <w:lang w:val="en-US" w:eastAsia="zh-CN"/>
        </w:rPr>
      </w:pPr>
      <w:bookmarkStart w:id="2" w:name="_Toc67911602"/>
      <w:bookmarkStart w:id="3" w:name="_Toc32610"/>
      <w:r>
        <w:rPr>
          <w:rFonts w:hint="default"/>
        </w:rPr>
        <w:t>（一）项目概</w:t>
      </w:r>
      <w:bookmarkEnd w:id="2"/>
      <w:r>
        <w:rPr>
          <w:rFonts w:hint="eastAsia"/>
          <w:lang w:val="en-US" w:eastAsia="zh-CN"/>
        </w:rPr>
        <w:t>况：</w:t>
      </w:r>
      <w:bookmarkEnd w:id="3"/>
    </w:p>
    <w:p>
      <w:pPr>
        <w:pStyle w:val="4"/>
        <w:bidi w:val="0"/>
        <w:rPr>
          <w:rFonts w:hint="default"/>
        </w:rPr>
      </w:pPr>
      <w:bookmarkStart w:id="4" w:name="_Toc15406"/>
      <w:r>
        <w:rPr>
          <w:rFonts w:hint="default"/>
        </w:rPr>
        <w:t>1</w:t>
      </w:r>
      <w:r>
        <w:rPr>
          <w:rFonts w:hint="eastAsia"/>
          <w:lang w:eastAsia="zh-CN"/>
        </w:rPr>
        <w:t>.</w:t>
      </w:r>
      <w:r>
        <w:rPr>
          <w:rFonts w:hint="default"/>
        </w:rPr>
        <w:t>项目背景、主要内容及实施情况</w:t>
      </w:r>
      <w:bookmarkEnd w:id="4"/>
    </w:p>
    <w:p>
      <w:pPr>
        <w:pStyle w:val="37"/>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bidi w:val="0"/>
        <w:rPr>
          <w:rFonts w:hint="default"/>
          <w:lang w:val="en-US" w:eastAsia="zh-CN"/>
        </w:rPr>
      </w:pPr>
      <w:r>
        <w:rPr>
          <w:rFonts w:hint="default"/>
          <w:lang w:val="en-US" w:eastAsia="zh-CN"/>
        </w:rPr>
        <w:t>学校是一个集教学、宿舍、办公、活动等多种功能于一体的大型建筑群，其消防保护需要大量的水源供给。学校现有的消防设施虽然已经能够满足正常使用的需求，但因为消防水池储水量不足，不能满足大规模消防灭火的需要。为了解决这一问题，学校根据《</w:t>
      </w:r>
      <w:r>
        <w:rPr>
          <w:rFonts w:hint="eastAsia"/>
          <w:lang w:val="en-US" w:eastAsia="zh-CN"/>
        </w:rPr>
        <w:t>乌财教科【2021】96号文关于提前下达2022年城乡义务教育项目直达资金校舍安全保障机制经费</w:t>
      </w:r>
      <w:r>
        <w:rPr>
          <w:rFonts w:hint="default"/>
          <w:lang w:val="en-US" w:eastAsia="zh-CN"/>
        </w:rPr>
        <w:t>》</w:t>
      </w:r>
      <w:r>
        <w:rPr>
          <w:rFonts w:hint="eastAsia"/>
          <w:lang w:val="en-US" w:eastAsia="zh-CN"/>
        </w:rPr>
        <w:t>的</w:t>
      </w:r>
      <w:r>
        <w:rPr>
          <w:rFonts w:hint="default"/>
          <w:lang w:val="en-US" w:eastAsia="zh-CN"/>
        </w:rPr>
        <w:t>相关文件，</w:t>
      </w:r>
      <w:r>
        <w:rPr>
          <w:rFonts w:hint="eastAsia"/>
          <w:lang w:val="en-US" w:eastAsia="zh-CN"/>
        </w:rPr>
        <w:t>小渠子中学改扩建300立方米消防水池及附属设施</w:t>
      </w:r>
      <w:r>
        <w:rPr>
          <w:rFonts w:hint="default"/>
          <w:lang w:val="en-US" w:eastAsia="zh-CN"/>
        </w:rPr>
        <w:t>在校园内建设一座新的消防水池，以提高消防水源供给能力</w:t>
      </w:r>
      <w:r>
        <w:rPr>
          <w:rFonts w:hint="eastAsia"/>
          <w:lang w:val="en-US" w:eastAsia="zh-CN"/>
        </w:rPr>
        <w:t>，</w:t>
      </w:r>
      <w:r>
        <w:rPr>
          <w:rFonts w:hint="default"/>
          <w:lang w:val="en-US" w:eastAsia="zh-CN"/>
        </w:rPr>
        <w:t>在建筑消防系统中，消防水池是一项非常重要的设施，合理的建设能够为灭火任务提供坚实保障</w:t>
      </w:r>
      <w:r>
        <w:rPr>
          <w:rFonts w:hint="eastAsia"/>
          <w:lang w:val="en-US" w:eastAsia="zh-CN"/>
        </w:rPr>
        <w:t>，</w:t>
      </w:r>
      <w:r>
        <w:rPr>
          <w:rFonts w:hint="default"/>
          <w:lang w:val="en-US" w:eastAsia="zh-CN"/>
        </w:rPr>
        <w:t>为了保障学校师生的生命财产安全，提高学校的消防应急能力</w:t>
      </w:r>
      <w:r>
        <w:rPr>
          <w:rFonts w:hint="eastAsia"/>
          <w:lang w:val="en-US" w:eastAsia="zh-CN"/>
        </w:rPr>
        <w:t>，</w:t>
      </w:r>
      <w:r>
        <w:rPr>
          <w:rFonts w:hint="default"/>
          <w:lang w:val="en-US" w:eastAsia="zh-CN"/>
        </w:rPr>
        <w:t>只有保证消防系统的高效性和稳定性，才能够确保</w:t>
      </w:r>
      <w:r>
        <w:rPr>
          <w:rFonts w:hint="eastAsia"/>
          <w:lang w:val="en-US" w:eastAsia="zh-CN"/>
        </w:rPr>
        <w:t>师生</w:t>
      </w:r>
      <w:r>
        <w:rPr>
          <w:rFonts w:hint="default"/>
          <w:lang w:val="en-US" w:eastAsia="zh-CN"/>
        </w:rPr>
        <w:t>的财产、生命和安全。</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bidi w:val="0"/>
        <w:rPr>
          <w:rFonts w:hint="default"/>
          <w:color w:val="auto"/>
          <w:lang w:val="en-US" w:eastAsia="zh-CN"/>
        </w:rPr>
      </w:pPr>
      <w:r>
        <w:rPr>
          <w:rFonts w:hint="default"/>
          <w:color w:val="auto"/>
          <w:lang w:val="en-US" w:eastAsia="zh-CN"/>
        </w:rPr>
        <w:t>新建300立方米消防水池及外网工程，室外电缆电线155米、电缆手孔井 5座、GBL配电柜 3台、70KW柴油发电机一台(带控制柜）、DN100给水管76米、DN50给水管13米、给水井2个、污水井7个、DN200室外消防给水管7米、DN400室外消防给水管4米、DN150室外消防给水管185.05米、DN100室外消防给水管11.13米、DN50室外消防给水管102米、室外消火栓2个、消防阀门井1座、绿化阀门井1座、室外暖气井1个、DN150暖气管28米、1000*1200暖气管沟  米，、消防稳压设施一套、30KW消火栓泵2台、2.2KW潜污泵2台、1.1KW给水泵1台</w:t>
      </w:r>
      <w:r>
        <w:rPr>
          <w:rFonts w:hint="eastAsia"/>
          <w:color w:val="auto"/>
          <w:lang w:val="en-US" w:eastAsia="zh-CN"/>
        </w:rPr>
        <w:t>。项目按计划开工建设，竣工验收合格率98%以上，有效改善了师生教育教学环境，提高了学校安全保障工作。</w:t>
      </w:r>
    </w:p>
    <w:p>
      <w:pPr>
        <w:pStyle w:val="37"/>
        <w:bidi w:val="0"/>
        <w:rPr>
          <w:rFonts w:hint="default"/>
          <w:lang w:val="en-US" w:eastAsia="zh-CN"/>
        </w:rPr>
      </w:pPr>
      <w:r>
        <w:rPr>
          <w:rFonts w:hint="eastAsia"/>
          <w:lang w:val="en-US" w:eastAsia="zh-CN"/>
        </w:rPr>
        <w:t>（3）项目实施情况</w:t>
      </w:r>
    </w:p>
    <w:p>
      <w:pPr>
        <w:bidi w:val="0"/>
        <w:rPr>
          <w:rFonts w:hint="default"/>
          <w:color w:val="auto"/>
          <w:lang w:val="en-US" w:eastAsia="zh-CN"/>
        </w:rPr>
      </w:pPr>
      <w:r>
        <w:rPr>
          <w:rFonts w:hint="default"/>
          <w:color w:val="auto"/>
          <w:lang w:val="en-US" w:eastAsia="zh-CN"/>
        </w:rPr>
        <w:t>经</w:t>
      </w:r>
      <w:r>
        <w:rPr>
          <w:rFonts w:hint="eastAsia"/>
          <w:color w:val="auto"/>
          <w:lang w:val="en-US" w:eastAsia="zh-CN"/>
        </w:rPr>
        <w:t>乌财教科【2021】96号</w:t>
      </w:r>
      <w:r>
        <w:rPr>
          <w:rFonts w:hint="default"/>
          <w:color w:val="auto"/>
          <w:lang w:val="en-US" w:eastAsia="zh-CN"/>
        </w:rPr>
        <w:t>文件批准</w:t>
      </w:r>
      <w:r>
        <w:rPr>
          <w:rFonts w:hint="eastAsia"/>
          <w:color w:val="auto"/>
          <w:lang w:val="en-US" w:eastAsia="zh-CN"/>
        </w:rPr>
        <w:t>，本项目为消防水池，项目系2022年中央资金，项目开始于2022年1月，由于疫情原因工程项目推迟使用，于2023年11月30日竣工并验收结束，2024年1月投入使用。</w:t>
      </w:r>
    </w:p>
    <w:p>
      <w:pPr>
        <w:bidi w:val="0"/>
        <w:rPr>
          <w:rFonts w:hint="default"/>
          <w:color w:val="auto"/>
          <w:lang w:val="en-US" w:eastAsia="zh-CN"/>
        </w:rPr>
      </w:pPr>
      <w:r>
        <w:rPr>
          <w:rFonts w:hint="eastAsia"/>
          <w:color w:val="auto"/>
          <w:lang w:val="en-US" w:eastAsia="zh-CN"/>
        </w:rPr>
        <w:t>消防水池项目消防设施附属设施工程量138平方米，储水量达到300立方米，满足了</w:t>
      </w:r>
      <w:r>
        <w:rPr>
          <w:rFonts w:hint="default"/>
          <w:color w:val="auto"/>
          <w:lang w:val="en-US" w:eastAsia="zh-CN"/>
        </w:rPr>
        <w:t>规模消防灭火的需要</w:t>
      </w:r>
      <w:r>
        <w:rPr>
          <w:rFonts w:hint="eastAsia"/>
          <w:color w:val="auto"/>
          <w:lang w:val="en-US" w:eastAsia="zh-CN"/>
        </w:rPr>
        <w:t>，有效</w:t>
      </w:r>
      <w:r>
        <w:rPr>
          <w:rFonts w:hint="default"/>
          <w:color w:val="auto"/>
          <w:lang w:val="en-US" w:eastAsia="zh-CN"/>
        </w:rPr>
        <w:t>保障</w:t>
      </w:r>
      <w:r>
        <w:rPr>
          <w:rFonts w:hint="eastAsia"/>
          <w:color w:val="auto"/>
          <w:lang w:val="en-US" w:eastAsia="zh-CN"/>
        </w:rPr>
        <w:t>了</w:t>
      </w:r>
      <w:r>
        <w:rPr>
          <w:rFonts w:hint="default"/>
          <w:color w:val="auto"/>
          <w:lang w:val="en-US" w:eastAsia="zh-CN"/>
        </w:rPr>
        <w:t>学校师生的生命财产安全，提高学校的消防应急能力</w:t>
      </w:r>
      <w:r>
        <w:rPr>
          <w:rFonts w:hint="eastAsia"/>
          <w:color w:val="auto"/>
          <w:lang w:val="en-US" w:eastAsia="zh-CN"/>
        </w:rPr>
        <w:t>。</w:t>
      </w:r>
    </w:p>
    <w:p>
      <w:pPr>
        <w:pStyle w:val="4"/>
        <w:bidi w:val="0"/>
        <w:rPr>
          <w:rFonts w:hint="default"/>
        </w:rPr>
      </w:pPr>
      <w:bookmarkStart w:id="5" w:name="_Toc23611"/>
      <w:r>
        <w:rPr>
          <w:rFonts w:hint="default"/>
        </w:rPr>
        <w:t>2.资金投入和使用情况</w:t>
      </w:r>
      <w:bookmarkEnd w:id="5"/>
    </w:p>
    <w:p>
      <w:pPr>
        <w:bidi w:val="0"/>
        <w:rPr>
          <w:rFonts w:hint="default" w:ascii="Times New Roman" w:hAnsi="Times New Roman" w:cs="Times New Roman"/>
        </w:rPr>
      </w:pPr>
      <w:bookmarkStart w:id="6" w:name="_Toc67911603"/>
      <w:r>
        <w:rPr>
          <w:rFonts w:hint="default" w:ascii="Times New Roman" w:hAnsi="Times New Roman" w:cs="Times New Roman"/>
        </w:rPr>
        <w:t>该项目资金投入情况：经乌财教科【2021】96号文件批准，项目系2022年中央资金，2023年共安排结转项目79.4万元，资金到位，全年结转79.4万元， 于2023年1月按照合同要求支付56.17万元的进度款，2023年11月该项目验收通过后，于2323年12月支付尾款23.23万元，全年执行79.4万元，执行率100%。</w:t>
      </w:r>
    </w:p>
    <w:p>
      <w:pPr>
        <w:bidi w:val="0"/>
        <w:rPr>
          <w:rFonts w:hint="eastAsia" w:ascii="Times New Roman" w:hAnsi="Times New Roman" w:eastAsia="仿宋" w:cs="Times New Roman"/>
          <w:color w:val="auto"/>
          <w:lang w:val="en-US" w:eastAsia="zh-CN"/>
        </w:rPr>
      </w:pPr>
      <w:r>
        <w:rPr>
          <w:rFonts w:hint="default" w:ascii="Times New Roman" w:hAnsi="Times New Roman" w:cs="Times New Roman"/>
          <w:color w:val="auto"/>
        </w:rPr>
        <w:t>该项目资金使用情况</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工程款219万元</w:t>
      </w:r>
      <w:r>
        <w:rPr>
          <w:rFonts w:hint="default" w:ascii="Times New Roman" w:hAnsi="Times New Roman" w:cs="Times New Roman"/>
          <w:color w:val="auto"/>
          <w:lang w:eastAsia="zh-CN"/>
        </w:rPr>
        <w:t>，</w:t>
      </w:r>
      <w:r>
        <w:rPr>
          <w:rFonts w:hint="eastAsia" w:ascii="Times New Roman" w:hAnsi="Times New Roman" w:cs="Times New Roman"/>
          <w:color w:val="auto"/>
          <w:lang w:val="en-US" w:eastAsia="zh-CN"/>
        </w:rPr>
        <w:t>监理费5.1</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科研费3.1</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勘察费2.2</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设计费9.76</w:t>
      </w:r>
      <w:r>
        <w:rPr>
          <w:rFonts w:hint="default" w:ascii="Times New Roman" w:hAnsi="Times New Roman" w:cs="Times New Roman"/>
          <w:color w:val="auto"/>
          <w:lang w:val="en-US" w:eastAsia="zh-CN"/>
        </w:rPr>
        <w:t>万，总计</w:t>
      </w:r>
      <w:r>
        <w:rPr>
          <w:rFonts w:hint="eastAsia" w:ascii="Times New Roman" w:hAnsi="Times New Roman" w:cs="Times New Roman"/>
          <w:color w:val="auto"/>
          <w:lang w:val="en-US" w:eastAsia="zh-CN"/>
        </w:rPr>
        <w:t>240</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。经乌财教科【2021】96号文件批准，项目系2022年中央资金，2023年共安排结转项目79.4万元，资金到位，全年结转79.4万元， 于2023年1月按照合同要求支付56.17万元的进度款，2023年11月该项目验收通过后，于2323年12月支付尾款23.23万元，全年执行79.4万元，执行率100%。</w:t>
      </w:r>
    </w:p>
    <w:p>
      <w:pPr>
        <w:pStyle w:val="3"/>
        <w:bidi w:val="0"/>
        <w:rPr>
          <w:rFonts w:hint="eastAsia"/>
          <w:lang w:val="en-US" w:eastAsia="zh-CN"/>
        </w:rPr>
      </w:pPr>
      <w:bookmarkStart w:id="7" w:name="_Toc24565"/>
      <w:r>
        <w:rPr>
          <w:rFonts w:hint="default"/>
        </w:rPr>
        <w:t>（二）项目绩效目</w:t>
      </w:r>
      <w:bookmarkEnd w:id="6"/>
      <w:r>
        <w:rPr>
          <w:rFonts w:hint="eastAsia"/>
          <w:lang w:val="en-US" w:eastAsia="zh-CN"/>
        </w:rPr>
        <w:t>标：</w:t>
      </w:r>
      <w:bookmarkEnd w:id="7"/>
    </w:p>
    <w:p>
      <w:pPr>
        <w:bidi w:val="0"/>
        <w:rPr>
          <w:rFonts w:hint="default"/>
        </w:rPr>
      </w:pPr>
      <w:r>
        <w:rPr>
          <w:rFonts w:hint="default"/>
        </w:rPr>
        <w:t>本项目依据《中共中央 国务院关于全面实施预算绩效管理的意见》（中发〔2018〕34号）、《关于印发&lt;乌鲁木齐市本级部门预算绩效目标管理暂行办法&gt;的通知》（乌财预</w:t>
      </w:r>
      <w:bookmarkStart w:id="8" w:name="_Hlk67566397"/>
      <w:r>
        <w:rPr>
          <w:rFonts w:hint="default"/>
        </w:rPr>
        <w:t>〔2018〕56号</w:t>
      </w:r>
      <w:bookmarkEnd w:id="8"/>
      <w:r>
        <w:rPr>
          <w:rFonts w:hint="default"/>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bidi w:val="0"/>
        <w:rPr>
          <w:rFonts w:hint="eastAsia"/>
          <w:color w:val="auto"/>
          <w:lang w:eastAsia="zh-CN"/>
        </w:rPr>
      </w:pPr>
      <w:r>
        <w:rPr>
          <w:rFonts w:hint="default"/>
          <w:color w:val="auto"/>
        </w:rPr>
        <w:t>该项目为跨年项目</w:t>
      </w:r>
      <w:r>
        <w:rPr>
          <w:rFonts w:hint="eastAsia"/>
          <w:color w:val="auto"/>
          <w:lang w:eastAsia="zh-CN"/>
        </w:rPr>
        <w:t>。</w:t>
      </w:r>
    </w:p>
    <w:p>
      <w:pPr>
        <w:bidi w:val="0"/>
        <w:rPr>
          <w:rFonts w:hint="eastAsia"/>
          <w:color w:val="auto"/>
          <w:lang w:eastAsia="zh-CN"/>
        </w:rPr>
      </w:pPr>
      <w:r>
        <w:rPr>
          <w:rFonts w:hint="default" w:ascii="Times New Roman" w:hAnsi="Times New Roman" w:cs="Times New Roman"/>
        </w:rPr>
        <w:t>该项目总体绩效目标：对我校消防设施系统进行年度维保检测，可确保消防设施正常运行，使维保工作更加系统化和规范化。通过提升整体消防系统的运转效率，增强防火能力，进一步确保学校财产和师生人身安全。</w:t>
      </w:r>
    </w:p>
    <w:p>
      <w:pPr>
        <w:bidi w:val="0"/>
        <w:rPr>
          <w:rFonts w:hint="default" w:ascii="Times New Roman" w:hAnsi="Times New Roman" w:eastAsia="仿宋" w:cs="Times New Roman"/>
          <w:szCs w:val="36"/>
          <w:lang w:bidi="en-US"/>
        </w:rPr>
      </w:pPr>
      <w:bookmarkStart w:id="9" w:name="_Toc67911604"/>
      <w:r>
        <w:rPr>
          <w:rFonts w:hint="default" w:ascii="Times New Roman" w:hAnsi="Times New Roman" w:cs="Times New Roman"/>
        </w:rPr>
        <w:t>该项目阶段性目标为：</w:t>
      </w:r>
      <w:r>
        <w:rPr>
          <w:rFonts w:hint="default"/>
        </w:rPr>
        <w:t>在</w:t>
      </w:r>
      <w:r>
        <w:rPr>
          <w:rFonts w:hint="eastAsia"/>
          <w:lang w:val="en-US" w:eastAsia="zh-CN"/>
        </w:rPr>
        <w:t>一</w:t>
      </w:r>
      <w:r>
        <w:rPr>
          <w:rFonts w:hint="default"/>
        </w:rPr>
        <w:t>年建设期间，计划完成小渠子中学改扩建300立方米消防水池及附属设施</w:t>
      </w:r>
      <w:r>
        <w:rPr>
          <w:rFonts w:hint="eastAsia"/>
          <w:lang w:eastAsia="zh-CN"/>
        </w:rPr>
        <w:t>，</w:t>
      </w:r>
      <w:r>
        <w:rPr>
          <w:rFonts w:hint="eastAsia"/>
          <w:lang w:val="en-US" w:eastAsia="zh-CN"/>
        </w:rPr>
        <w:t>目前</w:t>
      </w:r>
      <w:r>
        <w:rPr>
          <w:rFonts w:hint="default"/>
        </w:rPr>
        <w:t>改扩建300立方米消防水池</w:t>
      </w:r>
      <w:r>
        <w:rPr>
          <w:rFonts w:hint="eastAsia"/>
          <w:lang w:val="en-US" w:eastAsia="zh-CN"/>
        </w:rPr>
        <w:t>已竣工，附属设施工作已全部施工完毕。</w:t>
      </w:r>
    </w:p>
    <w:p>
      <w:pPr>
        <w:pStyle w:val="2"/>
        <w:bidi w:val="0"/>
        <w:rPr>
          <w:rFonts w:hint="default"/>
        </w:rPr>
      </w:pPr>
      <w:bookmarkStart w:id="10" w:name="_Toc13206"/>
      <w:r>
        <w:rPr>
          <w:rFonts w:hint="default"/>
        </w:rPr>
        <w:t>二、绩效评价工作开展情况</w:t>
      </w:r>
      <w:bookmarkEnd w:id="9"/>
      <w:bookmarkEnd w:id="10"/>
    </w:p>
    <w:p>
      <w:pPr>
        <w:pStyle w:val="3"/>
        <w:bidi w:val="0"/>
        <w:rPr>
          <w:rFonts w:hint="eastAsia"/>
          <w:lang w:val="en-US" w:eastAsia="zh-CN"/>
        </w:rPr>
      </w:pPr>
      <w:bookmarkStart w:id="11" w:name="_Toc67911605"/>
      <w:bookmarkStart w:id="12" w:name="_Toc15604"/>
      <w:r>
        <w:rPr>
          <w:rFonts w:hint="default"/>
        </w:rPr>
        <w:t>（一）绩效评价目的、对象和</w:t>
      </w:r>
      <w:bookmarkEnd w:id="11"/>
      <w:r>
        <w:rPr>
          <w:rFonts w:hint="eastAsia"/>
          <w:lang w:val="en-US" w:eastAsia="zh-CN"/>
        </w:rPr>
        <w:t>范围</w:t>
      </w:r>
      <w:bookmarkEnd w:id="12"/>
    </w:p>
    <w:p>
      <w:pPr>
        <w:pStyle w:val="4"/>
        <w:bidi w:val="0"/>
        <w:rPr>
          <w:rFonts w:hint="default"/>
        </w:rPr>
      </w:pPr>
      <w:bookmarkStart w:id="13" w:name="_Toc29197"/>
      <w:r>
        <w:rPr>
          <w:rFonts w:hint="default"/>
        </w:rPr>
        <w:t>1.绩效评价完整性</w:t>
      </w:r>
      <w:bookmarkEnd w:id="13"/>
    </w:p>
    <w:p>
      <w:pPr>
        <w:pStyle w:val="5"/>
        <w:rPr>
          <w:rFonts w:hint="default" w:eastAsia="仿宋"/>
          <w:color w:val="auto"/>
          <w:lang w:val="en-US" w:eastAsia="zh-CN"/>
        </w:rPr>
      </w:pPr>
      <w:r>
        <w:rPr>
          <w:rFonts w:hint="eastAsia"/>
          <w:color w:val="auto"/>
          <w:lang w:val="en-US" w:eastAsia="zh-CN"/>
        </w:rPr>
        <w:t>项目所设置的数量指标“建设工程量”的目标值&gt;=120平方米；数量指标“消防水池储水量的目标值=300平方米；质量指标“工程竣工及时率”&gt;=98%；时效指标“按期完工率”&gt;=95%；经济成本指标“消防水池款成本控制率”&lt;=3%；社会效益指标“项目受益人数”&gt;=200人；社会效益指标“义务教育薄弱环节改善和能力提升”完全达到预期。项目的目标、范围和要求能够通过绩效评价指标体系完整的体现。</w:t>
      </w:r>
    </w:p>
    <w:p>
      <w:pPr>
        <w:bidi w:val="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我校</w:t>
      </w:r>
      <w:r>
        <w:rPr>
          <w:rFonts w:hint="default" w:ascii="Times New Roman" w:hAnsi="Times New Roman" w:cs="Times New Roman"/>
          <w:color w:val="auto"/>
          <w:lang w:val="en-US" w:eastAsia="zh-CN"/>
        </w:rPr>
        <w:t>成立了</w:t>
      </w:r>
      <w:r>
        <w:rPr>
          <w:rFonts w:hint="eastAsia" w:ascii="Times New Roman" w:hAnsi="Times New Roman" w:cs="Times New Roman"/>
          <w:color w:val="auto"/>
          <w:lang w:val="en-US" w:eastAsia="zh-CN"/>
        </w:rPr>
        <w:t>以党支部</w:t>
      </w:r>
      <w:r>
        <w:rPr>
          <w:rFonts w:hint="default" w:ascii="Times New Roman" w:hAnsi="Times New Roman" w:cs="Times New Roman"/>
          <w:color w:val="auto"/>
          <w:lang w:val="en-US" w:eastAsia="zh-CN"/>
        </w:rPr>
        <w:t>书记、</w:t>
      </w:r>
      <w:r>
        <w:rPr>
          <w:rFonts w:hint="eastAsia" w:ascii="Times New Roman" w:hAnsi="Times New Roman" w:cs="Times New Roman"/>
          <w:color w:val="auto"/>
          <w:lang w:val="en-US" w:eastAsia="zh-CN"/>
        </w:rPr>
        <w:t>党支部副书记学校</w:t>
      </w:r>
      <w:r>
        <w:rPr>
          <w:rFonts w:hint="default" w:ascii="Times New Roman" w:hAnsi="Times New Roman" w:cs="Times New Roman"/>
          <w:color w:val="auto"/>
          <w:lang w:val="en-US" w:eastAsia="zh-CN"/>
        </w:rPr>
        <w:t>校长、</w:t>
      </w:r>
      <w:r>
        <w:rPr>
          <w:rFonts w:hint="eastAsia" w:ascii="Times New Roman" w:hAnsi="Times New Roman" w:cs="Times New Roman"/>
          <w:color w:val="auto"/>
          <w:lang w:val="en-US" w:eastAsia="zh-CN"/>
        </w:rPr>
        <w:t>学校</w:t>
      </w:r>
      <w:r>
        <w:rPr>
          <w:rFonts w:hint="default" w:ascii="Times New Roman" w:hAnsi="Times New Roman" w:cs="Times New Roman"/>
          <w:color w:val="auto"/>
          <w:lang w:val="en-US" w:eastAsia="zh-CN"/>
        </w:rPr>
        <w:t>副校长、</w:t>
      </w:r>
      <w:r>
        <w:rPr>
          <w:rFonts w:hint="eastAsia" w:ascii="Times New Roman" w:hAnsi="Times New Roman" w:cs="Times New Roman"/>
          <w:color w:val="auto"/>
          <w:lang w:val="en-US" w:eastAsia="zh-CN"/>
        </w:rPr>
        <w:t>以及</w:t>
      </w:r>
      <w:r>
        <w:rPr>
          <w:rFonts w:hint="default" w:ascii="Times New Roman" w:hAnsi="Times New Roman" w:cs="Times New Roman"/>
          <w:color w:val="auto"/>
          <w:lang w:val="en-US" w:eastAsia="zh-CN"/>
        </w:rPr>
        <w:t>各科室主任</w:t>
      </w:r>
      <w:r>
        <w:rPr>
          <w:rFonts w:hint="eastAsia" w:ascii="Times New Roman" w:hAnsi="Times New Roman" w:cs="Times New Roman"/>
          <w:color w:val="auto"/>
          <w:lang w:val="en-US" w:eastAsia="zh-CN"/>
        </w:rPr>
        <w:t>和相关责任人</w:t>
      </w:r>
      <w:r>
        <w:rPr>
          <w:rFonts w:hint="default" w:ascii="Times New Roman" w:hAnsi="Times New Roman" w:cs="Times New Roman"/>
          <w:color w:val="auto"/>
          <w:lang w:val="en-US" w:eastAsia="zh-CN"/>
        </w:rPr>
        <w:t>为成员的内控领导小组，</w:t>
      </w:r>
      <w:r>
        <w:rPr>
          <w:rFonts w:hint="eastAsia" w:ascii="Times New Roman" w:hAnsi="Times New Roman" w:cs="Times New Roman"/>
          <w:color w:val="auto"/>
          <w:lang w:val="en-US" w:eastAsia="zh-CN"/>
        </w:rPr>
        <w:t>对学校各项</w:t>
      </w:r>
      <w:r>
        <w:rPr>
          <w:rFonts w:hint="default" w:ascii="Times New Roman" w:hAnsi="Times New Roman" w:cs="Times New Roman"/>
          <w:color w:val="auto"/>
          <w:lang w:val="en-US" w:eastAsia="zh-CN"/>
        </w:rPr>
        <w:t>资金</w:t>
      </w:r>
      <w:r>
        <w:rPr>
          <w:rFonts w:hint="eastAsia" w:ascii="Times New Roman" w:hAnsi="Times New Roman" w:cs="Times New Roman"/>
          <w:color w:val="auto"/>
          <w:lang w:val="en-US" w:eastAsia="zh-CN"/>
        </w:rPr>
        <w:t>的</w:t>
      </w:r>
      <w:r>
        <w:rPr>
          <w:rFonts w:hint="default" w:ascii="Times New Roman" w:hAnsi="Times New Roman" w:cs="Times New Roman"/>
          <w:color w:val="auto"/>
          <w:lang w:val="en-US" w:eastAsia="zh-CN"/>
        </w:rPr>
        <w:t>使用情况进行监督</w:t>
      </w:r>
      <w:r>
        <w:rPr>
          <w:rFonts w:hint="eastAsia" w:ascii="Times New Roman" w:hAnsi="Times New Roman" w:cs="Times New Roman"/>
          <w:color w:val="auto"/>
          <w:lang w:val="en-US" w:eastAsia="zh-CN"/>
        </w:rPr>
        <w:t>完善，及时发现资金使用中存在的问题和疏漏处，及时进行调整，</w:t>
      </w:r>
      <w:r>
        <w:rPr>
          <w:rFonts w:hint="default" w:ascii="Times New Roman" w:hAnsi="Times New Roman" w:cs="Times New Roman"/>
          <w:color w:val="auto"/>
          <w:lang w:val="en-US" w:eastAsia="zh-CN"/>
        </w:rPr>
        <w:t>经过</w:t>
      </w:r>
      <w:r>
        <w:rPr>
          <w:rFonts w:hint="eastAsia" w:ascii="Times New Roman" w:hAnsi="Times New Roman" w:cs="Times New Roman"/>
          <w:color w:val="auto"/>
          <w:lang w:val="en-US" w:eastAsia="zh-CN"/>
        </w:rPr>
        <w:t>乌鲁木齐县人民</w:t>
      </w:r>
      <w:r>
        <w:rPr>
          <w:rFonts w:hint="default" w:ascii="Times New Roman" w:hAnsi="Times New Roman" w:cs="Times New Roman"/>
          <w:color w:val="auto"/>
          <w:lang w:val="en-US" w:eastAsia="zh-CN"/>
        </w:rPr>
        <w:t>政府的批准</w:t>
      </w:r>
      <w:r>
        <w:rPr>
          <w:rFonts w:hint="eastAsia" w:ascii="Times New Roman" w:hAnsi="Times New Roman" w:cs="Times New Roman"/>
          <w:color w:val="auto"/>
          <w:lang w:val="en-US" w:eastAsia="zh-CN"/>
        </w:rPr>
        <w:t>进行</w:t>
      </w:r>
      <w:r>
        <w:rPr>
          <w:rFonts w:hint="default" w:ascii="Times New Roman" w:hAnsi="Times New Roman" w:cs="Times New Roman"/>
          <w:color w:val="auto"/>
          <w:lang w:val="en-US" w:eastAsia="zh-CN"/>
        </w:rPr>
        <w:t>消防水池</w:t>
      </w:r>
      <w:r>
        <w:rPr>
          <w:rFonts w:hint="eastAsia" w:ascii="Times New Roman" w:hAnsi="Times New Roman" w:cs="Times New Roman"/>
          <w:color w:val="auto"/>
          <w:lang w:val="en-US" w:eastAsia="zh-CN"/>
        </w:rPr>
        <w:t>项目开展工作。消防水池工程项目原定于暑假完工，</w:t>
      </w:r>
      <w:r>
        <w:rPr>
          <w:rFonts w:hint="default" w:ascii="Times New Roman" w:hAnsi="Times New Roman" w:cs="Times New Roman"/>
          <w:color w:val="auto"/>
          <w:lang w:val="en-US" w:eastAsia="zh-CN"/>
        </w:rPr>
        <w:t>由于疫情原因未能及时完工，于2023年继续开展建设，2023年</w:t>
      </w:r>
      <w:r>
        <w:rPr>
          <w:rFonts w:hint="eastAsia" w:ascii="Times New Roman" w:hAnsi="Times New Roman" w:cs="Times New Roman"/>
          <w:color w:val="auto"/>
          <w:lang w:val="en-US" w:eastAsia="zh-CN"/>
        </w:rPr>
        <w:t>完成</w:t>
      </w:r>
      <w:r>
        <w:rPr>
          <w:rFonts w:hint="default" w:ascii="Times New Roman" w:hAnsi="Times New Roman" w:cs="Times New Roman"/>
          <w:color w:val="auto"/>
          <w:lang w:val="en-US" w:eastAsia="zh-CN"/>
        </w:rPr>
        <w:t>竣工并于</w:t>
      </w:r>
      <w:r>
        <w:rPr>
          <w:rFonts w:hint="eastAsia" w:ascii="Times New Roman" w:hAnsi="Times New Roman" w:cs="Times New Roman"/>
          <w:color w:val="auto"/>
          <w:lang w:val="en-US" w:eastAsia="zh-CN"/>
        </w:rPr>
        <w:t>11</w:t>
      </w:r>
      <w:r>
        <w:rPr>
          <w:rFonts w:hint="default" w:ascii="Times New Roman" w:hAnsi="Times New Roman" w:cs="Times New Roman"/>
          <w:color w:val="auto"/>
          <w:lang w:val="en-US" w:eastAsia="zh-CN"/>
        </w:rPr>
        <w:t>月完成验收工作。</w:t>
      </w:r>
    </w:p>
    <w:p>
      <w:pPr>
        <w:bidi w:val="0"/>
        <w:rPr>
          <w:rFonts w:hint="default" w:ascii="Times New Roman" w:hAnsi="Times New Roman" w:cs="Times New Roman"/>
          <w:color w:val="auto"/>
        </w:rPr>
      </w:pPr>
      <w:r>
        <w:rPr>
          <w:rFonts w:hint="default" w:ascii="Times New Roman" w:hAnsi="Times New Roman" w:cs="Times New Roman"/>
          <w:color w:val="auto"/>
          <w:lang w:val="en-US" w:eastAsia="zh-CN"/>
        </w:rPr>
        <w:t>评价的数据主要来源于：</w:t>
      </w:r>
      <w:r>
        <w:rPr>
          <w:rFonts w:hint="eastAsia" w:ascii="Times New Roman" w:hAnsi="Times New Roman" w:cs="Times New Roman"/>
          <w:color w:val="auto"/>
          <w:lang w:val="en-US" w:eastAsia="zh-CN"/>
        </w:rPr>
        <w:t>会计凭证、消防水池</w:t>
      </w:r>
      <w:r>
        <w:rPr>
          <w:rFonts w:hint="default" w:ascii="Times New Roman" w:hAnsi="Times New Roman" w:cs="Times New Roman"/>
          <w:color w:val="auto"/>
          <w:lang w:val="en-US" w:eastAsia="zh-CN"/>
        </w:rPr>
        <w:t>结算审核表、合同、</w:t>
      </w:r>
      <w:r>
        <w:rPr>
          <w:rFonts w:hint="eastAsia" w:ascii="Times New Roman" w:hAnsi="Times New Roman" w:cs="Times New Roman"/>
          <w:color w:val="auto"/>
          <w:lang w:val="en-US" w:eastAsia="zh-CN"/>
        </w:rPr>
        <w:t>验收单、</w:t>
      </w:r>
      <w:r>
        <w:rPr>
          <w:rFonts w:hint="default" w:ascii="Times New Roman" w:hAnsi="Times New Roman" w:cs="Times New Roman"/>
          <w:color w:val="auto"/>
          <w:lang w:val="en-US" w:eastAsia="zh-CN"/>
        </w:rPr>
        <w:t>国库集中支付凭证。</w:t>
      </w:r>
      <w:r>
        <w:rPr>
          <w:rFonts w:hint="default" w:ascii="Times New Roman" w:hAnsi="Times New Roman" w:cs="Times New Roman"/>
          <w:color w:val="auto"/>
        </w:rPr>
        <w:t>数据准确</w:t>
      </w:r>
      <w:r>
        <w:rPr>
          <w:rFonts w:hint="default" w:ascii="Times New Roman" w:hAnsi="Times New Roman" w:cs="Times New Roman"/>
          <w:color w:val="auto"/>
          <w:lang w:eastAsia="zh-CN"/>
        </w:rPr>
        <w:t>、</w:t>
      </w:r>
      <w:r>
        <w:rPr>
          <w:rFonts w:hint="default" w:ascii="Times New Roman" w:hAnsi="Times New Roman" w:cs="Times New Roman"/>
          <w:color w:val="auto"/>
        </w:rPr>
        <w:t>完整</w:t>
      </w:r>
      <w:r>
        <w:rPr>
          <w:rFonts w:hint="default" w:ascii="Times New Roman" w:hAnsi="Times New Roman" w:cs="Times New Roman"/>
          <w:color w:val="auto"/>
          <w:lang w:val="en-US" w:eastAsia="zh-CN"/>
        </w:rPr>
        <w:t>地</w:t>
      </w:r>
      <w:r>
        <w:rPr>
          <w:rFonts w:hint="default" w:ascii="Times New Roman" w:hAnsi="Times New Roman" w:cs="Times New Roman"/>
          <w:color w:val="auto"/>
          <w:lang w:val="zh-CN"/>
        </w:rPr>
        <w:t>反映了项目绩效。</w:t>
      </w:r>
    </w:p>
    <w:p>
      <w:pPr>
        <w:pStyle w:val="4"/>
        <w:bidi w:val="0"/>
        <w:rPr>
          <w:rFonts w:hint="default"/>
        </w:rPr>
      </w:pPr>
      <w:bookmarkStart w:id="14" w:name="_Toc1366"/>
      <w:r>
        <w:rPr>
          <w:rFonts w:hint="default"/>
        </w:rPr>
        <w:t>2.评价目的</w:t>
      </w:r>
      <w:bookmarkEnd w:id="14"/>
    </w:p>
    <w:p>
      <w:pPr>
        <w:bidi w:val="0"/>
        <w:rPr>
          <w:rFonts w:hint="default"/>
        </w:rPr>
      </w:pPr>
      <w:r>
        <w:rPr>
          <w:rFonts w:hint="default"/>
        </w:rPr>
        <w:t>本项工作旨在落实《中共中央 国务院关于全面实施预算绩效管理的意见》（中发〔2018〕34号）文件精神，全面推进预算绩效管理工作，落实预算执行及绩效管理主体责任。具体而言包括以下两点：</w:t>
      </w:r>
      <w:r>
        <w:rPr>
          <w:rFonts w:hint="eastAsia"/>
          <w:lang w:val="en-US" w:eastAsia="zh-CN"/>
        </w:rPr>
        <w:t xml:space="preserve">  </w:t>
      </w:r>
      <w:r>
        <w:rPr>
          <w:rFonts w:hint="default"/>
        </w:rPr>
        <w:t>（1）通过对项目设立的背景、意义、项目内容、项目现状及绩效目标、资金投入、资金管理、组织实施、数量指标、质量指标、时效指标、成本指标和效益指标等进行深入调研和分析，进一步了解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lang w:val="en-US" w:eastAsia="zh-CN"/>
        </w:rPr>
        <w:t>乌财教科【2021】96号文关于提前下达2022年城乡义务教育项目直达资金校舍安全保障机制经费--消防水池</w:t>
      </w:r>
      <w:r>
        <w:rPr>
          <w:rFonts w:hint="default"/>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bidi w:val="0"/>
        <w:rPr>
          <w:rFonts w:hint="default"/>
        </w:rPr>
      </w:pPr>
      <w:bookmarkStart w:id="15" w:name="_Toc300"/>
      <w:r>
        <w:rPr>
          <w:rFonts w:hint="default"/>
        </w:rPr>
        <w:t>3.评价对象</w:t>
      </w:r>
      <w:bookmarkEnd w:id="15"/>
    </w:p>
    <w:p>
      <w:pPr>
        <w:spacing w:line="360" w:lineRule="auto"/>
        <w:ind w:firstLine="560"/>
        <w:rPr>
          <w:rFonts w:hint="eastAsia" w:ascii="Times New Roman" w:hAnsi="Times New Roman" w:eastAsia="仿宋_GB2312" w:cs="Times New Roman"/>
          <w:lang w:val="en-US" w:eastAsia="zh-CN"/>
        </w:rPr>
      </w:pPr>
      <w:r>
        <w:rPr>
          <w:rFonts w:hint="default"/>
        </w:rPr>
        <w:t>（1）绩效评价的</w:t>
      </w:r>
      <w:r>
        <w:rPr>
          <w:rFonts w:hint="eastAsia"/>
          <w:lang w:val="en-US" w:eastAsia="zh-CN"/>
        </w:rPr>
        <w:t>对象：</w:t>
      </w:r>
      <w:r>
        <w:rPr>
          <w:rFonts w:hint="default"/>
        </w:rPr>
        <w:t>《</w:t>
      </w:r>
      <w:r>
        <w:rPr>
          <w:rFonts w:hint="eastAsia"/>
          <w:lang w:val="en-US" w:eastAsia="zh-CN"/>
        </w:rPr>
        <w:t>乌财教科【2021】96号文关于提前下达2022年城乡义务教育项目直达资金校舍安全保障机制经费</w:t>
      </w:r>
      <w:r>
        <w:rPr>
          <w:rFonts w:hint="default"/>
        </w:rPr>
        <w:t>》</w:t>
      </w:r>
      <w:r>
        <w:rPr>
          <w:rFonts w:hint="default" w:ascii="Times New Roman" w:hAnsi="Times New Roman" w:cs="Times New Roman"/>
        </w:rPr>
        <w:t xml:space="preserve"> </w:t>
      </w:r>
    </w:p>
    <w:p>
      <w:pPr>
        <w:pStyle w:val="4"/>
        <w:bidi w:val="0"/>
        <w:rPr>
          <w:rFonts w:hint="default"/>
        </w:rPr>
      </w:pPr>
      <w:bookmarkStart w:id="16" w:name="_Toc17477"/>
      <w:r>
        <w:rPr>
          <w:rFonts w:hint="default"/>
        </w:rPr>
        <w:t>4.绩效评价范围</w:t>
      </w:r>
      <w:bookmarkEnd w:id="16"/>
    </w:p>
    <w:p>
      <w:pPr>
        <w:bidi w:val="0"/>
        <w:rPr>
          <w:rFonts w:hint="default"/>
        </w:rPr>
      </w:pPr>
      <w:r>
        <w:rPr>
          <w:rFonts w:hint="default"/>
        </w:rPr>
        <w:t>1.时间范围：2023年1月1日至2023年12月31日。</w:t>
      </w:r>
    </w:p>
    <w:p>
      <w:pPr>
        <w:bidi w:val="0"/>
        <w:rPr>
          <w:rFonts w:hint="eastAsia" w:ascii="Times New Roman" w:hAnsi="Times New Roman" w:cs="Times New Roman"/>
          <w:color w:val="000000" w:themeColor="text1"/>
          <w:lang w:val="en-US" w:eastAsia="zh-CN"/>
          <w14:textFill>
            <w14:solidFill>
              <w14:schemeClr w14:val="tx1"/>
            </w14:solidFill>
          </w14:textFill>
        </w:rPr>
      </w:pPr>
      <w:r>
        <w:rPr>
          <w:rFonts w:hint="default"/>
          <w:color w:val="000000" w:themeColor="text1"/>
          <w14:textFill>
            <w14:solidFill>
              <w14:schemeClr w14:val="tx1"/>
            </w14:solidFill>
          </w14:textFill>
        </w:rPr>
        <w:t>2.项目范围</w:t>
      </w:r>
      <w:r>
        <w:rPr>
          <w:rFonts w:hint="eastAsia"/>
          <w:color w:val="000000" w:themeColor="text1"/>
          <w:lang w:eastAsia="zh-CN"/>
          <w14:textFill>
            <w14:solidFill>
              <w14:schemeClr w14:val="tx1"/>
            </w14:solidFill>
          </w14:textFill>
        </w:rPr>
        <w:t>：</w:t>
      </w:r>
      <w:r>
        <w:rPr>
          <w:rFonts w:hint="default"/>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乌财教科【2021】96号文关于提前下达2022年城乡义务教育项目直达资金校舍安全保障机制经费</w:t>
      </w:r>
      <w:r>
        <w:rPr>
          <w:rFonts w:hint="default"/>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该项目的实施通过“以防为主，防消结合”解决各类消防隐患为目的，牢牢守住消防安全的红线，确保我校教学教育环境进一步提高。项目实施前期</w:t>
      </w:r>
      <w:r>
        <w:rPr>
          <w:rFonts w:hint="eastAsia" w:ascii="Times New Roman" w:hAnsi="Times New Roman" w:cs="Times New Roman"/>
          <w:color w:val="000000" w:themeColor="text1"/>
          <w:lang w:val="en-US" w:eastAsia="zh-CN"/>
          <w14:textFill>
            <w14:solidFill>
              <w14:schemeClr w14:val="tx1"/>
            </w14:solidFill>
          </w14:textFill>
        </w:rPr>
        <w:t>我校</w:t>
      </w:r>
      <w:r>
        <w:rPr>
          <w:rFonts w:hint="default" w:ascii="Times New Roman" w:hAnsi="Times New Roman" w:cs="Times New Roman"/>
          <w:color w:val="000000" w:themeColor="text1"/>
          <w:lang w:val="en-US" w:eastAsia="zh-CN"/>
          <w14:textFill>
            <w14:solidFill>
              <w14:schemeClr w14:val="tx1"/>
            </w14:solidFill>
          </w14:textFill>
        </w:rPr>
        <w:t>成立了</w:t>
      </w:r>
      <w:r>
        <w:rPr>
          <w:rFonts w:hint="eastAsia" w:ascii="Times New Roman" w:hAnsi="Times New Roman" w:cs="Times New Roman"/>
          <w:color w:val="000000" w:themeColor="text1"/>
          <w:lang w:val="en-US" w:eastAsia="zh-CN"/>
          <w14:textFill>
            <w14:solidFill>
              <w14:schemeClr w14:val="tx1"/>
            </w14:solidFill>
          </w14:textFill>
        </w:rPr>
        <w:t>以党支部</w:t>
      </w:r>
      <w:r>
        <w:rPr>
          <w:rFonts w:hint="default" w:ascii="Times New Roman" w:hAnsi="Times New Roman" w:cs="Times New Roman"/>
          <w:color w:val="000000" w:themeColor="text1"/>
          <w:lang w:val="en-US" w:eastAsia="zh-CN"/>
          <w14:textFill>
            <w14:solidFill>
              <w14:schemeClr w14:val="tx1"/>
            </w14:solidFill>
          </w14:textFill>
        </w:rPr>
        <w:t>书记、</w:t>
      </w:r>
      <w:r>
        <w:rPr>
          <w:rFonts w:hint="eastAsia" w:ascii="Times New Roman" w:hAnsi="Times New Roman" w:cs="Times New Roman"/>
          <w:color w:val="000000" w:themeColor="text1"/>
          <w:lang w:val="en-US" w:eastAsia="zh-CN"/>
          <w14:textFill>
            <w14:solidFill>
              <w14:schemeClr w14:val="tx1"/>
            </w14:solidFill>
          </w14:textFill>
        </w:rPr>
        <w:t>党支部副书记学校</w:t>
      </w:r>
      <w:r>
        <w:rPr>
          <w:rFonts w:hint="default" w:ascii="Times New Roman" w:hAnsi="Times New Roman" w:cs="Times New Roman"/>
          <w:color w:val="000000" w:themeColor="text1"/>
          <w:lang w:val="en-US" w:eastAsia="zh-CN"/>
          <w14:textFill>
            <w14:solidFill>
              <w14:schemeClr w14:val="tx1"/>
            </w14:solidFill>
          </w14:textFill>
        </w:rPr>
        <w:t>校长、</w:t>
      </w:r>
      <w:r>
        <w:rPr>
          <w:rFonts w:hint="eastAsia" w:ascii="Times New Roman" w:hAnsi="Times New Roman" w:cs="Times New Roman"/>
          <w:color w:val="000000" w:themeColor="text1"/>
          <w:lang w:val="en-US" w:eastAsia="zh-CN"/>
          <w14:textFill>
            <w14:solidFill>
              <w14:schemeClr w14:val="tx1"/>
            </w14:solidFill>
          </w14:textFill>
        </w:rPr>
        <w:t>学校</w:t>
      </w:r>
      <w:r>
        <w:rPr>
          <w:rFonts w:hint="default" w:ascii="Times New Roman" w:hAnsi="Times New Roman" w:cs="Times New Roman"/>
          <w:color w:val="000000" w:themeColor="text1"/>
          <w:lang w:val="en-US" w:eastAsia="zh-CN"/>
          <w14:textFill>
            <w14:solidFill>
              <w14:schemeClr w14:val="tx1"/>
            </w14:solidFill>
          </w14:textFill>
        </w:rPr>
        <w:t>副校长、</w:t>
      </w:r>
      <w:r>
        <w:rPr>
          <w:rFonts w:hint="eastAsia" w:ascii="Times New Roman" w:hAnsi="Times New Roman" w:cs="Times New Roman"/>
          <w:color w:val="000000" w:themeColor="text1"/>
          <w:lang w:val="en-US" w:eastAsia="zh-CN"/>
          <w14:textFill>
            <w14:solidFill>
              <w14:schemeClr w14:val="tx1"/>
            </w14:solidFill>
          </w14:textFill>
        </w:rPr>
        <w:t>以及</w:t>
      </w:r>
      <w:r>
        <w:rPr>
          <w:rFonts w:hint="default" w:ascii="Times New Roman" w:hAnsi="Times New Roman" w:cs="Times New Roman"/>
          <w:color w:val="000000" w:themeColor="text1"/>
          <w:lang w:val="en-US" w:eastAsia="zh-CN"/>
          <w14:textFill>
            <w14:solidFill>
              <w14:schemeClr w14:val="tx1"/>
            </w14:solidFill>
          </w14:textFill>
        </w:rPr>
        <w:t>各科室主任</w:t>
      </w:r>
      <w:r>
        <w:rPr>
          <w:rFonts w:hint="eastAsia" w:ascii="Times New Roman" w:hAnsi="Times New Roman" w:cs="Times New Roman"/>
          <w:color w:val="000000" w:themeColor="text1"/>
          <w:lang w:val="en-US" w:eastAsia="zh-CN"/>
          <w14:textFill>
            <w14:solidFill>
              <w14:schemeClr w14:val="tx1"/>
            </w14:solidFill>
          </w14:textFill>
        </w:rPr>
        <w:t>和相关责任人</w:t>
      </w:r>
      <w:r>
        <w:rPr>
          <w:rFonts w:hint="default" w:ascii="Times New Roman" w:hAnsi="Times New Roman" w:cs="Times New Roman"/>
          <w:color w:val="000000" w:themeColor="text1"/>
          <w:lang w:val="en-US" w:eastAsia="zh-CN"/>
          <w14:textFill>
            <w14:solidFill>
              <w14:schemeClr w14:val="tx1"/>
            </w14:solidFill>
          </w14:textFill>
        </w:rPr>
        <w:t>为成员的内控领导小组，</w:t>
      </w:r>
      <w:r>
        <w:rPr>
          <w:rFonts w:hint="eastAsia" w:ascii="Times New Roman" w:hAnsi="Times New Roman" w:cs="Times New Roman"/>
          <w:color w:val="000000" w:themeColor="text1"/>
          <w:lang w:val="en-US" w:eastAsia="zh-CN"/>
          <w14:textFill>
            <w14:solidFill>
              <w14:schemeClr w14:val="tx1"/>
            </w14:solidFill>
          </w14:textFill>
        </w:rPr>
        <w:t>对学校各项</w:t>
      </w:r>
      <w:r>
        <w:rPr>
          <w:rFonts w:hint="default" w:ascii="Times New Roman" w:hAnsi="Times New Roman" w:cs="Times New Roman"/>
          <w:color w:val="000000" w:themeColor="text1"/>
          <w:lang w:val="en-US" w:eastAsia="zh-CN"/>
          <w14:textFill>
            <w14:solidFill>
              <w14:schemeClr w14:val="tx1"/>
            </w14:solidFill>
          </w14:textFill>
        </w:rPr>
        <w:t>资金</w:t>
      </w:r>
      <w:r>
        <w:rPr>
          <w:rFonts w:hint="eastAsia" w:ascii="Times New Roman" w:hAnsi="Times New Roman" w:cs="Times New Roman"/>
          <w:color w:val="000000" w:themeColor="text1"/>
          <w:lang w:val="en-US" w:eastAsia="zh-CN"/>
          <w14:textFill>
            <w14:solidFill>
              <w14:schemeClr w14:val="tx1"/>
            </w14:solidFill>
          </w14:textFill>
        </w:rPr>
        <w:t>的</w:t>
      </w:r>
      <w:r>
        <w:rPr>
          <w:rFonts w:hint="default" w:ascii="Times New Roman" w:hAnsi="Times New Roman" w:cs="Times New Roman"/>
          <w:color w:val="000000" w:themeColor="text1"/>
          <w:lang w:val="en-US" w:eastAsia="zh-CN"/>
          <w14:textFill>
            <w14:solidFill>
              <w14:schemeClr w14:val="tx1"/>
            </w14:solidFill>
          </w14:textFill>
        </w:rPr>
        <w:t>使用情况进行监督</w:t>
      </w:r>
      <w:r>
        <w:rPr>
          <w:rFonts w:hint="eastAsia" w:ascii="Times New Roman" w:hAnsi="Times New Roman" w:cs="Times New Roman"/>
          <w:color w:val="000000" w:themeColor="text1"/>
          <w:lang w:val="en-US" w:eastAsia="zh-CN"/>
          <w14:textFill>
            <w14:solidFill>
              <w14:schemeClr w14:val="tx1"/>
            </w14:solidFill>
          </w14:textFill>
        </w:rPr>
        <w:t>完善，及时发现资金使用中存在的问题和疏漏处，及时进行调整。</w:t>
      </w:r>
    </w:p>
    <w:p>
      <w:pPr>
        <w:pStyle w:val="3"/>
        <w:bidi w:val="0"/>
        <w:rPr>
          <w:rFonts w:hint="eastAsia"/>
          <w:lang w:val="en-US" w:eastAsia="zh-CN"/>
        </w:rPr>
      </w:pPr>
      <w:bookmarkStart w:id="17" w:name="_Toc67911606"/>
      <w:bookmarkStart w:id="18" w:name="_Toc4126"/>
      <w:bookmarkStart w:id="19" w:name="_Hlk67586765"/>
      <w:r>
        <w:rPr>
          <w:rFonts w:hint="default"/>
        </w:rPr>
        <w:t>（二）绩效评价原则、指标体系、方法及</w:t>
      </w:r>
      <w:bookmarkEnd w:id="17"/>
      <w:r>
        <w:rPr>
          <w:rFonts w:hint="eastAsia"/>
          <w:lang w:val="en-US" w:eastAsia="zh-CN"/>
        </w:rPr>
        <w:t>标准：</w:t>
      </w:r>
      <w:bookmarkEnd w:id="18"/>
    </w:p>
    <w:bookmarkEnd w:id="19"/>
    <w:p>
      <w:pPr>
        <w:pStyle w:val="4"/>
        <w:bidi w:val="0"/>
        <w:rPr>
          <w:rFonts w:hint="eastAsia"/>
          <w:lang w:val="en-US" w:eastAsia="zh-CN"/>
        </w:rPr>
      </w:pPr>
      <w:bookmarkStart w:id="20" w:name="_Toc601"/>
      <w:r>
        <w:rPr>
          <w:rFonts w:hint="default"/>
        </w:rPr>
        <w:t>1.评价</w:t>
      </w:r>
      <w:r>
        <w:rPr>
          <w:rFonts w:hint="eastAsia"/>
          <w:lang w:val="en-US" w:eastAsia="zh-CN"/>
        </w:rPr>
        <w:t>原则：</w:t>
      </w:r>
      <w:bookmarkEnd w:id="20"/>
    </w:p>
    <w:p>
      <w:pPr>
        <w:bidi w:val="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bidi w:val="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bidi w:val="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bidi w:val="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4"/>
        <w:bidi w:val="0"/>
        <w:rPr>
          <w:rFonts w:hint="default"/>
        </w:rPr>
      </w:pPr>
      <w:bookmarkStart w:id="21" w:name="_Toc10950"/>
      <w:r>
        <w:rPr>
          <w:rFonts w:hint="default"/>
        </w:rPr>
        <w:t>2.评价指标体系</w:t>
      </w:r>
      <w:bookmarkEnd w:id="21"/>
    </w:p>
    <w:p>
      <w:pPr>
        <w:bidi w:val="0"/>
        <w:rPr>
          <w:rFonts w:hint="default"/>
        </w:rPr>
      </w:pPr>
      <w:r>
        <w:rPr>
          <w:rFonts w:hint="default"/>
        </w:rPr>
        <w:t>绩效评价指标体系作为衡量绩效目标实现程度的考核工具，一般遵循以下原则：</w:t>
      </w:r>
    </w:p>
    <w:p>
      <w:pPr>
        <w:bidi w:val="0"/>
        <w:rPr>
          <w:rFonts w:hint="default"/>
        </w:rPr>
      </w:pPr>
      <w:r>
        <w:rPr>
          <w:rFonts w:hint="default"/>
        </w:rPr>
        <w:t>（1）相关性原则：绩效评价指标应当与绩效目标有直接的联系，能够恰当反映目标的实现程度。</w:t>
      </w:r>
    </w:p>
    <w:p>
      <w:pPr>
        <w:bidi w:val="0"/>
        <w:rPr>
          <w:rFonts w:hint="default"/>
        </w:rPr>
      </w:pPr>
      <w:r>
        <w:rPr>
          <w:rFonts w:hint="default"/>
        </w:rPr>
        <w:t>（2）重要性原则：应当优先使用最具评价对象代表性、最能反映评价要求的核心指标。</w:t>
      </w:r>
    </w:p>
    <w:p>
      <w:pPr>
        <w:bidi w:val="0"/>
        <w:rPr>
          <w:rFonts w:hint="default"/>
        </w:rPr>
      </w:pPr>
      <w:r>
        <w:rPr>
          <w:rFonts w:hint="default"/>
        </w:rPr>
        <w:t>（3）可比性原则：对同类评价对象要设定共性的绩效评价指标，以便于评价结果可以相互比较。</w:t>
      </w:r>
    </w:p>
    <w:p>
      <w:pPr>
        <w:bidi w:val="0"/>
        <w:rPr>
          <w:rFonts w:hint="default"/>
        </w:rPr>
      </w:pPr>
      <w:r>
        <w:rPr>
          <w:rFonts w:hint="default"/>
        </w:rPr>
        <w:t>（4）系统性原则：绩效评价指标的设置应当将定量指标与定性指标相结合，能系统反映财政支出所产生的社会效益、经济效益和可持续影响等。</w:t>
      </w:r>
    </w:p>
    <w:p>
      <w:pPr>
        <w:bidi w:val="0"/>
        <w:rPr>
          <w:rFonts w:hint="default"/>
        </w:rPr>
      </w:pPr>
      <w:r>
        <w:rPr>
          <w:rFonts w:hint="default"/>
        </w:rPr>
        <w:t>（5）经济性原则：绩效评价指标设计应当通俗易懂、简便易行，数据的获得应当考虑现实条件和可操作性，符合成本效益原则。</w:t>
      </w:r>
    </w:p>
    <w:p>
      <w:pPr>
        <w:bidi w:val="0"/>
        <w:rPr>
          <w:rFonts w:hint="default"/>
        </w:rPr>
      </w:pPr>
      <w:r>
        <w:rPr>
          <w:rFonts w:hint="default"/>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决策</w:t>
            </w:r>
          </w:p>
        </w:tc>
        <w:tc>
          <w:tcPr>
            <w:tcW w:w="1199"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项目立项</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立项依据</w:t>
            </w:r>
          </w:p>
          <w:p>
            <w:pPr>
              <w:pStyle w:val="40"/>
              <w:bidi w:val="0"/>
              <w:jc w:val="center"/>
              <w:rPr>
                <w:rFonts w:hint="default"/>
                <w:sz w:val="24"/>
                <w:szCs w:val="24"/>
              </w:rPr>
            </w:pPr>
            <w:r>
              <w:rPr>
                <w:rFonts w:hint="default"/>
                <w:sz w:val="24"/>
                <w:szCs w:val="24"/>
              </w:rPr>
              <w:t>充分性</w:t>
            </w:r>
          </w:p>
        </w:tc>
        <w:tc>
          <w:tcPr>
            <w:tcW w:w="278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①项目立项是否符合国家法律法规、国民经济发展规划和相关政策；</w:t>
            </w:r>
            <w:r>
              <w:rPr>
                <w:rFonts w:hint="default"/>
                <w:sz w:val="24"/>
                <w:szCs w:val="24"/>
              </w:rPr>
              <w:br w:type="textWrapping"/>
            </w:r>
            <w:r>
              <w:rPr>
                <w:rFonts w:hint="default"/>
                <w:sz w:val="24"/>
                <w:szCs w:val="24"/>
              </w:rPr>
              <w:t>②项目立项是否符合行业发展规划和政策要求；</w:t>
            </w:r>
            <w:r>
              <w:rPr>
                <w:rFonts w:hint="default"/>
                <w:sz w:val="24"/>
                <w:szCs w:val="24"/>
              </w:rPr>
              <w:br w:type="textWrapping"/>
            </w:r>
            <w:r>
              <w:rPr>
                <w:rFonts w:hint="default"/>
                <w:sz w:val="24"/>
                <w:szCs w:val="24"/>
              </w:rPr>
              <w:t>③项目立项是否与部门职责范围相符，属于部门履职所需；</w:t>
            </w:r>
            <w:r>
              <w:rPr>
                <w:rFonts w:hint="default"/>
                <w:sz w:val="24"/>
                <w:szCs w:val="24"/>
              </w:rPr>
              <w:br w:type="textWrapping"/>
            </w:r>
            <w:r>
              <w:rPr>
                <w:rFonts w:hint="default"/>
                <w:sz w:val="24"/>
                <w:szCs w:val="24"/>
              </w:rPr>
              <w:t>④项目是否属于公共财政支持范围，是否符合中央、地方事权支出责任划分原则；</w:t>
            </w:r>
            <w:r>
              <w:rPr>
                <w:rFonts w:hint="default"/>
                <w:sz w:val="24"/>
                <w:szCs w:val="24"/>
              </w:rPr>
              <w:br w:type="textWrapping"/>
            </w:r>
            <w:r>
              <w:rPr>
                <w:rFonts w:hint="default"/>
                <w:sz w:val="24"/>
                <w:szCs w:val="24"/>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立项程序</w:t>
            </w:r>
          </w:p>
          <w:p>
            <w:pPr>
              <w:pStyle w:val="40"/>
              <w:bidi w:val="0"/>
              <w:jc w:val="center"/>
              <w:rPr>
                <w:rFonts w:hint="default"/>
                <w:sz w:val="24"/>
                <w:szCs w:val="24"/>
              </w:rPr>
            </w:pPr>
            <w:r>
              <w:rPr>
                <w:rFonts w:hint="default"/>
                <w:sz w:val="24"/>
                <w:szCs w:val="24"/>
              </w:rPr>
              <w:t>规范性</w:t>
            </w:r>
          </w:p>
        </w:tc>
        <w:tc>
          <w:tcPr>
            <w:tcW w:w="278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项目申请、设立过程是否符合相关要求，用以反映和考核项目立项的规范情况。</w:t>
            </w:r>
          </w:p>
        </w:tc>
        <w:tc>
          <w:tcPr>
            <w:tcW w:w="7341" w:type="dxa"/>
            <w:tcBorders>
              <w:tl2br w:val="nil"/>
              <w:tr2bl w:val="nil"/>
            </w:tcBorders>
            <w:shd w:val="clear" w:color="auto"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①项目是否按照规定的程序申请设立；</w:t>
            </w:r>
            <w:r>
              <w:rPr>
                <w:rFonts w:hint="default"/>
                <w:sz w:val="24"/>
                <w:szCs w:val="24"/>
              </w:rPr>
              <w:br w:type="textWrapping"/>
            </w:r>
            <w:r>
              <w:rPr>
                <w:rFonts w:hint="default"/>
                <w:sz w:val="24"/>
                <w:szCs w:val="24"/>
              </w:rPr>
              <w:t>②审批文件、材料是否符合相关要求；</w:t>
            </w:r>
            <w:r>
              <w:rPr>
                <w:rFonts w:hint="default"/>
                <w:sz w:val="24"/>
                <w:szCs w:val="24"/>
              </w:rPr>
              <w:br w:type="textWrapping"/>
            </w:r>
            <w:r>
              <w:rPr>
                <w:rFonts w:hint="default"/>
                <w:sz w:val="24"/>
                <w:szCs w:val="24"/>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绩效目标</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绩效目标</w:t>
            </w:r>
          </w:p>
          <w:p>
            <w:pPr>
              <w:pStyle w:val="40"/>
              <w:bidi w:val="0"/>
              <w:jc w:val="center"/>
              <w:rPr>
                <w:rFonts w:hint="default"/>
                <w:sz w:val="24"/>
                <w:szCs w:val="24"/>
              </w:rPr>
            </w:pPr>
            <w:r>
              <w:rPr>
                <w:rFonts w:hint="default"/>
                <w:sz w:val="24"/>
                <w:szCs w:val="24"/>
              </w:rPr>
              <w:t>合理性</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（如未设定预算绩效目标，也可考核其他工作任务目标）</w:t>
            </w:r>
            <w:r>
              <w:rPr>
                <w:rFonts w:hint="default"/>
                <w:sz w:val="24"/>
                <w:szCs w:val="24"/>
              </w:rPr>
              <w:br w:type="textWrapping"/>
            </w:r>
            <w:r>
              <w:rPr>
                <w:rFonts w:hint="default"/>
                <w:sz w:val="24"/>
                <w:szCs w:val="24"/>
              </w:rPr>
              <w:t>①项目是否有绩效目标；</w:t>
            </w:r>
            <w:r>
              <w:rPr>
                <w:rFonts w:hint="default"/>
                <w:sz w:val="24"/>
                <w:szCs w:val="24"/>
              </w:rPr>
              <w:br w:type="textWrapping"/>
            </w:r>
            <w:r>
              <w:rPr>
                <w:rFonts w:hint="default"/>
                <w:sz w:val="24"/>
                <w:szCs w:val="24"/>
              </w:rPr>
              <w:t>②项目绩效目标与实际工作内容是否具有相关性；</w:t>
            </w:r>
            <w:r>
              <w:rPr>
                <w:rFonts w:hint="default"/>
                <w:sz w:val="24"/>
                <w:szCs w:val="24"/>
              </w:rPr>
              <w:br w:type="textWrapping"/>
            </w:r>
            <w:r>
              <w:rPr>
                <w:rFonts w:hint="default"/>
                <w:sz w:val="24"/>
                <w:szCs w:val="24"/>
              </w:rPr>
              <w:t>③项目预期产出效益和效果是否符合正常的业绩水平；</w:t>
            </w:r>
          </w:p>
          <w:p>
            <w:pPr>
              <w:pStyle w:val="40"/>
              <w:bidi w:val="0"/>
              <w:rPr>
                <w:rFonts w:hint="default"/>
                <w:sz w:val="24"/>
                <w:szCs w:val="24"/>
              </w:rPr>
            </w:pPr>
            <w:r>
              <w:rPr>
                <w:rFonts w:hint="default"/>
                <w:sz w:val="24"/>
                <w:szCs w:val="24"/>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决策</w:t>
            </w:r>
          </w:p>
        </w:tc>
        <w:tc>
          <w:tcPr>
            <w:tcW w:w="119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绩效目标</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绩效指标</w:t>
            </w:r>
          </w:p>
          <w:p>
            <w:pPr>
              <w:pStyle w:val="40"/>
              <w:bidi w:val="0"/>
              <w:jc w:val="center"/>
              <w:rPr>
                <w:rFonts w:hint="default"/>
                <w:sz w:val="24"/>
                <w:szCs w:val="24"/>
              </w:rPr>
            </w:pPr>
            <w:r>
              <w:rPr>
                <w:rFonts w:hint="default"/>
                <w:sz w:val="24"/>
                <w:szCs w:val="24"/>
              </w:rPr>
              <w:t>明确性</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①是否将项目绩效目标细化分解为具体的绩效指标；</w:t>
            </w:r>
            <w:r>
              <w:rPr>
                <w:rFonts w:hint="default"/>
                <w:sz w:val="24"/>
                <w:szCs w:val="24"/>
              </w:rPr>
              <w:br w:type="textWrapping"/>
            </w:r>
            <w:r>
              <w:rPr>
                <w:rFonts w:hint="default"/>
                <w:sz w:val="24"/>
                <w:szCs w:val="24"/>
              </w:rPr>
              <w:t>②是否通过清晰、可衡量的指标值予以体现；</w:t>
            </w:r>
            <w:r>
              <w:rPr>
                <w:rFonts w:hint="default"/>
                <w:sz w:val="24"/>
                <w:szCs w:val="24"/>
              </w:rPr>
              <w:br w:type="textWrapping"/>
            </w:r>
            <w:r>
              <w:rPr>
                <w:rFonts w:hint="default"/>
                <w:sz w:val="24"/>
                <w:szCs w:val="24"/>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资金投入</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预算编制</w:t>
            </w:r>
          </w:p>
          <w:p>
            <w:pPr>
              <w:pStyle w:val="40"/>
              <w:bidi w:val="0"/>
              <w:jc w:val="center"/>
              <w:rPr>
                <w:rFonts w:hint="default"/>
                <w:sz w:val="24"/>
                <w:szCs w:val="24"/>
              </w:rPr>
            </w:pPr>
            <w:r>
              <w:rPr>
                <w:rFonts w:hint="default"/>
                <w:sz w:val="24"/>
                <w:szCs w:val="24"/>
              </w:rPr>
              <w:t>科学性</w:t>
            </w:r>
          </w:p>
        </w:tc>
        <w:tc>
          <w:tcPr>
            <w:tcW w:w="278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①预算编制是否经过科学论证；</w:t>
            </w:r>
            <w:r>
              <w:rPr>
                <w:rFonts w:hint="default"/>
                <w:sz w:val="24"/>
                <w:szCs w:val="24"/>
              </w:rPr>
              <w:br w:type="textWrapping"/>
            </w:r>
            <w:r>
              <w:rPr>
                <w:rFonts w:hint="default"/>
                <w:sz w:val="24"/>
                <w:szCs w:val="24"/>
              </w:rPr>
              <w:t>②预算内容与项目内容是否匹配；</w:t>
            </w:r>
            <w:r>
              <w:rPr>
                <w:rFonts w:hint="default"/>
                <w:sz w:val="24"/>
                <w:szCs w:val="24"/>
              </w:rPr>
              <w:br w:type="textWrapping"/>
            </w:r>
            <w:r>
              <w:rPr>
                <w:rFonts w:hint="default"/>
                <w:sz w:val="24"/>
                <w:szCs w:val="24"/>
              </w:rPr>
              <w:t>③预算额度测算依据是否充分，是否按照标准编制；</w:t>
            </w:r>
            <w:r>
              <w:rPr>
                <w:rFonts w:hint="default"/>
                <w:sz w:val="24"/>
                <w:szCs w:val="24"/>
              </w:rPr>
              <w:br w:type="textWrapping"/>
            </w:r>
            <w:r>
              <w:rPr>
                <w:rFonts w:hint="default"/>
                <w:sz w:val="24"/>
                <w:szCs w:val="24"/>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资金分配</w:t>
            </w:r>
          </w:p>
          <w:p>
            <w:pPr>
              <w:pStyle w:val="40"/>
              <w:bidi w:val="0"/>
              <w:jc w:val="center"/>
              <w:rPr>
                <w:rFonts w:hint="default"/>
                <w:sz w:val="24"/>
                <w:szCs w:val="24"/>
              </w:rPr>
            </w:pPr>
            <w:r>
              <w:rPr>
                <w:rFonts w:hint="default"/>
                <w:sz w:val="24"/>
                <w:szCs w:val="24"/>
              </w:rPr>
              <w:t>合理性</w:t>
            </w:r>
          </w:p>
        </w:tc>
        <w:tc>
          <w:tcPr>
            <w:tcW w:w="278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①预算资金分配依据是否充分；</w:t>
            </w:r>
            <w:r>
              <w:rPr>
                <w:rFonts w:hint="default"/>
                <w:sz w:val="24"/>
                <w:szCs w:val="24"/>
              </w:rPr>
              <w:br w:type="textWrapping"/>
            </w:r>
            <w:r>
              <w:rPr>
                <w:rFonts w:hint="default"/>
                <w:sz w:val="24"/>
                <w:szCs w:val="24"/>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过程</w:t>
            </w:r>
          </w:p>
        </w:tc>
        <w:tc>
          <w:tcPr>
            <w:tcW w:w="1199"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资金管理</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资金到位率</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资金到位率=（实际到位资金/预算资金）×100%。</w:t>
            </w:r>
          </w:p>
          <w:p>
            <w:pPr>
              <w:pStyle w:val="40"/>
              <w:bidi w:val="0"/>
              <w:rPr>
                <w:rFonts w:hint="default"/>
                <w:sz w:val="24"/>
                <w:szCs w:val="24"/>
              </w:rPr>
            </w:pPr>
            <w:r>
              <w:rPr>
                <w:rFonts w:hint="default"/>
                <w:sz w:val="24"/>
                <w:szCs w:val="24"/>
              </w:rPr>
              <w:t>实际到位资金：一定时期（本年度或项目期）内落实到具体项目的资金。</w:t>
            </w:r>
          </w:p>
          <w:p>
            <w:pPr>
              <w:pStyle w:val="40"/>
              <w:bidi w:val="0"/>
              <w:rPr>
                <w:rFonts w:hint="default"/>
                <w:sz w:val="24"/>
                <w:szCs w:val="24"/>
              </w:rPr>
            </w:pPr>
            <w:r>
              <w:rPr>
                <w:rFonts w:hint="default"/>
                <w:sz w:val="24"/>
                <w:szCs w:val="24"/>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预算执行率</w:t>
            </w:r>
          </w:p>
        </w:tc>
        <w:tc>
          <w:tcPr>
            <w:tcW w:w="278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项目预算资金是否按照计划执行，用以反映或考核项目预算执行情况。</w:t>
            </w:r>
          </w:p>
        </w:tc>
        <w:tc>
          <w:tcPr>
            <w:tcW w:w="7341" w:type="dxa"/>
            <w:tcBorders>
              <w:tl2br w:val="nil"/>
              <w:tr2bl w:val="nil"/>
            </w:tcBorders>
            <w:shd w:val="clear" w:color="auto" w:fill="FFFFFF"/>
            <w:vAlign w:val="center"/>
          </w:tcPr>
          <w:p>
            <w:pPr>
              <w:pStyle w:val="40"/>
              <w:bidi w:val="0"/>
              <w:rPr>
                <w:rFonts w:hint="default"/>
                <w:sz w:val="24"/>
                <w:szCs w:val="24"/>
              </w:rPr>
            </w:pPr>
            <w:r>
              <w:rPr>
                <w:rFonts w:hint="default"/>
                <w:sz w:val="24"/>
                <w:szCs w:val="24"/>
              </w:rPr>
              <w:t>预算执行率=（实际支出资金/实际到位资金）×100%。</w:t>
            </w:r>
            <w:r>
              <w:rPr>
                <w:rFonts w:hint="default"/>
                <w:sz w:val="24"/>
                <w:szCs w:val="24"/>
              </w:rPr>
              <w:br w:type="textWrapping"/>
            </w:r>
            <w:r>
              <w:rPr>
                <w:rFonts w:hint="default"/>
                <w:sz w:val="24"/>
                <w:szCs w:val="24"/>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过程</w:t>
            </w:r>
          </w:p>
        </w:tc>
        <w:tc>
          <w:tcPr>
            <w:tcW w:w="119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资金管理</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资金使用</w:t>
            </w:r>
          </w:p>
          <w:p>
            <w:pPr>
              <w:pStyle w:val="40"/>
              <w:bidi w:val="0"/>
              <w:jc w:val="center"/>
              <w:rPr>
                <w:rFonts w:hint="default"/>
                <w:sz w:val="24"/>
                <w:szCs w:val="24"/>
              </w:rPr>
            </w:pPr>
            <w:r>
              <w:rPr>
                <w:rFonts w:hint="default"/>
                <w:sz w:val="24"/>
                <w:szCs w:val="24"/>
              </w:rPr>
              <w:t>合规性</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①是否符合国家财经法规和财务管理制度以及有关专项资金管理办法的规定；</w:t>
            </w:r>
            <w:r>
              <w:rPr>
                <w:rFonts w:hint="default"/>
                <w:sz w:val="24"/>
                <w:szCs w:val="24"/>
              </w:rPr>
              <w:br w:type="textWrapping"/>
            </w:r>
            <w:r>
              <w:rPr>
                <w:rFonts w:hint="default"/>
                <w:sz w:val="24"/>
                <w:szCs w:val="24"/>
              </w:rPr>
              <w:t>②资金的拨付是否有完整的审批程序和手续；</w:t>
            </w:r>
            <w:r>
              <w:rPr>
                <w:rFonts w:hint="default"/>
                <w:sz w:val="24"/>
                <w:szCs w:val="24"/>
              </w:rPr>
              <w:br w:type="textWrapping"/>
            </w:r>
            <w:r>
              <w:rPr>
                <w:rFonts w:hint="default"/>
                <w:sz w:val="24"/>
                <w:szCs w:val="24"/>
              </w:rPr>
              <w:t>③是否符合项目预算批复或合同规定的用途；</w:t>
            </w:r>
            <w:r>
              <w:rPr>
                <w:rFonts w:hint="default"/>
                <w:sz w:val="24"/>
                <w:szCs w:val="24"/>
              </w:rPr>
              <w:br w:type="textWrapping"/>
            </w:r>
            <w:r>
              <w:rPr>
                <w:rFonts w:hint="default"/>
                <w:sz w:val="24"/>
                <w:szCs w:val="24"/>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组织实施</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管理制度</w:t>
            </w:r>
          </w:p>
          <w:p>
            <w:pPr>
              <w:pStyle w:val="40"/>
              <w:bidi w:val="0"/>
              <w:jc w:val="center"/>
              <w:rPr>
                <w:rFonts w:hint="default"/>
                <w:sz w:val="24"/>
                <w:szCs w:val="24"/>
              </w:rPr>
            </w:pPr>
            <w:r>
              <w:rPr>
                <w:rFonts w:hint="default"/>
                <w:sz w:val="24"/>
                <w:szCs w:val="24"/>
              </w:rPr>
              <w:t>健全性</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①是否已制定或具有相应的财务和业务管理制度；</w:t>
            </w:r>
            <w:r>
              <w:rPr>
                <w:rFonts w:hint="default"/>
                <w:sz w:val="24"/>
                <w:szCs w:val="24"/>
              </w:rPr>
              <w:br w:type="textWrapping"/>
            </w:r>
            <w:r>
              <w:rPr>
                <w:rFonts w:hint="default"/>
                <w:sz w:val="24"/>
                <w:szCs w:val="24"/>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制度执行</w:t>
            </w:r>
          </w:p>
          <w:p>
            <w:pPr>
              <w:pStyle w:val="40"/>
              <w:bidi w:val="0"/>
              <w:jc w:val="center"/>
              <w:rPr>
                <w:rFonts w:hint="default"/>
                <w:sz w:val="24"/>
                <w:szCs w:val="24"/>
              </w:rPr>
            </w:pPr>
            <w:r>
              <w:rPr>
                <w:rFonts w:hint="default"/>
                <w:sz w:val="24"/>
                <w:szCs w:val="24"/>
              </w:rPr>
              <w:t>有效性</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评价要点：</w:t>
            </w:r>
            <w:r>
              <w:rPr>
                <w:rFonts w:hint="default"/>
                <w:sz w:val="24"/>
                <w:szCs w:val="24"/>
              </w:rPr>
              <w:br w:type="textWrapping"/>
            </w:r>
            <w:r>
              <w:rPr>
                <w:rFonts w:hint="default"/>
                <w:sz w:val="24"/>
                <w:szCs w:val="24"/>
              </w:rPr>
              <w:t>①是否遵守相关法律法规和相关管理规定；</w:t>
            </w:r>
            <w:r>
              <w:rPr>
                <w:rFonts w:hint="default"/>
                <w:sz w:val="24"/>
                <w:szCs w:val="24"/>
              </w:rPr>
              <w:br w:type="textWrapping"/>
            </w:r>
            <w:r>
              <w:rPr>
                <w:rFonts w:hint="default"/>
                <w:sz w:val="24"/>
                <w:szCs w:val="24"/>
              </w:rPr>
              <w:t>②项目调整及支出调整手续是否完备；</w:t>
            </w:r>
            <w:r>
              <w:rPr>
                <w:rFonts w:hint="default"/>
                <w:sz w:val="24"/>
                <w:szCs w:val="24"/>
              </w:rPr>
              <w:br w:type="textWrapping"/>
            </w:r>
            <w:r>
              <w:rPr>
                <w:rFonts w:hint="default"/>
                <w:sz w:val="24"/>
                <w:szCs w:val="24"/>
              </w:rPr>
              <w:t>③项目合同书、验收报告、技术鉴定等资料是否齐全并及时归档；</w:t>
            </w:r>
            <w:r>
              <w:rPr>
                <w:rFonts w:hint="default"/>
                <w:sz w:val="24"/>
                <w:szCs w:val="24"/>
              </w:rPr>
              <w:br w:type="textWrapping"/>
            </w:r>
            <w:r>
              <w:rPr>
                <w:rFonts w:hint="default"/>
                <w:sz w:val="24"/>
                <w:szCs w:val="24"/>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产出</w:t>
            </w:r>
          </w:p>
        </w:tc>
        <w:tc>
          <w:tcPr>
            <w:tcW w:w="1199"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产出数量</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建设工程量</w:t>
            </w:r>
          </w:p>
        </w:tc>
        <w:tc>
          <w:tcPr>
            <w:tcW w:w="2789" w:type="dxa"/>
            <w:vMerge w:val="restart"/>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pStyle w:val="40"/>
              <w:bidi w:val="0"/>
              <w:rPr>
                <w:rFonts w:hint="default"/>
                <w:sz w:val="24"/>
                <w:szCs w:val="24"/>
              </w:rPr>
            </w:pPr>
            <w:r>
              <w:rPr>
                <w:rFonts w:hint="default"/>
                <w:sz w:val="24"/>
                <w:szCs w:val="24"/>
              </w:rPr>
              <w:t>实际完成率=（实际产出数/计划产出数）×100%。</w:t>
            </w:r>
            <w:r>
              <w:rPr>
                <w:rFonts w:hint="default"/>
                <w:sz w:val="24"/>
                <w:szCs w:val="24"/>
              </w:rPr>
              <w:br w:type="textWrapping"/>
            </w:r>
            <w:r>
              <w:rPr>
                <w:rFonts w:hint="default"/>
                <w:sz w:val="24"/>
                <w:szCs w:val="24"/>
              </w:rPr>
              <w:t>实际产出数：一定时期（本年度或项目期）内项目实际产出的产品或提供的服务数量。</w:t>
            </w:r>
            <w:r>
              <w:rPr>
                <w:rFonts w:hint="default"/>
                <w:sz w:val="24"/>
                <w:szCs w:val="24"/>
              </w:rPr>
              <w:br w:type="textWrapping"/>
            </w:r>
            <w:r>
              <w:rPr>
                <w:rFonts w:hint="default"/>
                <w:sz w:val="24"/>
                <w:szCs w:val="24"/>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continue"/>
            <w:tcBorders>
              <w:tl2br w:val="nil"/>
              <w:tr2bl w:val="nil"/>
            </w:tcBorders>
            <w:shd w:val="clear" w:color="auto" w:fill="FFFFFF"/>
            <w:vAlign w:val="center"/>
          </w:tcPr>
          <w:p>
            <w:pPr>
              <w:pStyle w:val="40"/>
              <w:bidi w:val="0"/>
              <w:jc w:val="center"/>
              <w:rPr>
                <w:sz w:val="24"/>
                <w:szCs w:val="24"/>
              </w:rPr>
            </w:pPr>
          </w:p>
        </w:tc>
        <w:tc>
          <w:tcPr>
            <w:tcW w:w="1199" w:type="dxa"/>
            <w:vMerge w:val="continue"/>
            <w:tcBorders>
              <w:tl2br w:val="nil"/>
              <w:tr2bl w:val="nil"/>
            </w:tcBorders>
            <w:shd w:val="clear" w:color="auto" w:fill="FFFFFF"/>
            <w:vAlign w:val="center"/>
          </w:tcPr>
          <w:p>
            <w:pPr>
              <w:pStyle w:val="40"/>
              <w:bidi w:val="0"/>
              <w:jc w:val="center"/>
              <w:rPr>
                <w:sz w:val="24"/>
                <w:szCs w:val="24"/>
              </w:rPr>
            </w:pP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消防水池储水量</w:t>
            </w:r>
          </w:p>
        </w:tc>
        <w:tc>
          <w:tcPr>
            <w:tcW w:w="2789" w:type="dxa"/>
            <w:vMerge w:val="continue"/>
            <w:tcBorders>
              <w:tl2br w:val="nil"/>
              <w:tr2bl w:val="nil"/>
            </w:tcBorders>
            <w:shd w:val="clear" w:color="000000" w:fill="FFFFFF"/>
            <w:vAlign w:val="center"/>
          </w:tcPr>
          <w:p>
            <w:pPr>
              <w:pStyle w:val="40"/>
              <w:bidi w:val="0"/>
              <w:jc w:val="center"/>
              <w:rPr>
                <w:rFonts w:hint="default"/>
                <w:sz w:val="24"/>
                <w:szCs w:val="24"/>
              </w:rPr>
            </w:pPr>
          </w:p>
        </w:tc>
        <w:tc>
          <w:tcPr>
            <w:tcW w:w="7341" w:type="dxa"/>
            <w:vMerge w:val="continue"/>
            <w:tcBorders>
              <w:tl2br w:val="nil"/>
              <w:tr2bl w:val="nil"/>
            </w:tcBorders>
            <w:shd w:val="clear" w:color="000000" w:fill="FFFFFF"/>
            <w:vAlign w:val="center"/>
          </w:tcPr>
          <w:p>
            <w:pPr>
              <w:pStyle w:val="40"/>
              <w:bidi w:val="0"/>
              <w:rPr>
                <w:rFonts w:hint="default"/>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产出</w:t>
            </w:r>
          </w:p>
        </w:tc>
        <w:tc>
          <w:tcPr>
            <w:tcW w:w="119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产出质量</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工程竣工及时率</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质量达标率=（质量达标产出数/实际产出数）×100%。</w:t>
            </w:r>
          </w:p>
          <w:p>
            <w:pPr>
              <w:pStyle w:val="40"/>
              <w:bidi w:val="0"/>
              <w:rPr>
                <w:rFonts w:hint="default"/>
                <w:sz w:val="24"/>
                <w:szCs w:val="24"/>
              </w:rPr>
            </w:pPr>
            <w:r>
              <w:rPr>
                <w:rFonts w:hint="default"/>
                <w:sz w:val="24"/>
                <w:szCs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产出时效</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按期完工</w:t>
            </w:r>
            <w:r>
              <w:rPr>
                <w:rFonts w:hint="default"/>
                <w:sz w:val="24"/>
                <w:szCs w:val="24"/>
              </w:rPr>
              <w:t>率</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实际完成时间：项目实施单位完成该项目实际所耗用的时间。</w:t>
            </w:r>
            <w:r>
              <w:rPr>
                <w:rFonts w:hint="default"/>
                <w:sz w:val="24"/>
                <w:szCs w:val="24"/>
              </w:rPr>
              <w:br w:type="textWrapping"/>
            </w:r>
            <w:r>
              <w:rPr>
                <w:rFonts w:hint="default"/>
                <w:sz w:val="24"/>
                <w:szCs w:val="24"/>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199" w:type="dxa"/>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产出成本</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消防水池成本控制率</w:t>
            </w:r>
          </w:p>
        </w:tc>
        <w:tc>
          <w:tcPr>
            <w:tcW w:w="2789" w:type="dxa"/>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pStyle w:val="40"/>
              <w:bidi w:val="0"/>
              <w:rPr>
                <w:rFonts w:hint="default"/>
                <w:sz w:val="24"/>
                <w:szCs w:val="24"/>
              </w:rPr>
            </w:pPr>
            <w:r>
              <w:rPr>
                <w:rFonts w:hint="default"/>
                <w:sz w:val="24"/>
                <w:szCs w:val="24"/>
              </w:rPr>
              <w:t>成本节约率=[（计划成本-实际成本）/计划成本]×100%。</w:t>
            </w:r>
            <w:r>
              <w:rPr>
                <w:rFonts w:hint="default"/>
                <w:sz w:val="24"/>
                <w:szCs w:val="24"/>
              </w:rPr>
              <w:br w:type="textWrapping"/>
            </w:r>
            <w:r>
              <w:rPr>
                <w:rFonts w:hint="default"/>
                <w:sz w:val="24"/>
                <w:szCs w:val="24"/>
              </w:rPr>
              <w:t>实际成本：项目实施单位如期、保质、保量完成既定工作目标实际所耗费的支出。</w:t>
            </w:r>
            <w:r>
              <w:rPr>
                <w:rFonts w:hint="default"/>
                <w:sz w:val="24"/>
                <w:szCs w:val="24"/>
              </w:rPr>
              <w:br w:type="textWrapping"/>
            </w:r>
            <w:r>
              <w:rPr>
                <w:rFonts w:hint="default"/>
                <w:sz w:val="24"/>
                <w:szCs w:val="24"/>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 w:hRule="atLeast"/>
          <w:jc w:val="center"/>
        </w:trPr>
        <w:tc>
          <w:tcPr>
            <w:tcW w:w="1155"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效益</w:t>
            </w:r>
          </w:p>
        </w:tc>
        <w:tc>
          <w:tcPr>
            <w:tcW w:w="1199" w:type="dxa"/>
            <w:vMerge w:val="restart"/>
            <w:tcBorders>
              <w:tl2br w:val="nil"/>
              <w:tr2bl w:val="nil"/>
            </w:tcBorders>
            <w:shd w:val="clear" w:color="auto" w:fill="FFFFFF"/>
            <w:vAlign w:val="center"/>
          </w:tcPr>
          <w:p>
            <w:pPr>
              <w:pStyle w:val="40"/>
              <w:bidi w:val="0"/>
              <w:jc w:val="center"/>
              <w:rPr>
                <w:rFonts w:hint="default"/>
                <w:sz w:val="24"/>
                <w:szCs w:val="24"/>
              </w:rPr>
            </w:pPr>
            <w:r>
              <w:rPr>
                <w:rFonts w:hint="default"/>
                <w:sz w:val="24"/>
                <w:szCs w:val="24"/>
              </w:rPr>
              <w:t>社会效益指标</w:t>
            </w: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项目受益人数</w:t>
            </w:r>
          </w:p>
        </w:tc>
        <w:tc>
          <w:tcPr>
            <w:tcW w:w="2789" w:type="dxa"/>
            <w:vMerge w:val="restart"/>
            <w:tcBorders>
              <w:tl2br w:val="nil"/>
              <w:tr2bl w:val="nil"/>
            </w:tcBorders>
            <w:shd w:val="clear" w:color="000000" w:fill="FFFFFF"/>
            <w:vAlign w:val="center"/>
          </w:tcPr>
          <w:p>
            <w:pPr>
              <w:pStyle w:val="40"/>
              <w:bidi w:val="0"/>
              <w:jc w:val="center"/>
              <w:rPr>
                <w:rFonts w:hint="default"/>
                <w:sz w:val="24"/>
                <w:szCs w:val="24"/>
              </w:rPr>
            </w:pPr>
            <w:r>
              <w:rPr>
                <w:rFonts w:hint="default"/>
                <w:sz w:val="24"/>
                <w:szCs w:val="24"/>
              </w:rPr>
              <w:t>项目实施所产生的效益。</w:t>
            </w:r>
          </w:p>
        </w:tc>
        <w:tc>
          <w:tcPr>
            <w:tcW w:w="7341" w:type="dxa"/>
            <w:vMerge w:val="restart"/>
            <w:tcBorders>
              <w:tl2br w:val="nil"/>
              <w:tr2bl w:val="nil"/>
            </w:tcBorders>
            <w:shd w:val="clear" w:color="000000" w:fill="FFFFFF"/>
            <w:vAlign w:val="center"/>
          </w:tcPr>
          <w:p>
            <w:pPr>
              <w:pStyle w:val="40"/>
              <w:bidi w:val="0"/>
              <w:rPr>
                <w:rFonts w:hint="default"/>
                <w:sz w:val="24"/>
                <w:szCs w:val="24"/>
              </w:rPr>
            </w:pPr>
            <w:r>
              <w:rPr>
                <w:rFonts w:hint="default"/>
                <w:sz w:val="24"/>
                <w:szCs w:val="24"/>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pStyle w:val="40"/>
              <w:bidi w:val="0"/>
              <w:rPr>
                <w:rFonts w:hint="default"/>
                <w:sz w:val="24"/>
                <w:szCs w:val="24"/>
              </w:rPr>
            </w:pPr>
          </w:p>
        </w:tc>
        <w:tc>
          <w:tcPr>
            <w:tcW w:w="1199" w:type="dxa"/>
            <w:vMerge w:val="continue"/>
            <w:tcBorders>
              <w:tl2br w:val="nil"/>
              <w:tr2bl w:val="nil"/>
            </w:tcBorders>
            <w:shd w:val="clear" w:color="auto" w:fill="FFFFFF"/>
            <w:vAlign w:val="center"/>
          </w:tcPr>
          <w:p>
            <w:pPr>
              <w:pStyle w:val="40"/>
              <w:bidi w:val="0"/>
              <w:jc w:val="center"/>
              <w:rPr>
                <w:rFonts w:hint="default"/>
                <w:sz w:val="24"/>
                <w:szCs w:val="24"/>
              </w:rPr>
            </w:pPr>
          </w:p>
        </w:tc>
        <w:tc>
          <w:tcPr>
            <w:tcW w:w="1411" w:type="dxa"/>
            <w:tcBorders>
              <w:tl2br w:val="nil"/>
              <w:tr2bl w:val="nil"/>
            </w:tcBorders>
            <w:shd w:val="clear" w:color="auto" w:fill="FFFFFF"/>
            <w:vAlign w:val="center"/>
          </w:tcPr>
          <w:p>
            <w:pPr>
              <w:pStyle w:val="40"/>
              <w:bidi w:val="0"/>
              <w:jc w:val="center"/>
              <w:rPr>
                <w:rFonts w:hint="default"/>
                <w:sz w:val="24"/>
                <w:szCs w:val="24"/>
              </w:rPr>
            </w:pPr>
            <w:r>
              <w:rPr>
                <w:rFonts w:hint="eastAsia"/>
                <w:sz w:val="24"/>
                <w:szCs w:val="24"/>
                <w:lang w:val="en-US" w:eastAsia="zh-CN"/>
              </w:rPr>
              <w:t>义务教育薄弱环节改善和能力提升</w:t>
            </w:r>
          </w:p>
        </w:tc>
        <w:tc>
          <w:tcPr>
            <w:tcW w:w="2789" w:type="dxa"/>
            <w:vMerge w:val="continue"/>
            <w:tcBorders>
              <w:tl2br w:val="nil"/>
              <w:tr2bl w:val="nil"/>
            </w:tcBorders>
            <w:shd w:val="clear" w:color="000000" w:fill="FFFFFF"/>
            <w:vAlign w:val="center"/>
          </w:tcPr>
          <w:p>
            <w:pPr>
              <w:pStyle w:val="40"/>
              <w:bidi w:val="0"/>
              <w:jc w:val="center"/>
              <w:rPr>
                <w:rFonts w:hint="default"/>
                <w:sz w:val="24"/>
                <w:szCs w:val="24"/>
              </w:rPr>
            </w:pPr>
          </w:p>
        </w:tc>
        <w:tc>
          <w:tcPr>
            <w:tcW w:w="7341" w:type="dxa"/>
            <w:vMerge w:val="continue"/>
            <w:tcBorders>
              <w:tl2br w:val="nil"/>
              <w:tr2bl w:val="nil"/>
            </w:tcBorders>
            <w:shd w:val="clear" w:color="000000" w:fill="FFFFFF"/>
            <w:vAlign w:val="center"/>
          </w:tcPr>
          <w:p>
            <w:pPr>
              <w:pStyle w:val="40"/>
              <w:bidi w:val="0"/>
              <w:rPr>
                <w:rFonts w:hint="default"/>
                <w:sz w:val="24"/>
                <w:szCs w:val="24"/>
              </w:rPr>
            </w:pP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bidi w:val="0"/>
        <w:rPr>
          <w:rFonts w:hint="default"/>
        </w:rPr>
      </w:pPr>
      <w:bookmarkStart w:id="22" w:name="_Toc29391"/>
      <w:bookmarkStart w:id="23" w:name="_Hlk67586038"/>
      <w:r>
        <w:rPr>
          <w:rFonts w:hint="default"/>
        </w:rPr>
        <w:t>3.评价方法</w:t>
      </w:r>
      <w:bookmarkEnd w:id="22"/>
    </w:p>
    <w:bookmarkEnd w:id="23"/>
    <w:p>
      <w:pPr>
        <w:bidi w:val="0"/>
        <w:rPr>
          <w:rFonts w:hint="default"/>
        </w:rPr>
      </w:pPr>
      <w:r>
        <w:rPr>
          <w:rFonts w:hint="default"/>
        </w:rPr>
        <w:t>《关于印发&lt;项目支出绩效评价管理办法&gt;的通知》（财预〔2020〕10号）文件指出部门评价的方法主要包括成本效益分析法、比较法、因素分析法、最低成本法、公众评判法、标杆管理法等。</w:t>
      </w:r>
    </w:p>
    <w:p>
      <w:pPr>
        <w:bidi w:val="0"/>
        <w:rPr>
          <w:rFonts w:hint="default"/>
        </w:rPr>
      </w:pPr>
      <w:r>
        <w:rPr>
          <w:rFonts w:hint="default"/>
        </w:rPr>
        <w:t>（1）成本效益分析法。是指将投入与产出、效益进行关联性分析的方法。</w:t>
      </w:r>
    </w:p>
    <w:p>
      <w:pPr>
        <w:bidi w:val="0"/>
        <w:rPr>
          <w:rFonts w:hint="default"/>
        </w:rPr>
      </w:pPr>
      <w:r>
        <w:rPr>
          <w:rFonts w:hint="default"/>
        </w:rPr>
        <w:t>（2）比较法。是指将实施情况与绩效目标、历史情况、不同部门和地区同类支出情况进行比较的方法。</w:t>
      </w:r>
    </w:p>
    <w:p>
      <w:pPr>
        <w:bidi w:val="0"/>
        <w:rPr>
          <w:rFonts w:hint="default"/>
        </w:rPr>
      </w:pPr>
      <w:r>
        <w:rPr>
          <w:rFonts w:hint="default"/>
        </w:rPr>
        <w:t>（3）因素分析法。是指综合分析影响绩效目标实现、实施效果的内外部因素的方法。</w:t>
      </w:r>
    </w:p>
    <w:p>
      <w:pPr>
        <w:bidi w:val="0"/>
        <w:rPr>
          <w:rFonts w:hint="default"/>
        </w:rPr>
      </w:pPr>
      <w:r>
        <w:rPr>
          <w:rFonts w:hint="default"/>
        </w:rPr>
        <w:t>（4）最低成本法。是指在绩效目标确定的前提下，成本最小者为优的方法。</w:t>
      </w:r>
    </w:p>
    <w:p>
      <w:pPr>
        <w:bidi w:val="0"/>
        <w:rPr>
          <w:rFonts w:hint="default"/>
        </w:rPr>
      </w:pPr>
      <w:r>
        <w:rPr>
          <w:rFonts w:hint="default"/>
        </w:rPr>
        <w:t>（5）公众评判法。是指通过专家评估、公众问卷及抽样调查等方式进行评判的方法。</w:t>
      </w:r>
    </w:p>
    <w:p>
      <w:pPr>
        <w:bidi w:val="0"/>
        <w:rPr>
          <w:rFonts w:hint="default"/>
        </w:rPr>
      </w:pPr>
      <w:r>
        <w:rPr>
          <w:rFonts w:hint="default"/>
        </w:rPr>
        <w:t>（6）标杆管理法。是指以国内外同行业中较高的绩效水平为标杆进行评判的方法。</w:t>
      </w:r>
    </w:p>
    <w:p>
      <w:pPr>
        <w:bidi w:val="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（7）其他评价方法。</w:t>
      </w:r>
    </w:p>
    <w:p>
      <w:pPr>
        <w:bidi w:val="0"/>
        <w:ind w:left="0" w:leftChars="0" w:firstLine="560" w:firstLineChars="20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根据本项目（《</w:t>
      </w:r>
      <w:r>
        <w:rPr>
          <w:rFonts w:hint="eastAsia"/>
          <w:color w:val="000000" w:themeColor="text1"/>
          <w:lang w:val="en-US" w:eastAsia="zh-CN"/>
          <w14:textFill>
            <w14:solidFill>
              <w14:schemeClr w14:val="tx1"/>
            </w14:solidFill>
          </w14:textFill>
        </w:rPr>
        <w:t>乌财教科【2021】96号文关于提前下达2022年城乡义务教育项目直达资金校舍安全保障机制经费</w:t>
      </w:r>
      <w:r>
        <w:rPr>
          <w:rFonts w:hint="default"/>
          <w:color w:val="000000" w:themeColor="text1"/>
          <w14:textFill>
            <w14:solidFill>
              <w14:schemeClr w14:val="tx1"/>
            </w14:solidFill>
          </w14:textFill>
        </w:rPr>
        <w:t>》）的特点，本次评价主要采用比较法</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2021</w:t>
      </w:r>
      <w:r>
        <w:rPr>
          <w:rFonts w:hint="eastAsia"/>
          <w:color w:val="000000" w:themeColor="text1"/>
          <w:lang w:eastAsia="zh-CN"/>
          <w14:textFill>
            <w14:solidFill>
              <w14:schemeClr w14:val="tx1"/>
            </w14:solidFill>
          </w14:textFill>
        </w:rPr>
        <w:t>年我校设施</w:t>
      </w:r>
      <w:r>
        <w:rPr>
          <w:rFonts w:hint="eastAsia"/>
          <w:color w:val="000000" w:themeColor="text1"/>
          <w:lang w:val="en-US" w:eastAsia="zh-CN"/>
          <w14:textFill>
            <w14:solidFill>
              <w14:schemeClr w14:val="tx1"/>
            </w14:solidFill>
          </w14:textFill>
        </w:rPr>
        <w:t>学校围栏更新、校舍粉刷、暖气更换、周转宿舍卫生间等维修改造经费预算资金63万元，资金到位63万元，全年项目经费使用45.49万元，执行率为72.2%。今年</w:t>
      </w:r>
      <w:r>
        <w:rPr>
          <w:rFonts w:hint="default"/>
          <w:color w:val="000000" w:themeColor="text1"/>
          <w:lang w:val="en-US" w:eastAsia="zh-CN"/>
          <w14:textFill>
            <w14:solidFill>
              <w14:schemeClr w14:val="tx1"/>
            </w14:solidFill>
          </w14:textFill>
        </w:rPr>
        <w:t>经</w:t>
      </w:r>
      <w:r>
        <w:rPr>
          <w:rFonts w:hint="eastAsia"/>
          <w:color w:val="000000" w:themeColor="text1"/>
          <w:lang w:val="en-US" w:eastAsia="zh-CN"/>
          <w14:textFill>
            <w14:solidFill>
              <w14:schemeClr w14:val="tx1"/>
            </w14:solidFill>
          </w14:textFill>
        </w:rPr>
        <w:t>乌财教科【2021】96号</w:t>
      </w:r>
      <w:r>
        <w:rPr>
          <w:rFonts w:hint="default"/>
          <w:color w:val="000000" w:themeColor="text1"/>
          <w:lang w:val="en-US" w:eastAsia="zh-CN"/>
          <w14:textFill>
            <w14:solidFill>
              <w14:schemeClr w14:val="tx1"/>
            </w14:solidFill>
          </w14:textFill>
        </w:rPr>
        <w:t>文件批准，项目系2022年中央资金，共安排预算</w:t>
      </w:r>
      <w:r>
        <w:rPr>
          <w:rFonts w:hint="eastAsia"/>
          <w:color w:val="000000" w:themeColor="text1"/>
          <w:lang w:val="en-US" w:eastAsia="zh-CN"/>
          <w14:textFill>
            <w14:solidFill>
              <w14:schemeClr w14:val="tx1"/>
            </w14:solidFill>
          </w14:textFill>
        </w:rPr>
        <w:t>79.4</w:t>
      </w:r>
      <w:r>
        <w:rPr>
          <w:rFonts w:hint="default"/>
          <w:color w:val="000000" w:themeColor="text1"/>
          <w:lang w:val="en-US" w:eastAsia="zh-CN"/>
          <w14:textFill>
            <w14:solidFill>
              <w14:schemeClr w14:val="tx1"/>
            </w14:solidFill>
          </w14:textFill>
        </w:rPr>
        <w:t>万元，于202</w:t>
      </w: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年年中</w:t>
      </w:r>
      <w:r>
        <w:rPr>
          <w:rFonts w:hint="eastAsia"/>
          <w:color w:val="000000" w:themeColor="text1"/>
          <w:lang w:val="en-US" w:eastAsia="zh-CN"/>
          <w14:textFill>
            <w14:solidFill>
              <w14:schemeClr w14:val="tx1"/>
            </w14:solidFill>
          </w14:textFill>
        </w:rPr>
        <w:t>结转</w:t>
      </w:r>
      <w:r>
        <w:rPr>
          <w:rFonts w:hint="default"/>
          <w:color w:val="000000" w:themeColor="text1"/>
          <w:lang w:val="en-US" w:eastAsia="zh-CN"/>
          <w14:textFill>
            <w14:solidFill>
              <w14:schemeClr w14:val="tx1"/>
            </w14:solidFill>
          </w14:textFill>
        </w:rPr>
        <w:t>批复项目，资金到位</w:t>
      </w:r>
      <w:r>
        <w:rPr>
          <w:rFonts w:hint="eastAsia"/>
          <w:color w:val="000000" w:themeColor="text1"/>
          <w:lang w:val="en-US" w:eastAsia="zh-CN"/>
          <w14:textFill>
            <w14:solidFill>
              <w14:schemeClr w14:val="tx1"/>
            </w14:solidFill>
          </w14:textFill>
        </w:rPr>
        <w:t>，</w:t>
      </w:r>
      <w:r>
        <w:rPr>
          <w:rFonts w:hint="default"/>
          <w:color w:val="000000" w:themeColor="text1"/>
          <w:lang w:val="en-US" w:eastAsia="zh-CN"/>
          <w14:textFill>
            <w14:solidFill>
              <w14:schemeClr w14:val="tx1"/>
            </w14:solidFill>
          </w14:textFill>
        </w:rPr>
        <w:t>全年预算数</w:t>
      </w:r>
      <w:r>
        <w:rPr>
          <w:rFonts w:hint="eastAsia"/>
          <w:color w:val="000000" w:themeColor="text1"/>
          <w:lang w:val="en-US" w:eastAsia="zh-CN"/>
          <w14:textFill>
            <w14:solidFill>
              <w14:schemeClr w14:val="tx1"/>
            </w14:solidFill>
          </w14:textFill>
        </w:rPr>
        <w:t>79.4</w:t>
      </w:r>
      <w:r>
        <w:rPr>
          <w:rFonts w:hint="default"/>
          <w:color w:val="000000" w:themeColor="text1"/>
          <w:lang w:val="en-US" w:eastAsia="zh-CN"/>
          <w14:textFill>
            <w14:solidFill>
              <w14:schemeClr w14:val="tx1"/>
            </w14:solidFill>
          </w14:textFill>
        </w:rPr>
        <w:t>万元，全年执行</w:t>
      </w:r>
      <w:r>
        <w:rPr>
          <w:rFonts w:hint="eastAsia"/>
          <w:color w:val="000000" w:themeColor="text1"/>
          <w:lang w:val="en-US" w:eastAsia="zh-CN"/>
          <w14:textFill>
            <w14:solidFill>
              <w14:schemeClr w14:val="tx1"/>
            </w14:solidFill>
          </w14:textFill>
        </w:rPr>
        <w:t>79.4</w:t>
      </w:r>
      <w:r>
        <w:rPr>
          <w:rFonts w:hint="default"/>
          <w:color w:val="000000" w:themeColor="text1"/>
          <w:lang w:val="en-US" w:eastAsia="zh-CN"/>
          <w14:textFill>
            <w14:solidFill>
              <w14:schemeClr w14:val="tx1"/>
            </w14:solidFill>
          </w14:textFill>
        </w:rPr>
        <w:t>万元，执行率</w:t>
      </w:r>
      <w:r>
        <w:rPr>
          <w:rFonts w:hint="eastAsia"/>
          <w:color w:val="000000" w:themeColor="text1"/>
          <w:lang w:val="en-US" w:eastAsia="zh-CN"/>
          <w14:textFill>
            <w14:solidFill>
              <w14:schemeClr w14:val="tx1"/>
            </w14:solidFill>
          </w14:textFill>
        </w:rPr>
        <w:t>100</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，同比增加16.4万元，执行率增加27.8%。两个项目均按照计划完成，没有超支情况，</w:t>
      </w:r>
      <w:r>
        <w:rPr>
          <w:rFonts w:hint="default"/>
          <w:color w:val="000000" w:themeColor="text1"/>
          <w14:textFill>
            <w14:solidFill>
              <w14:schemeClr w14:val="tx1"/>
            </w14:solidFill>
          </w14:textFill>
        </w:rPr>
        <w:t>实际产出和效益</w:t>
      </w:r>
      <w:r>
        <w:rPr>
          <w:rFonts w:hint="eastAsia"/>
          <w:color w:val="000000" w:themeColor="text1"/>
          <w:lang w:val="en-US" w:eastAsia="zh-CN"/>
          <w14:textFill>
            <w14:solidFill>
              <w14:schemeClr w14:val="tx1"/>
            </w14:solidFill>
          </w14:textFill>
        </w:rPr>
        <w:t>完全</w:t>
      </w:r>
      <w:r>
        <w:rPr>
          <w:rFonts w:hint="default"/>
          <w:color w:val="000000" w:themeColor="text1"/>
          <w14:textFill>
            <w14:solidFill>
              <w14:schemeClr w14:val="tx1"/>
            </w14:solidFill>
          </w14:textFill>
        </w:rPr>
        <w:t>达到预期。</w:t>
      </w:r>
    </w:p>
    <w:p>
      <w:pPr>
        <w:pStyle w:val="4"/>
        <w:bidi w:val="0"/>
        <w:rPr>
          <w:rFonts w:hint="default"/>
          <w:color w:val="000000" w:themeColor="text1"/>
          <w14:textFill>
            <w14:solidFill>
              <w14:schemeClr w14:val="tx1"/>
            </w14:solidFill>
          </w14:textFill>
        </w:rPr>
      </w:pPr>
      <w:bookmarkStart w:id="24" w:name="_Toc23221"/>
      <w:r>
        <w:rPr>
          <w:rFonts w:hint="default"/>
          <w:color w:val="000000" w:themeColor="text1"/>
          <w14:textFill>
            <w14:solidFill>
              <w14:schemeClr w14:val="tx1"/>
            </w14:solidFill>
          </w14:textFill>
        </w:rPr>
        <w:t>4.评价标准</w:t>
      </w:r>
      <w:bookmarkEnd w:id="24"/>
    </w:p>
    <w:p>
      <w:pPr>
        <w:bidi w:val="0"/>
        <w:rPr>
          <w:rFonts w:hint="default"/>
        </w:rPr>
      </w:pPr>
      <w:r>
        <w:rPr>
          <w:rFonts w:hint="default"/>
        </w:rPr>
        <w:t>绩效评价标准主要包括计划标准、行业标准、历史标准等，用于对绩效指标完成情况进行比较。</w:t>
      </w:r>
    </w:p>
    <w:p>
      <w:pPr>
        <w:bidi w:val="0"/>
        <w:rPr>
          <w:rFonts w:hint="default"/>
        </w:rPr>
      </w:pPr>
      <w:r>
        <w:rPr>
          <w:rFonts w:hint="default"/>
        </w:rPr>
        <w:t>（1）计划标准。指以预先制定的目标、计划、预算、定额等作为评价标准。</w:t>
      </w:r>
    </w:p>
    <w:p>
      <w:pPr>
        <w:bidi w:val="0"/>
        <w:rPr>
          <w:rFonts w:hint="default"/>
        </w:rPr>
      </w:pPr>
      <w:r>
        <w:rPr>
          <w:rFonts w:hint="default"/>
        </w:rPr>
        <w:t>（2）行业标准。指参照国家公布的行业指标数据制定的评价标准。</w:t>
      </w:r>
    </w:p>
    <w:p>
      <w:pPr>
        <w:bidi w:val="0"/>
        <w:rPr>
          <w:rFonts w:hint="default"/>
        </w:rPr>
      </w:pPr>
      <w:r>
        <w:rPr>
          <w:rFonts w:hint="default"/>
        </w:rPr>
        <w:t>（3）历史标准。指参照历史数据制定的评价标准，为体现绩效改进的原则，在可实现的条件下应当确定相对较高的评价标准。</w:t>
      </w:r>
    </w:p>
    <w:p>
      <w:pPr>
        <w:bidi w:val="0"/>
        <w:rPr>
          <w:rFonts w:hint="default"/>
        </w:rPr>
      </w:pPr>
      <w:r>
        <w:rPr>
          <w:rFonts w:hint="default"/>
        </w:rPr>
        <w:t>在上述评价标准的基础上，本次评价依据以下文件为重要指导和准绳：</w:t>
      </w:r>
    </w:p>
    <w:p>
      <w:pPr>
        <w:bidi w:val="0"/>
        <w:rPr>
          <w:rFonts w:hint="default"/>
        </w:rPr>
      </w:pPr>
      <w:r>
        <w:rPr>
          <w:rFonts w:hint="default"/>
        </w:rPr>
        <w:t>·《中共中央国务院关于全面实施预算绩效管理的意见》（中发〔2018〕34号）</w:t>
      </w:r>
    </w:p>
    <w:p>
      <w:pPr>
        <w:bidi w:val="0"/>
        <w:rPr>
          <w:rFonts w:hint="default"/>
        </w:rPr>
      </w:pPr>
      <w:r>
        <w:rPr>
          <w:rFonts w:hint="default"/>
        </w:rPr>
        <w:t>·《关于印发&lt;乌鲁木齐市本级部门预算绩效目标管理暂行办法&gt;的通知》（乌财预〔2018〕56号）</w:t>
      </w:r>
    </w:p>
    <w:p>
      <w:pPr>
        <w:bidi w:val="0"/>
        <w:rPr>
          <w:rFonts w:hint="default"/>
        </w:rPr>
      </w:pPr>
      <w:r>
        <w:rPr>
          <w:rFonts w:hint="default"/>
        </w:rPr>
        <w:t>·《关于做好2019年部门预算项目支出绩效目标管理有关事宜的通知》（乌财预〔2018〕76号）</w:t>
      </w:r>
    </w:p>
    <w:p>
      <w:pPr>
        <w:bidi w:val="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·《项目支出绩效评价管理办法》（财预〔2020〕10号）</w:t>
      </w:r>
    </w:p>
    <w:p>
      <w:pPr>
        <w:bidi w:val="0"/>
        <w:rPr>
          <w:color w:val="000000" w:themeColor="text1"/>
          <w14:textFill>
            <w14:solidFill>
              <w14:schemeClr w14:val="tx1"/>
            </w14:solidFill>
          </w14:textFill>
        </w:rPr>
      </w:pPr>
      <w:r>
        <w:rPr>
          <w:rFonts w:hint="default"/>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乌财教科【2021】96号文关于提前下达2022年城乡义务教育项目直达资金校舍安全保障机制经费</w:t>
      </w:r>
      <w:r>
        <w:rPr>
          <w:rFonts w:hint="default"/>
          <w:color w:val="000000" w:themeColor="text1"/>
          <w14:textFill>
            <w14:solidFill>
              <w14:schemeClr w14:val="tx1"/>
            </w14:solidFill>
          </w14:textFill>
        </w:rPr>
        <w:t>》</w:t>
      </w:r>
    </w:p>
    <w:p>
      <w:pPr>
        <w:bidi w:val="0"/>
        <w:rPr>
          <w:rFonts w:hint="default" w:ascii="Times New Roman" w:hAnsi="Times New Roman" w:cs="Times New Roman"/>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《乌鲁木齐实施15年免费教育资金管理暂行办法》</w:t>
      </w:r>
    </w:p>
    <w:p>
      <w:pPr>
        <w:bidi w:val="0"/>
        <w:rPr>
          <w:rFonts w:hint="default" w:ascii="Times New Roman" w:hAnsi="Times New Roman" w:cs="Times New Roman"/>
          <w:color w:val="000000" w:themeColor="text1"/>
          <w:lang w:eastAsia="zh-CN"/>
          <w14:textFill>
            <w14:solidFill>
              <w14:schemeClr w14:val="tx1"/>
            </w14:solidFill>
          </w14:textFill>
        </w:rPr>
      </w:pPr>
      <w:r>
        <w:rPr>
          <w:rFonts w:hint="default"/>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《县中小学幼儿园经费支出审批流程（修订）11月25日》</w:t>
      </w:r>
    </w:p>
    <w:p>
      <w:pPr>
        <w:pStyle w:val="3"/>
        <w:bidi w:val="0"/>
        <w:ind w:left="0" w:leftChars="0" w:firstLine="643" w:firstLineChars="200"/>
        <w:rPr>
          <w:rFonts w:hint="default"/>
        </w:rPr>
      </w:pPr>
      <w:bookmarkStart w:id="25" w:name="_Toc67911607"/>
      <w:bookmarkStart w:id="26" w:name="_Toc5941"/>
      <w:r>
        <w:rPr>
          <w:rFonts w:hint="default"/>
        </w:rPr>
        <w:t>（三）绩效评价工作过程</w:t>
      </w:r>
      <w:bookmarkEnd w:id="25"/>
      <w:bookmarkEnd w:id="26"/>
    </w:p>
    <w:p>
      <w:pPr>
        <w:bidi w:val="0"/>
        <w:rPr>
          <w:rFonts w:hint="default"/>
        </w:rPr>
      </w:pPr>
      <w:r>
        <w:rPr>
          <w:rFonts w:hint="default"/>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rPr>
        <w:t>、</w:t>
      </w:r>
      <w:r>
        <w:rPr>
          <w:rFonts w:hint="eastAsia"/>
          <w:lang w:val="en-US" w:eastAsia="zh-CN"/>
        </w:rPr>
        <w:t>材料审核</w:t>
      </w:r>
      <w:r>
        <w:rPr>
          <w:rFonts w:hint="default"/>
        </w:rPr>
        <w:t>分析</w:t>
      </w:r>
      <w:r>
        <w:rPr>
          <w:rFonts w:hint="eastAsia"/>
        </w:rPr>
        <w:t>（</w:t>
      </w:r>
      <w:r>
        <w:rPr>
          <w:rFonts w:hint="eastAsia"/>
          <w:lang w:val="en-US" w:eastAsia="zh-CN"/>
        </w:rPr>
        <w:t>消防水池</w:t>
      </w:r>
      <w:r>
        <w:rPr>
          <w:rFonts w:hint="eastAsia"/>
        </w:rPr>
        <w:t>支付凭证、</w:t>
      </w:r>
      <w:r>
        <w:rPr>
          <w:rFonts w:hint="eastAsia"/>
          <w:lang w:val="en-US" w:eastAsia="zh-CN"/>
        </w:rPr>
        <w:t>消防水池合同</w:t>
      </w:r>
      <w:r>
        <w:rPr>
          <w:rFonts w:hint="eastAsia"/>
        </w:rPr>
        <w:t>、</w:t>
      </w:r>
      <w:r>
        <w:rPr>
          <w:rFonts w:hint="eastAsia"/>
          <w:lang w:val="en-US" w:eastAsia="zh-CN"/>
        </w:rPr>
        <w:t>消防水池验收单</w:t>
      </w:r>
      <w:r>
        <w:rPr>
          <w:rFonts w:hint="eastAsia"/>
        </w:rPr>
        <w:t>、</w:t>
      </w:r>
      <w:r>
        <w:rPr>
          <w:rFonts w:hint="eastAsia"/>
          <w:lang w:val="en-US" w:eastAsia="zh-CN"/>
        </w:rPr>
        <w:t>消防水池</w:t>
      </w:r>
      <w:r>
        <w:rPr>
          <w:rFonts w:hint="eastAsia"/>
        </w:rPr>
        <w:t>效益指标说明等）</w:t>
      </w:r>
      <w:r>
        <w:rPr>
          <w:rFonts w:hint="default"/>
        </w:rPr>
        <w:t>、现场核查评价、综合分析评价及报告撰写，评价项目实施情况，展现资金使用效益。</w:t>
      </w:r>
    </w:p>
    <w:p>
      <w:pPr>
        <w:bidi w:val="0"/>
        <w:rPr>
          <w:rFonts w:hint="default"/>
        </w:rPr>
      </w:pPr>
    </w:p>
    <w:p>
      <w:pPr>
        <w:pStyle w:val="2"/>
        <w:bidi w:val="0"/>
        <w:rPr>
          <w:rFonts w:hint="default"/>
        </w:rPr>
      </w:pPr>
      <w:bookmarkStart w:id="27" w:name="_Toc67911608"/>
      <w:bookmarkStart w:id="28" w:name="_Toc10381"/>
      <w:r>
        <w:rPr>
          <w:rFonts w:hint="default"/>
        </w:rPr>
        <w:t>三、综合评价情况及评价结论</w:t>
      </w:r>
      <w:bookmarkEnd w:id="27"/>
      <w:bookmarkEnd w:id="28"/>
    </w:p>
    <w:p>
      <w:pPr>
        <w:pStyle w:val="3"/>
        <w:bidi w:val="0"/>
        <w:rPr>
          <w:rFonts w:hint="default"/>
        </w:rPr>
      </w:pPr>
      <w:bookmarkStart w:id="29" w:name="_Toc67911609"/>
      <w:bookmarkStart w:id="30" w:name="_Toc30121"/>
      <w:r>
        <w:rPr>
          <w:rFonts w:hint="default"/>
        </w:rPr>
        <w:t>（一）评价结论</w:t>
      </w:r>
      <w:bookmarkEnd w:id="29"/>
      <w:bookmarkEnd w:id="30"/>
    </w:p>
    <w:p>
      <w:pPr>
        <w:bidi w:val="0"/>
        <w:rPr>
          <w:rFonts w:hint="default"/>
        </w:rPr>
      </w:pPr>
      <w:r>
        <w:rPr>
          <w:rFonts w:hint="default"/>
        </w:rPr>
        <w:t>结合项目特点，制定符合项目实际的绩效评价指标体系及评分标准，通过数据采集</w:t>
      </w:r>
      <w:r>
        <w:rPr>
          <w:rFonts w:hint="eastAsia"/>
          <w:lang w:val="en-US" w:eastAsia="zh-CN"/>
        </w:rPr>
        <w:t>及</w:t>
      </w:r>
      <w:r>
        <w:rPr>
          <w:rFonts w:hint="default"/>
        </w:rPr>
        <w:t>访谈等形式，对2022年《</w:t>
      </w:r>
      <w:r>
        <w:rPr>
          <w:rFonts w:hint="eastAsia"/>
          <w:lang w:val="en-US" w:eastAsia="zh-CN"/>
        </w:rPr>
        <w:t>乌财教科【2021】96号文关于提前下达2022年城乡义务教育项目直达资金校舍安全保障机制经费</w:t>
      </w:r>
      <w:r>
        <w:rPr>
          <w:rFonts w:hint="default"/>
        </w:rPr>
        <w:t>》进行客观评价，最终评分结果为：总分为</w:t>
      </w:r>
      <w:r>
        <w:rPr>
          <w:rFonts w:hint="eastAsia"/>
          <w:lang w:val="en-US" w:eastAsia="zh-CN"/>
        </w:rPr>
        <w:t>97</w:t>
      </w:r>
      <w:r>
        <w:rPr>
          <w:rFonts w:hint="default"/>
        </w:rPr>
        <w:t>分，绩效评级为“</w:t>
      </w:r>
      <w:r>
        <w:rPr>
          <w:rFonts w:hint="eastAsia"/>
          <w:lang w:val="en-US" w:eastAsia="zh-CN"/>
        </w:rPr>
        <w:t>优</w:t>
      </w:r>
      <w:r>
        <w:rPr>
          <w:rFonts w:hint="default"/>
        </w:rPr>
        <w:t>”</w:t>
      </w:r>
      <w:r>
        <w:rPr>
          <w:rFonts w:hint="default"/>
        </w:rPr>
        <w:footnoteReference w:id="1"/>
      </w:r>
      <w:r>
        <w:rPr>
          <w:rFonts w:hint="default"/>
        </w:rPr>
        <w:t>。</w:t>
      </w:r>
    </w:p>
    <w:p>
      <w:pPr>
        <w:bidi w:val="0"/>
        <w:rPr>
          <w:rFonts w:hint="default"/>
        </w:rPr>
      </w:pPr>
      <w:r>
        <w:rPr>
          <w:rFonts w:hint="default"/>
        </w:rPr>
        <w:t>项目各部分权重和绩效分值如附表所示：</w:t>
      </w:r>
    </w:p>
    <w:p>
      <w:pPr>
        <w:bidi w:val="0"/>
        <w:rPr>
          <w:rFonts w:hint="default"/>
        </w:rPr>
      </w:pP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240" w:firstLineChars="100"/>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 xml:space="preserve"> </w:t>
            </w:r>
            <w:r>
              <w:rPr>
                <w:rFonts w:hint="default" w:ascii="Times New Roman" w:hAnsi="Times New Roman" w:eastAsia="宋体" w:cs="Times New Roman"/>
                <w:color w:val="000000"/>
                <w:kern w:val="0"/>
                <w:sz w:val="22"/>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eastAsia="宋体" w:cs="Times New Roman"/>
                <w:color w:val="000000"/>
                <w:kern w:val="0"/>
                <w:sz w:val="22"/>
                <w:lang w:val="en-US" w:eastAsia="zh-CN"/>
              </w:rPr>
              <w:t>建设工程量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tabs>
                <w:tab w:val="left" w:pos="273"/>
              </w:tabs>
              <w:ind w:firstLine="0" w:firstLineChars="0"/>
              <w:jc w:val="left"/>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ab/>
            </w: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yellow"/>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 xml:space="preserve"> 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消防水池储水量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eastAsia="宋体" w:cs="Times New Roman"/>
                <w:color w:val="000000"/>
                <w:kern w:val="0"/>
                <w:sz w:val="22"/>
                <w:lang w:val="en-US" w:eastAsia="zh-CN"/>
              </w:rPr>
              <w:t>工程竣工及时率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1"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按期完工</w:t>
            </w:r>
            <w:r>
              <w:rPr>
                <w:rFonts w:hint="default" w:ascii="Times New Roman" w:hAnsi="Times New Roman" w:eastAsia="宋体" w:cs="Times New Roman"/>
                <w:color w:val="000000"/>
                <w:kern w:val="0"/>
                <w:sz w:val="22"/>
              </w:rPr>
              <w:t>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消防水池成本控制率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社会</w:t>
            </w:r>
            <w:r>
              <w:rPr>
                <w:rFonts w:hint="default" w:ascii="Times New Roman" w:hAnsi="Times New Roman" w:eastAsia="宋体" w:cs="Times New Roman"/>
                <w:color w:val="000000"/>
                <w:kern w:val="0"/>
                <w:sz w:val="22"/>
              </w:rPr>
              <w:t>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eastAsia="宋体" w:cs="Times New Roman"/>
                <w:color w:val="000000"/>
                <w:kern w:val="0"/>
                <w:sz w:val="22"/>
                <w:lang w:val="en-US" w:eastAsia="zh-CN"/>
              </w:rPr>
              <w:t>项目受益人数</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社会效益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义务教育薄弱环节改善和能力提升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w:t>
            </w:r>
          </w:p>
        </w:tc>
      </w:tr>
    </w:tbl>
    <w:p>
      <w:pPr>
        <w:pStyle w:val="3"/>
        <w:bidi w:val="0"/>
        <w:rPr>
          <w:rFonts w:hint="eastAsia"/>
          <w:lang w:val="en-US" w:eastAsia="zh-CN"/>
        </w:rPr>
      </w:pPr>
      <w:bookmarkStart w:id="31" w:name="_Toc67911610"/>
      <w:bookmarkStart w:id="32" w:name="_Toc18908"/>
      <w:r>
        <w:rPr>
          <w:rFonts w:hint="default"/>
        </w:rPr>
        <w:t>（二）主要</w:t>
      </w:r>
      <w:bookmarkEnd w:id="31"/>
      <w:r>
        <w:rPr>
          <w:rFonts w:hint="eastAsia"/>
          <w:lang w:val="en-US" w:eastAsia="zh-CN"/>
        </w:rPr>
        <w:t>绩效</w:t>
      </w:r>
      <w:bookmarkEnd w:id="32"/>
    </w:p>
    <w:p>
      <w:pPr>
        <w:bidi w:val="0"/>
        <w:rPr>
          <w:rFonts w:hint="default"/>
        </w:rPr>
      </w:pPr>
      <w:bookmarkStart w:id="33" w:name="_Toc67911611"/>
      <w:r>
        <w:rPr>
          <w:rFonts w:hint="default"/>
        </w:rPr>
        <w:t>该项目资金区财政及时拨付，单位在此次评价期间内，有序完成设定目标的部分工作任务，小渠子中学改扩建300立方米消防水池及附属设施已完成基础设施，解决</w:t>
      </w:r>
      <w:r>
        <w:rPr>
          <w:rFonts w:hint="eastAsia"/>
          <w:lang w:val="en-US" w:eastAsia="zh-CN"/>
        </w:rPr>
        <w:t>了</w:t>
      </w:r>
      <w:r>
        <w:rPr>
          <w:rFonts w:hint="default"/>
        </w:rPr>
        <w:t>小渠子中学消防用水安全问题</w:t>
      </w:r>
      <w:r>
        <w:rPr>
          <w:rFonts w:hint="eastAsia"/>
          <w:lang w:eastAsia="zh-CN"/>
        </w:rPr>
        <w:t>，</w:t>
      </w:r>
      <w:r>
        <w:rPr>
          <w:rFonts w:hint="default"/>
        </w:rPr>
        <w:t>保障</w:t>
      </w:r>
      <w:r>
        <w:rPr>
          <w:rFonts w:hint="eastAsia"/>
          <w:lang w:val="en-US" w:eastAsia="zh-CN"/>
        </w:rPr>
        <w:t>了</w:t>
      </w:r>
      <w:r>
        <w:rPr>
          <w:rFonts w:hint="default"/>
        </w:rPr>
        <w:t>师生的人身安全和学校的财产安全</w:t>
      </w:r>
      <w:r>
        <w:rPr>
          <w:rFonts w:hint="eastAsia"/>
          <w:lang w:eastAsia="zh-CN"/>
        </w:rPr>
        <w:t>，</w:t>
      </w:r>
      <w:r>
        <w:rPr>
          <w:rFonts w:hint="eastAsia"/>
          <w:lang w:val="en-US" w:eastAsia="zh-CN"/>
        </w:rPr>
        <w:t>目前</w:t>
      </w:r>
      <w:r>
        <w:rPr>
          <w:rFonts w:hint="default"/>
        </w:rPr>
        <w:t>改扩建300立方米消防水池</w:t>
      </w:r>
      <w:r>
        <w:rPr>
          <w:rFonts w:hint="eastAsia"/>
          <w:lang w:val="en-US" w:eastAsia="zh-CN"/>
        </w:rPr>
        <w:t>已竣工，附属设施工作已全部施工完毕。2023年</w:t>
      </w:r>
      <w:r>
        <w:rPr>
          <w:rFonts w:hint="default"/>
          <w:lang w:val="en-US" w:eastAsia="zh-CN"/>
        </w:rPr>
        <w:t>共安排</w:t>
      </w:r>
      <w:r>
        <w:rPr>
          <w:rFonts w:hint="eastAsia"/>
          <w:lang w:val="en-US" w:eastAsia="zh-CN"/>
        </w:rPr>
        <w:t>结转项目79.4</w:t>
      </w:r>
      <w:r>
        <w:rPr>
          <w:rFonts w:hint="default"/>
          <w:lang w:val="en-US" w:eastAsia="zh-CN"/>
        </w:rPr>
        <w:t>万元，资金到位</w:t>
      </w:r>
      <w:r>
        <w:rPr>
          <w:rFonts w:hint="eastAsia"/>
          <w:lang w:val="en-US" w:eastAsia="zh-CN"/>
        </w:rPr>
        <w:t>，</w:t>
      </w:r>
      <w:r>
        <w:rPr>
          <w:rFonts w:hint="default"/>
          <w:lang w:val="en-US" w:eastAsia="zh-CN"/>
        </w:rPr>
        <w:t>全年</w:t>
      </w:r>
      <w:r>
        <w:rPr>
          <w:rFonts w:hint="eastAsia"/>
          <w:lang w:val="en-US" w:eastAsia="zh-CN"/>
        </w:rPr>
        <w:t>结转79.4</w:t>
      </w:r>
      <w:r>
        <w:rPr>
          <w:rFonts w:hint="default"/>
          <w:lang w:val="en-US" w:eastAsia="zh-CN"/>
        </w:rPr>
        <w:t>万元，全年执行</w:t>
      </w:r>
      <w:r>
        <w:rPr>
          <w:rFonts w:hint="eastAsia"/>
          <w:lang w:val="en-US" w:eastAsia="zh-CN"/>
        </w:rPr>
        <w:t>79.4</w:t>
      </w:r>
      <w:r>
        <w:rPr>
          <w:rFonts w:hint="default"/>
          <w:lang w:val="en-US" w:eastAsia="zh-CN"/>
        </w:rPr>
        <w:t>万元，执行率</w:t>
      </w:r>
      <w:r>
        <w:rPr>
          <w:rFonts w:hint="eastAsia"/>
          <w:lang w:val="en-US" w:eastAsia="zh-CN"/>
        </w:rPr>
        <w:t>100</w:t>
      </w:r>
      <w:r>
        <w:rPr>
          <w:rFonts w:hint="default"/>
          <w:lang w:val="en-US" w:eastAsia="zh-CN"/>
        </w:rPr>
        <w:t>%</w:t>
      </w:r>
      <w:r>
        <w:rPr>
          <w:rFonts w:hint="default"/>
        </w:rPr>
        <w:t>。</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2"/>
        <w:bidi w:val="0"/>
        <w:rPr>
          <w:rFonts w:hint="default"/>
        </w:rPr>
      </w:pPr>
      <w:bookmarkStart w:id="34" w:name="_Toc7647"/>
      <w:r>
        <w:rPr>
          <w:rFonts w:hint="default"/>
        </w:rPr>
        <w:t>四、绩效评价指标分析</w:t>
      </w:r>
      <w:bookmarkEnd w:id="33"/>
      <w:bookmarkEnd w:id="34"/>
    </w:p>
    <w:p>
      <w:pPr>
        <w:pStyle w:val="3"/>
        <w:bidi w:val="0"/>
        <w:rPr>
          <w:rFonts w:hint="default"/>
        </w:rPr>
      </w:pPr>
      <w:bookmarkStart w:id="35" w:name="_Toc67911612"/>
      <w:bookmarkStart w:id="36" w:name="_Toc26227"/>
      <w:r>
        <w:rPr>
          <w:rFonts w:hint="default"/>
        </w:rPr>
        <w:t>（一）项目决策情况</w:t>
      </w:r>
      <w:bookmarkEnd w:id="35"/>
      <w:bookmarkEnd w:id="36"/>
    </w:p>
    <w:p>
      <w:pPr>
        <w:bidi w:val="0"/>
        <w:rPr>
          <w:rFonts w:hint="default"/>
        </w:rPr>
      </w:pPr>
      <w:r>
        <w:rPr>
          <w:rFonts w:hint="default"/>
        </w:rPr>
        <w:t>项目决算指标由3个二级指标和6个三级指标构成，权重为20分，实际得分</w:t>
      </w:r>
      <w:r>
        <w:rPr>
          <w:rFonts w:hint="eastAsia"/>
          <w:lang w:val="en-US" w:eastAsia="zh-CN"/>
        </w:rPr>
        <w:t>19</w:t>
      </w:r>
      <w:r>
        <w:rPr>
          <w:rFonts w:hint="default"/>
        </w:rPr>
        <w:t>分。</w:t>
      </w:r>
    </w:p>
    <w:p>
      <w:pPr>
        <w:pStyle w:val="4"/>
        <w:bidi w:val="0"/>
        <w:rPr>
          <w:rFonts w:hint="eastAsia"/>
          <w:lang w:val="en-US" w:eastAsia="zh-CN"/>
        </w:rPr>
      </w:pPr>
      <w:bookmarkStart w:id="37" w:name="_Toc23434"/>
      <w:r>
        <w:rPr>
          <w:rFonts w:hint="default"/>
        </w:rPr>
        <w:t>1.项目</w:t>
      </w:r>
      <w:r>
        <w:rPr>
          <w:rFonts w:hint="eastAsia"/>
          <w:lang w:val="en-US" w:eastAsia="zh-CN"/>
        </w:rPr>
        <w:t>立项</w:t>
      </w:r>
      <w:bookmarkEnd w:id="37"/>
    </w:p>
    <w:p>
      <w:pPr>
        <w:bidi w:val="0"/>
        <w:rPr>
          <w:rFonts w:hint="default" w:ascii="Times New Roman" w:hAnsi="Times New Roman" w:cs="Times New Roman"/>
          <w:szCs w:val="28"/>
        </w:rPr>
      </w:pPr>
      <w:r>
        <w:rPr>
          <w:rStyle w:val="38"/>
          <w:rFonts w:hint="default"/>
        </w:rPr>
        <w:t>立项依据充</w:t>
      </w:r>
      <w:r>
        <w:rPr>
          <w:rStyle w:val="38"/>
          <w:rFonts w:hint="default"/>
          <w:color w:val="000000" w:themeColor="text1"/>
          <w14:textFill>
            <w14:solidFill>
              <w14:schemeClr w14:val="tx1"/>
            </w14:solidFill>
          </w14:textFill>
        </w:rPr>
        <w:t>分性：</w:t>
      </w:r>
      <w:r>
        <w:rPr>
          <w:rFonts w:hint="default"/>
          <w:color w:val="000000" w:themeColor="text1"/>
          <w14:textFill>
            <w14:solidFill>
              <w14:schemeClr w14:val="tx1"/>
            </w14:solidFill>
          </w14:textFill>
        </w:rPr>
        <w:t>项目立项符合《</w:t>
      </w:r>
      <w:r>
        <w:rPr>
          <w:rFonts w:hint="eastAsia"/>
          <w:color w:val="000000" w:themeColor="text1"/>
          <w:lang w:val="en-US" w:eastAsia="zh-CN"/>
          <w14:textFill>
            <w14:solidFill>
              <w14:schemeClr w14:val="tx1"/>
            </w14:solidFill>
          </w14:textFill>
        </w:rPr>
        <w:t>乌财教科【2021】96号文关于提前下达2022年城乡义务教育项目直达资金校舍安全保障机制经费</w:t>
      </w:r>
      <w:r>
        <w:rPr>
          <w:rFonts w:hint="default"/>
          <w:color w:val="000000" w:themeColor="text1"/>
          <w14:textFill>
            <w14:solidFill>
              <w14:schemeClr w14:val="tx1"/>
            </w14:solidFill>
          </w14:textFill>
        </w:rPr>
        <w:t>》。同时，项目与部门职责</w:t>
      </w:r>
      <w:r>
        <w:rPr>
          <w:rFonts w:hint="eastAsia"/>
          <w:color w:val="000000" w:themeColor="text1"/>
          <w:lang w:val="en-US" w:eastAsia="zh-CN"/>
          <w14:textFill>
            <w14:solidFill>
              <w14:schemeClr w14:val="tx1"/>
            </w14:solidFill>
          </w14:textFill>
        </w:rPr>
        <w:t>文件</w:t>
      </w:r>
      <w:r>
        <w:rPr>
          <w:rFonts w:hint="default"/>
          <w:color w:val="000000" w:themeColor="text1"/>
          <w14:textFill>
            <w14:solidFill>
              <w14:schemeClr w14:val="tx1"/>
            </w14:solidFill>
          </w14:textFill>
        </w:rPr>
        <w:t>范围相符，属于部门履职所需。此外，本项目属于公共</w:t>
      </w:r>
      <w:r>
        <w:rPr>
          <w:rFonts w:hint="default"/>
        </w:rPr>
        <w:t>财政支持范围，符合中央、地方事权支出责任划分原则。因此，立项依据充分，得4分。</w:t>
      </w:r>
    </w:p>
    <w:p>
      <w:pPr>
        <w:bidi w:val="0"/>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b w:val="0"/>
          <w:bCs w:val="0"/>
        </w:rPr>
        <w:t>项目按照规定的程序申请设立，审批文件、材料符合相关要求，故立项程序规范，得4分。</w:t>
      </w:r>
    </w:p>
    <w:p>
      <w:pPr>
        <w:pStyle w:val="37"/>
        <w:bidi w:val="0"/>
        <w:rPr>
          <w:rFonts w:hint="default"/>
        </w:rPr>
      </w:pPr>
      <w:r>
        <w:rPr>
          <w:rFonts w:hint="default"/>
        </w:rPr>
        <w:t>综上，该指标满分8分，得分8分。</w:t>
      </w:r>
    </w:p>
    <w:p>
      <w:pPr>
        <w:pStyle w:val="4"/>
        <w:bidi w:val="0"/>
        <w:rPr>
          <w:rFonts w:hint="eastAsia"/>
          <w:lang w:val="en-US" w:eastAsia="zh-CN"/>
        </w:rPr>
      </w:pPr>
      <w:bookmarkStart w:id="38" w:name="_Toc31169"/>
      <w:r>
        <w:rPr>
          <w:rFonts w:hint="default"/>
        </w:rPr>
        <w:t>2.绩效</w:t>
      </w:r>
      <w:r>
        <w:rPr>
          <w:rFonts w:hint="eastAsia"/>
          <w:lang w:val="en-US" w:eastAsia="zh-CN"/>
        </w:rPr>
        <w:t>目标</w:t>
      </w:r>
      <w:bookmarkEnd w:id="38"/>
    </w:p>
    <w:p>
      <w:pPr>
        <w:bidi w:val="0"/>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w:t>
      </w:r>
      <w:r>
        <w:rPr>
          <w:rFonts w:hint="default" w:ascii="Times New Roman" w:hAnsi="Times New Roman" w:cs="Times New Roman"/>
          <w:color w:val="000000" w:themeColor="text1"/>
          <w:szCs w:val="28"/>
          <w14:textFill>
            <w14:solidFill>
              <w14:schemeClr w14:val="tx1"/>
            </w14:solidFill>
          </w14:textFill>
        </w:rPr>
        <w:t>点，能较为全面地反映本项目的产出和效益，故绩效目标合理性指标得分</w:t>
      </w:r>
      <w:r>
        <w:rPr>
          <w:rFonts w:hint="eastAsia" w:ascii="Times New Roman" w:hAnsi="Times New Roman" w:cs="Times New Roman"/>
          <w:color w:val="000000" w:themeColor="text1"/>
          <w:szCs w:val="28"/>
          <w:lang w:val="en-US" w:eastAsia="zh-CN"/>
          <w14:textFill>
            <w14:solidFill>
              <w14:schemeClr w14:val="tx1"/>
            </w14:solidFill>
          </w14:textFill>
        </w:rPr>
        <w:t>2</w:t>
      </w:r>
      <w:r>
        <w:rPr>
          <w:rFonts w:hint="default" w:ascii="Times New Roman" w:hAnsi="Times New Roman" w:cs="Times New Roman"/>
          <w:color w:val="000000" w:themeColor="text1"/>
          <w:szCs w:val="28"/>
          <w14:textFill>
            <w14:solidFill>
              <w14:schemeClr w14:val="tx1"/>
            </w14:solidFill>
          </w14:textFill>
        </w:rPr>
        <w:t>分。</w:t>
      </w:r>
    </w:p>
    <w:p>
      <w:pPr>
        <w:bidi w:val="0"/>
        <w:rPr>
          <w:rFonts w:hint="default"/>
        </w:rPr>
      </w:pPr>
      <w:r>
        <w:rPr>
          <w:rFonts w:hint="default" w:ascii="Times New Roman" w:hAnsi="Times New Roman" w:cs="Times New Roman"/>
          <w:b/>
          <w:kern w:val="0"/>
          <w:szCs w:val="28"/>
        </w:rPr>
        <w:t>绩效目标明确性：</w:t>
      </w:r>
      <w:r>
        <w:rPr>
          <w:rFonts w:hint="default"/>
        </w:rPr>
        <w:t>小渠子中学改扩建</w:t>
      </w:r>
      <w:r>
        <w:rPr>
          <w:rFonts w:hint="eastAsia"/>
        </w:rPr>
        <w:t>300</w:t>
      </w:r>
      <w:r>
        <w:rPr>
          <w:rFonts w:hint="default"/>
        </w:rPr>
        <w:t>立方米消防水池及附属设施、新购2KW潜污泵2台、1.1KW给水泵1台，彻底解决小渠子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pStyle w:val="37"/>
        <w:bidi w:val="0"/>
        <w:rPr>
          <w:rFonts w:hint="default"/>
        </w:rPr>
      </w:pPr>
      <w:r>
        <w:rPr>
          <w:rFonts w:hint="default"/>
        </w:rPr>
        <w:t>综上，该指标满分6分，得分</w:t>
      </w:r>
      <w:r>
        <w:rPr>
          <w:rFonts w:hint="eastAsia"/>
          <w:lang w:val="en-US" w:eastAsia="zh-CN"/>
        </w:rPr>
        <w:t>5</w:t>
      </w:r>
      <w:r>
        <w:rPr>
          <w:rFonts w:hint="default"/>
        </w:rPr>
        <w:t>分。</w:t>
      </w:r>
    </w:p>
    <w:p>
      <w:pPr>
        <w:pStyle w:val="4"/>
        <w:bidi w:val="0"/>
        <w:rPr>
          <w:rFonts w:hint="default"/>
        </w:rPr>
      </w:pPr>
      <w:bookmarkStart w:id="39" w:name="_Toc10460"/>
      <w:r>
        <w:rPr>
          <w:rFonts w:hint="default"/>
        </w:rPr>
        <w:t>3.资金投入</w:t>
      </w:r>
      <w:bookmarkEnd w:id="39"/>
    </w:p>
    <w:p>
      <w:pPr>
        <w:autoSpaceDE w:val="0"/>
        <w:spacing w:line="600" w:lineRule="exact"/>
        <w:ind w:firstLine="562"/>
        <w:rPr>
          <w:rFonts w:hint="default" w:ascii="Times New Roman" w:hAnsi="Times New Roman" w:cs="Times New Roman"/>
          <w:bCs/>
          <w:kern w:val="0"/>
          <w:szCs w:val="28"/>
        </w:rPr>
      </w:pPr>
      <w:bookmarkStart w:id="40" w:name="_Toc67911613"/>
      <w:r>
        <w:rPr>
          <w:rFonts w:hint="default" w:ascii="Times New Roman" w:hAnsi="Times New Roman" w:cs="Times New Roman"/>
          <w:b/>
          <w:kern w:val="0"/>
          <w:szCs w:val="28"/>
        </w:rPr>
        <w:t>预算编制科学性：</w:t>
      </w:r>
      <w:r>
        <w:rPr>
          <w:rFonts w:hint="default" w:ascii="Times New Roman" w:hAnsi="Times New Roman" w:cs="Times New Roman"/>
          <w:kern w:val="0"/>
          <w:szCs w:val="28"/>
        </w:rPr>
        <w:t>消防管道可以覆盖学校整个区域，保障在发生火灾情况下可以第一时间扑救</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保障师生的人身安全和学校的财产安全</w:t>
      </w:r>
      <w:r>
        <w:rPr>
          <w:rFonts w:hint="default" w:ascii="Times New Roman" w:hAnsi="Times New Roman" w:cs="Times New Roman"/>
          <w:b/>
          <w:kern w:val="0"/>
          <w:szCs w:val="28"/>
        </w:rPr>
        <w:t>。</w:t>
      </w:r>
      <w:r>
        <w:rPr>
          <w:rFonts w:hint="default" w:ascii="Times New Roman" w:hAnsi="Times New Roman" w:cs="Times New Roman"/>
          <w:kern w:val="0"/>
          <w:szCs w:val="28"/>
        </w:rPr>
        <w:t>故预算编制科学性指标得分3分。</w:t>
      </w:r>
      <w:r>
        <w:rPr>
          <w:rFonts w:hint="default" w:ascii="Times New Roman" w:hAnsi="Times New Roman" w:cs="Times New Roman"/>
          <w:bCs/>
          <w:kern w:val="0"/>
          <w:szCs w:val="28"/>
        </w:rPr>
        <w:t xml:space="preserve"> </w:t>
      </w:r>
    </w:p>
    <w:p>
      <w:pPr>
        <w:bidi w:val="0"/>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eastAsia" w:ascii="Times New Roman" w:hAnsi="Times New Roman" w:cs="Times New Roman"/>
          <w:kern w:val="0"/>
          <w:szCs w:val="28"/>
          <w:lang w:val="en-US" w:eastAsia="zh-CN"/>
        </w:rPr>
        <w:t>该项目为基建项目，属于房屋构建，录入固定资产</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3"/>
        <w:bidi w:val="0"/>
        <w:rPr>
          <w:rFonts w:hint="default"/>
        </w:rPr>
      </w:pPr>
      <w:bookmarkStart w:id="41" w:name="_Toc14268"/>
      <w:r>
        <w:rPr>
          <w:rFonts w:hint="default"/>
        </w:rPr>
        <w:t>（二）项目过程情况</w:t>
      </w:r>
      <w:bookmarkEnd w:id="40"/>
      <w:bookmarkEnd w:id="41"/>
    </w:p>
    <w:p>
      <w:pPr>
        <w:bidi w:val="0"/>
        <w:rPr>
          <w:rFonts w:hint="default"/>
        </w:rPr>
      </w:pPr>
      <w:r>
        <w:rPr>
          <w:rFonts w:hint="default"/>
        </w:rPr>
        <w:t>项目过程指标由2个二级指标和5个三级指标构成，权重为20分，实际得分</w:t>
      </w:r>
      <w:r>
        <w:rPr>
          <w:rFonts w:hint="eastAsia"/>
          <w:lang w:val="en-US" w:eastAsia="zh-CN"/>
        </w:rPr>
        <w:t>18</w:t>
      </w:r>
      <w:r>
        <w:rPr>
          <w:rFonts w:hint="default"/>
        </w:rPr>
        <w:t>分。</w:t>
      </w:r>
    </w:p>
    <w:p>
      <w:pPr>
        <w:pStyle w:val="4"/>
        <w:bidi w:val="0"/>
        <w:rPr>
          <w:rFonts w:hint="default"/>
        </w:rPr>
      </w:pPr>
      <w:bookmarkStart w:id="42" w:name="_Toc100784605"/>
      <w:bookmarkStart w:id="43" w:name="_Toc19001"/>
      <w:r>
        <w:rPr>
          <w:rFonts w:hint="default"/>
        </w:rPr>
        <w:t>1.资金管理</w:t>
      </w:r>
      <w:bookmarkEnd w:id="42"/>
      <w:bookmarkEnd w:id="43"/>
    </w:p>
    <w:p>
      <w:pPr>
        <w:bidi w:val="0"/>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kern w:val="0"/>
          <w:szCs w:val="28"/>
          <w:lang w:eastAsia="zh-CN"/>
        </w:rPr>
        <w:t>预算</w:t>
      </w:r>
      <w:r>
        <w:rPr>
          <w:rFonts w:hint="eastAsia" w:ascii="Times New Roman" w:hAnsi="Times New Roman" w:cs="Times New Roman"/>
          <w:kern w:val="0"/>
          <w:szCs w:val="28"/>
          <w:lang w:val="en-US" w:eastAsia="zh-CN"/>
        </w:rPr>
        <w:t>结转</w:t>
      </w:r>
      <w:r>
        <w:rPr>
          <w:rFonts w:hint="default" w:ascii="Times New Roman" w:hAnsi="Times New Roman" w:cs="Times New Roman"/>
          <w:kern w:val="0"/>
          <w:szCs w:val="28"/>
          <w:lang w:eastAsia="zh-CN"/>
        </w:rPr>
        <w:t>资金</w:t>
      </w:r>
      <w:r>
        <w:rPr>
          <w:rFonts w:hint="eastAsia" w:ascii="Times New Roman" w:hAnsi="Times New Roman" w:cs="Times New Roman"/>
          <w:kern w:val="0"/>
          <w:szCs w:val="28"/>
          <w:lang w:val="en-US" w:eastAsia="zh-CN"/>
        </w:rPr>
        <w:t>79.4</w:t>
      </w:r>
      <w:r>
        <w:rPr>
          <w:rFonts w:hint="default" w:ascii="Times New Roman" w:hAnsi="Times New Roman" w:cs="Times New Roman"/>
          <w:kern w:val="0"/>
          <w:szCs w:val="28"/>
          <w:lang w:eastAsia="zh-CN"/>
        </w:rPr>
        <w:t>万元，资金与实际到位资金相符，资金到位率100%。故资金到位率指标得分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lang w:eastAsia="zh-CN"/>
        </w:rPr>
        <w:t>分。</w:t>
      </w:r>
    </w:p>
    <w:p>
      <w:pPr>
        <w:bidi w:val="0"/>
        <w:rPr>
          <w:rFonts w:hint="default" w:ascii="Times New Roman" w:hAnsi="Times New Roman" w:cs="Times New Roman"/>
          <w:color w:val="auto"/>
          <w:kern w:val="0"/>
          <w:szCs w:val="28"/>
          <w:lang w:eastAsia="zh-CN"/>
        </w:rPr>
      </w:pPr>
      <w:r>
        <w:rPr>
          <w:rFonts w:hint="default" w:ascii="Times New Roman" w:hAnsi="Times New Roman" w:cs="Times New Roman"/>
          <w:b/>
          <w:bCs/>
          <w:color w:val="auto"/>
          <w:szCs w:val="28"/>
        </w:rPr>
        <w:t>预算执行率：</w:t>
      </w:r>
      <w:r>
        <w:rPr>
          <w:rFonts w:hint="default" w:ascii="Times New Roman" w:hAnsi="Times New Roman" w:cs="Times New Roman"/>
          <w:color w:val="auto"/>
          <w:lang w:val="en-US" w:eastAsia="zh-CN"/>
        </w:rPr>
        <w:t>项目系2022年中央资金，共安排预算</w:t>
      </w:r>
      <w:r>
        <w:rPr>
          <w:rFonts w:hint="eastAsia" w:ascii="Times New Roman" w:hAnsi="Times New Roman" w:cs="Times New Roman"/>
          <w:color w:val="auto"/>
          <w:lang w:val="en-US" w:eastAsia="zh-CN"/>
        </w:rPr>
        <w:t>240</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工程支付一部分款项后，2023年结转资金为79.4万元</w:t>
      </w:r>
      <w:r>
        <w:rPr>
          <w:rFonts w:hint="default" w:ascii="Times New Roman" w:hAnsi="Times New Roman" w:cs="Times New Roman"/>
          <w:color w:val="auto"/>
          <w:lang w:val="en-US" w:eastAsia="zh-CN"/>
        </w:rPr>
        <w:t>，</w:t>
      </w:r>
      <w:r>
        <w:rPr>
          <w:rFonts w:hint="eastAsia"/>
          <w:color w:val="auto"/>
          <w:lang w:val="en-US" w:eastAsia="zh-CN"/>
        </w:rPr>
        <w:t>共</w:t>
      </w:r>
      <w:r>
        <w:rPr>
          <w:rFonts w:hint="eastAsia"/>
          <w:color w:val="auto"/>
          <w:lang w:eastAsia="zh-CN"/>
        </w:rPr>
        <w:t>分</w:t>
      </w:r>
      <w:r>
        <w:rPr>
          <w:rFonts w:hint="eastAsia" w:ascii="Times New Roman" w:hAnsi="Times New Roman" w:cs="Times New Roman"/>
          <w:color w:val="auto"/>
          <w:kern w:val="0"/>
          <w:szCs w:val="28"/>
          <w:lang w:eastAsia="zh-CN"/>
        </w:rPr>
        <w:t>两次支付，</w:t>
      </w:r>
      <w:r>
        <w:rPr>
          <w:rFonts w:hint="eastAsia" w:ascii="Times New Roman" w:hAnsi="Times New Roman" w:cs="Times New Roman"/>
          <w:color w:val="auto"/>
          <w:kern w:val="0"/>
          <w:szCs w:val="28"/>
          <w:lang w:val="en-US" w:eastAsia="zh-CN"/>
        </w:rPr>
        <w:t>第一次</w:t>
      </w:r>
      <w:r>
        <w:rPr>
          <w:rFonts w:hint="eastAsia" w:ascii="Times New Roman" w:hAnsi="Times New Roman" w:cs="Times New Roman"/>
          <w:color w:val="auto"/>
          <w:kern w:val="0"/>
          <w:szCs w:val="28"/>
          <w:lang w:eastAsia="zh-CN"/>
        </w:rPr>
        <w:t>于</w:t>
      </w:r>
      <w:r>
        <w:rPr>
          <w:rFonts w:hint="eastAsia" w:ascii="Times New Roman" w:hAnsi="Times New Roman" w:cs="Times New Roman"/>
          <w:color w:val="auto"/>
          <w:kern w:val="0"/>
          <w:szCs w:val="28"/>
          <w:lang w:val="en-US" w:eastAsia="zh-CN"/>
        </w:rPr>
        <w:t>2023年1月支付项目资金56.17万元给江苏华实市政建设集团有限公司一家单位</w:t>
      </w:r>
      <w:r>
        <w:rPr>
          <w:rFonts w:hint="default" w:ascii="Times New Roman" w:hAnsi="Times New Roman" w:cs="Times New Roman"/>
          <w:color w:val="auto"/>
          <w:kern w:val="0"/>
          <w:szCs w:val="28"/>
          <w:lang w:val="en-US" w:eastAsia="zh-CN"/>
        </w:rPr>
        <w:t>，</w:t>
      </w:r>
      <w:r>
        <w:rPr>
          <w:rFonts w:hint="eastAsia" w:ascii="Times New Roman" w:hAnsi="Times New Roman" w:cs="Times New Roman"/>
          <w:color w:val="auto"/>
          <w:kern w:val="0"/>
          <w:szCs w:val="28"/>
          <w:lang w:val="en-US" w:eastAsia="zh-CN"/>
        </w:rPr>
        <w:t>第二次2023年12月支付资金23.23万元给江苏华实市政建设集团有限公司一家单位</w:t>
      </w:r>
      <w:r>
        <w:rPr>
          <w:rFonts w:hint="default" w:ascii="Times New Roman" w:hAnsi="Times New Roman" w:cs="Times New Roman"/>
          <w:color w:val="auto"/>
          <w:kern w:val="0"/>
          <w:szCs w:val="28"/>
          <w:lang w:val="en-US" w:eastAsia="zh-CN"/>
        </w:rPr>
        <w:t>，执行率</w:t>
      </w:r>
      <w:r>
        <w:rPr>
          <w:rFonts w:hint="eastAsia" w:ascii="Times New Roman" w:hAnsi="Times New Roman" w:cs="Times New Roman"/>
          <w:color w:val="auto"/>
          <w:kern w:val="0"/>
          <w:szCs w:val="28"/>
          <w:lang w:val="en-US" w:eastAsia="zh-CN"/>
        </w:rPr>
        <w:t>100</w:t>
      </w:r>
      <w:r>
        <w:rPr>
          <w:rFonts w:hint="default" w:ascii="Times New Roman" w:hAnsi="Times New Roman" w:cs="Times New Roman"/>
          <w:color w:val="auto"/>
          <w:kern w:val="0"/>
          <w:szCs w:val="28"/>
          <w:lang w:val="en-US" w:eastAsia="zh-CN"/>
        </w:rPr>
        <w:t>%</w:t>
      </w:r>
      <w:r>
        <w:rPr>
          <w:rFonts w:hint="default" w:ascii="Times New Roman" w:hAnsi="Times New Roman" w:cs="Times New Roman"/>
          <w:color w:val="auto"/>
          <w:kern w:val="0"/>
          <w:szCs w:val="28"/>
          <w:lang w:eastAsia="zh-CN"/>
        </w:rPr>
        <w:t>。故预算执行率得分为</w:t>
      </w:r>
      <w:r>
        <w:rPr>
          <w:rFonts w:hint="eastAsia" w:ascii="Times New Roman" w:hAnsi="Times New Roman" w:cs="Times New Roman"/>
          <w:color w:val="auto"/>
          <w:kern w:val="0"/>
          <w:szCs w:val="28"/>
          <w:lang w:val="en-US" w:eastAsia="zh-CN"/>
        </w:rPr>
        <w:t>5</w:t>
      </w:r>
      <w:r>
        <w:rPr>
          <w:rFonts w:hint="default" w:ascii="Times New Roman" w:hAnsi="Times New Roman" w:cs="Times New Roman"/>
          <w:color w:val="auto"/>
          <w:kern w:val="0"/>
          <w:szCs w:val="28"/>
          <w:lang w:eastAsia="zh-CN"/>
        </w:rPr>
        <w:t>分。</w:t>
      </w:r>
    </w:p>
    <w:p>
      <w:pPr>
        <w:bidi w:val="0"/>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pStyle w:val="37"/>
        <w:bidi w:val="0"/>
        <w:rPr>
          <w:rFonts w:hint="default"/>
        </w:rPr>
      </w:pPr>
      <w:r>
        <w:rPr>
          <w:rFonts w:hint="default"/>
        </w:rPr>
        <w:t>综上，该指标满分13分，得分</w:t>
      </w:r>
      <w:r>
        <w:rPr>
          <w:rFonts w:hint="eastAsia"/>
          <w:lang w:val="en-US" w:eastAsia="zh-CN"/>
        </w:rPr>
        <w:t>13</w:t>
      </w:r>
      <w:r>
        <w:rPr>
          <w:rFonts w:hint="default"/>
        </w:rPr>
        <w:t>分。</w:t>
      </w:r>
    </w:p>
    <w:p>
      <w:pPr>
        <w:pStyle w:val="4"/>
        <w:bidi w:val="0"/>
        <w:rPr>
          <w:rFonts w:hint="default"/>
        </w:rPr>
      </w:pPr>
      <w:bookmarkStart w:id="44" w:name="_Toc23132"/>
      <w:r>
        <w:rPr>
          <w:rFonts w:hint="default"/>
        </w:rPr>
        <w:t>2.组织实施</w:t>
      </w:r>
      <w:bookmarkEnd w:id="44"/>
    </w:p>
    <w:p>
      <w:pPr>
        <w:bidi w:val="0"/>
        <w:rPr>
          <w:rFonts w:hint="default" w:ascii="Times New Roman" w:hAnsi="Times New Roman" w:cs="Times New Roman"/>
          <w:color w:val="000000" w:themeColor="text1"/>
          <w:szCs w:val="28"/>
          <w14:textFill>
            <w14:solidFill>
              <w14:schemeClr w14:val="tx1"/>
            </w14:solidFill>
          </w14:textFill>
        </w:rPr>
      </w:pPr>
      <w:bookmarkStart w:id="45" w:name="_Toc67911614"/>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w:t>
      </w:r>
      <w:r>
        <w:rPr>
          <w:rFonts w:hint="eastAsia" w:ascii="Times New Roman" w:hAnsi="Times New Roman" w:cs="Times New Roman"/>
          <w:color w:val="000000" w:themeColor="text1"/>
          <w:szCs w:val="28"/>
          <w:lang w:val="en-US" w:eastAsia="zh-CN"/>
          <w14:textFill>
            <w14:solidFill>
              <w14:schemeClr w14:val="tx1"/>
            </w14:solidFill>
          </w14:textFill>
        </w:rPr>
        <w:t>鲁木齐县小渠子中学</w:t>
      </w:r>
      <w:r>
        <w:rPr>
          <w:rFonts w:hint="default" w:ascii="Times New Roman" w:hAnsi="Times New Roman" w:cs="Times New Roman"/>
          <w:color w:val="000000" w:themeColor="text1"/>
          <w:szCs w:val="28"/>
          <w14:textFill>
            <w14:solidFill>
              <w14:schemeClr w14:val="tx1"/>
            </w14:solidFill>
          </w14:textFill>
        </w:rPr>
        <w:t>已制定相应的财务和业务管理制度，且制度合法、合规、完整，为项目顺利实施提供重要保障。故管理制度健全性得分为</w:t>
      </w:r>
      <w:r>
        <w:rPr>
          <w:rFonts w:hint="eastAsia" w:ascii="Times New Roman" w:hAnsi="Times New Roman" w:cs="Times New Roman"/>
          <w:color w:val="000000" w:themeColor="text1"/>
          <w:szCs w:val="28"/>
          <w:lang w:val="en-US" w:eastAsia="zh-CN"/>
          <w14:textFill>
            <w14:solidFill>
              <w14:schemeClr w14:val="tx1"/>
            </w14:solidFill>
          </w14:textFill>
        </w:rPr>
        <w:t>2</w:t>
      </w:r>
      <w:r>
        <w:rPr>
          <w:rFonts w:hint="default" w:ascii="Times New Roman" w:hAnsi="Times New Roman" w:cs="Times New Roman"/>
          <w:color w:val="000000" w:themeColor="text1"/>
          <w:szCs w:val="28"/>
          <w14:textFill>
            <w14:solidFill>
              <w14:schemeClr w14:val="tx1"/>
            </w14:solidFill>
          </w14:textFill>
        </w:rPr>
        <w:t>分。</w:t>
      </w:r>
    </w:p>
    <w:p>
      <w:pPr>
        <w:bidi w:val="0"/>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制度执行有效性：</w:t>
      </w:r>
      <w:r>
        <w:rPr>
          <w:rFonts w:hint="default" w:ascii="Times New Roman" w:hAnsi="Times New Roman" w:cs="Times New Roman"/>
          <w:color w:val="000000" w:themeColor="text1"/>
          <w:szCs w:val="28"/>
          <w14:textFill>
            <w14:solidFill>
              <w14:schemeClr w14:val="tx1"/>
            </w14:solidFill>
          </w14:textFill>
        </w:rPr>
        <w:t>根据现场调研和资料抽查情况，</w:t>
      </w:r>
      <w:r>
        <w:rPr>
          <w:rFonts w:hint="eastAsia" w:ascii="Times New Roman" w:hAnsi="Times New Roman" w:cs="Times New Roman"/>
          <w:color w:val="000000" w:themeColor="text1"/>
          <w:szCs w:val="28"/>
          <w:lang w:val="en-US" w:eastAsia="zh-CN"/>
          <w14:textFill>
            <w14:solidFill>
              <w14:schemeClr w14:val="tx1"/>
            </w14:solidFill>
          </w14:textFill>
        </w:rPr>
        <w:t>项目</w:t>
      </w:r>
      <w:r>
        <w:rPr>
          <w:rFonts w:hint="default" w:ascii="Times New Roman" w:hAnsi="Times New Roman" w:cs="Times New Roman"/>
          <w:color w:val="000000" w:themeColor="text1"/>
          <w:szCs w:val="28"/>
          <w14:textFill>
            <w14:solidFill>
              <w14:schemeClr w14:val="tx1"/>
            </w14:solidFill>
          </w14:textFill>
        </w:rPr>
        <w:t>严格遵守相关法律法规和相关管理规定，项目调整及支出调整手续完备，整体管理合理有序，项目完成后，及时将项目清单与计价表、中标通知书、合同、 国库支付凭证、学生，教职工花名册等相关资料分类归档，制度执行有效。故制度执行有效性指标得分</w:t>
      </w:r>
      <w:r>
        <w:rPr>
          <w:rFonts w:hint="eastAsia" w:ascii="Times New Roman" w:hAnsi="Times New Roman" w:cs="Times New Roman"/>
          <w:color w:val="000000" w:themeColor="text1"/>
          <w:szCs w:val="28"/>
          <w:lang w:val="en-US" w:eastAsia="zh-CN"/>
          <w14:textFill>
            <w14:solidFill>
              <w14:schemeClr w14:val="tx1"/>
            </w14:solidFill>
          </w14:textFill>
        </w:rPr>
        <w:t>3</w:t>
      </w:r>
      <w:r>
        <w:rPr>
          <w:rFonts w:hint="default" w:ascii="Times New Roman" w:hAnsi="Times New Roman" w:cs="Times New Roman"/>
          <w:color w:val="000000" w:themeColor="text1"/>
          <w:szCs w:val="28"/>
          <w14:textFill>
            <w14:solidFill>
              <w14:schemeClr w14:val="tx1"/>
            </w14:solidFill>
          </w14:textFill>
        </w:rPr>
        <w:t>分。</w:t>
      </w:r>
    </w:p>
    <w:p>
      <w:pPr>
        <w:pStyle w:val="37"/>
        <w:bidi w:val="0"/>
        <w:rPr>
          <w:rFonts w:hint="default"/>
          <w:color w:val="000000" w:themeColor="text1"/>
          <w14:textFill>
            <w14:solidFill>
              <w14:schemeClr w14:val="tx1"/>
            </w14:solidFill>
          </w14:textFill>
        </w:rPr>
      </w:pPr>
      <w:bookmarkStart w:id="46" w:name="_Hlk67670213"/>
      <w:r>
        <w:rPr>
          <w:rFonts w:hint="default"/>
          <w:color w:val="000000" w:themeColor="text1"/>
          <w14:textFill>
            <w14:solidFill>
              <w14:schemeClr w14:val="tx1"/>
            </w14:solidFill>
          </w14:textFill>
        </w:rPr>
        <w:t>综上，该指标满分7分，得分</w:t>
      </w:r>
      <w:r>
        <w:rPr>
          <w:rFonts w:hint="eastAsia"/>
          <w:color w:val="000000" w:themeColor="text1"/>
          <w:lang w:val="en-US" w:eastAsia="zh-CN"/>
          <w14:textFill>
            <w14:solidFill>
              <w14:schemeClr w14:val="tx1"/>
            </w14:solidFill>
          </w14:textFill>
        </w:rPr>
        <w:t>5</w:t>
      </w:r>
      <w:r>
        <w:rPr>
          <w:rFonts w:hint="default"/>
          <w:color w:val="000000" w:themeColor="text1"/>
          <w14:textFill>
            <w14:solidFill>
              <w14:schemeClr w14:val="tx1"/>
            </w14:solidFill>
          </w14:textFill>
        </w:rPr>
        <w:t>分。</w:t>
      </w:r>
    </w:p>
    <w:bookmarkEnd w:id="46"/>
    <w:p>
      <w:pPr>
        <w:pStyle w:val="3"/>
        <w:bidi w:val="0"/>
        <w:rPr>
          <w:rFonts w:hint="eastAsia"/>
          <w:lang w:val="en-US" w:eastAsia="zh-CN"/>
        </w:rPr>
      </w:pPr>
      <w:bookmarkStart w:id="47" w:name="_Toc1107"/>
      <w:r>
        <w:rPr>
          <w:rFonts w:hint="default"/>
        </w:rPr>
        <w:t>（三）项目产出</w:t>
      </w:r>
      <w:bookmarkEnd w:id="45"/>
      <w:r>
        <w:rPr>
          <w:rFonts w:hint="eastAsia"/>
          <w:lang w:val="en-US" w:eastAsia="zh-CN"/>
        </w:rPr>
        <w:t>情况</w:t>
      </w:r>
      <w:bookmarkEnd w:id="47"/>
    </w:p>
    <w:p>
      <w:pPr>
        <w:bidi w:val="0"/>
        <w:rPr>
          <w:rFonts w:hint="default"/>
        </w:rPr>
      </w:pPr>
      <w:r>
        <w:rPr>
          <w:rFonts w:hint="default"/>
        </w:rPr>
        <w:t>项目产出指标由</w:t>
      </w:r>
      <w:r>
        <w:rPr>
          <w:rFonts w:hint="eastAsia"/>
          <w:lang w:val="en-US" w:eastAsia="zh-CN"/>
        </w:rPr>
        <w:t>4</w:t>
      </w:r>
      <w:r>
        <w:rPr>
          <w:rFonts w:hint="default"/>
        </w:rPr>
        <w:t>个二级指标和</w:t>
      </w:r>
      <w:r>
        <w:rPr>
          <w:rFonts w:hint="eastAsia"/>
          <w:lang w:val="en-US" w:eastAsia="zh-CN"/>
        </w:rPr>
        <w:t>5</w:t>
      </w:r>
      <w:r>
        <w:rPr>
          <w:rFonts w:hint="default"/>
        </w:rPr>
        <w:t>个三级指标构成，权重为40分，实际得分</w:t>
      </w:r>
      <w:r>
        <w:rPr>
          <w:rFonts w:hint="eastAsia"/>
          <w:lang w:val="en-US" w:eastAsia="zh-CN"/>
        </w:rPr>
        <w:t>40</w:t>
      </w:r>
      <w:r>
        <w:rPr>
          <w:rFonts w:hint="default"/>
        </w:rPr>
        <w:t>分。</w:t>
      </w:r>
    </w:p>
    <w:p>
      <w:pPr>
        <w:pStyle w:val="4"/>
        <w:bidi w:val="0"/>
        <w:rPr>
          <w:rFonts w:hint="default"/>
        </w:rPr>
      </w:pPr>
      <w:bookmarkStart w:id="48" w:name="_Toc100784608"/>
      <w:bookmarkStart w:id="49" w:name="_Toc9148"/>
      <w:r>
        <w:rPr>
          <w:rFonts w:hint="default"/>
        </w:rPr>
        <w:t>1.产出数量</w:t>
      </w:r>
      <w:bookmarkEnd w:id="48"/>
      <w:bookmarkEnd w:id="49"/>
    </w:p>
    <w:p>
      <w:pPr>
        <w:bidi w:val="0"/>
        <w:rPr>
          <w:rFonts w:hint="default"/>
          <w:lang w:val="en-US" w:eastAsia="zh-CN"/>
        </w:rPr>
      </w:pPr>
      <w:r>
        <w:rPr>
          <w:rFonts w:hint="default"/>
        </w:rPr>
        <w:t>数量指标“</w:t>
      </w:r>
      <w:r>
        <w:rPr>
          <w:rFonts w:hint="eastAsia"/>
          <w:lang w:val="en-US" w:eastAsia="zh-CN"/>
        </w:rPr>
        <w:t>建设工程量</w:t>
      </w:r>
      <w:r>
        <w:rPr>
          <w:rFonts w:hint="default"/>
        </w:rPr>
        <w:t>”的目标值是</w:t>
      </w:r>
      <w:r>
        <w:rPr>
          <w:rFonts w:hint="eastAsia"/>
          <w:lang w:val="en-US" w:eastAsia="zh-CN"/>
        </w:rPr>
        <w:t>120平方米</w:t>
      </w:r>
      <w:r>
        <w:rPr>
          <w:rFonts w:hint="default"/>
        </w:rPr>
        <w:t>，</w:t>
      </w:r>
      <w:r>
        <w:rPr>
          <w:rFonts w:hint="eastAsia"/>
          <w:lang w:val="en-US" w:eastAsia="zh-CN"/>
        </w:rPr>
        <w:t>2023</w:t>
      </w:r>
      <w:r>
        <w:rPr>
          <w:rFonts w:hint="default"/>
        </w:rPr>
        <w:t>年度我单位</w:t>
      </w:r>
      <w:r>
        <w:rPr>
          <w:rFonts w:hint="eastAsia"/>
          <w:lang w:val="en-US" w:eastAsia="zh-CN"/>
        </w:rPr>
        <w:t>建设138平方米的消防水池。计划工程量120平方米实际建筑工程量138平方米。</w:t>
      </w:r>
    </w:p>
    <w:p>
      <w:pPr>
        <w:bidi w:val="0"/>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bidi w:val="0"/>
        <w:rPr>
          <w:rFonts w:hint="default"/>
        </w:rPr>
      </w:pPr>
      <w:bookmarkStart w:id="50" w:name="_Toc100784609"/>
      <w:bookmarkStart w:id="51" w:name="_Toc10308"/>
      <w:r>
        <w:rPr>
          <w:rFonts w:hint="default"/>
        </w:rPr>
        <w:t>2.产出</w:t>
      </w:r>
      <w:r>
        <w:rPr>
          <w:rFonts w:hint="eastAsia"/>
          <w:lang w:val="en-US" w:eastAsia="zh-CN"/>
        </w:rPr>
        <w:t>数</w:t>
      </w:r>
      <w:r>
        <w:rPr>
          <w:rFonts w:hint="default"/>
        </w:rPr>
        <w:t>量</w:t>
      </w:r>
      <w:bookmarkEnd w:id="50"/>
      <w:bookmarkEnd w:id="51"/>
    </w:p>
    <w:p>
      <w:pPr>
        <w:bidi w:val="0"/>
        <w:rPr>
          <w:rFonts w:hint="default"/>
        </w:rPr>
      </w:pPr>
      <w:r>
        <w:rPr>
          <w:rFonts w:hint="eastAsia"/>
          <w:lang w:val="en-US" w:eastAsia="zh-CN"/>
        </w:rPr>
        <w:t>质量指标“消防水池储水量”</w:t>
      </w:r>
      <w:r>
        <w:rPr>
          <w:rFonts w:hint="default"/>
        </w:rPr>
        <w:t>的目标值是</w:t>
      </w:r>
      <w:r>
        <w:rPr>
          <w:rFonts w:hint="eastAsia"/>
          <w:lang w:val="en-US" w:eastAsia="zh-CN"/>
        </w:rPr>
        <w:t>300平方米</w:t>
      </w:r>
      <w:r>
        <w:rPr>
          <w:rFonts w:hint="default"/>
        </w:rPr>
        <w:t>，202</w:t>
      </w:r>
      <w:r>
        <w:rPr>
          <w:rFonts w:hint="eastAsia"/>
          <w:lang w:val="en-US" w:eastAsia="zh-CN"/>
        </w:rPr>
        <w:t>3</w:t>
      </w:r>
      <w:r>
        <w:rPr>
          <w:rFonts w:hint="default"/>
        </w:rPr>
        <w:t>年度我单位</w:t>
      </w:r>
      <w:r>
        <w:rPr>
          <w:rFonts w:hint="eastAsia"/>
          <w:lang w:val="en-US" w:eastAsia="zh-CN"/>
        </w:rPr>
        <w:t>完成300平方米，故</w:t>
      </w:r>
      <w:r>
        <w:rPr>
          <w:rFonts w:hint="default"/>
        </w:rPr>
        <w:t>质量达标率得分为</w:t>
      </w:r>
      <w:r>
        <w:rPr>
          <w:rFonts w:hint="eastAsia"/>
          <w:lang w:val="en-US" w:eastAsia="zh-CN"/>
        </w:rPr>
        <w:t>10</w:t>
      </w:r>
      <w:r>
        <w:rPr>
          <w:rFonts w:hint="default"/>
        </w:rPr>
        <w:t>分。</w:t>
      </w:r>
    </w:p>
    <w:p>
      <w:pPr>
        <w:pStyle w:val="4"/>
        <w:bidi w:val="0"/>
        <w:rPr>
          <w:rFonts w:hint="eastAsia"/>
          <w:lang w:val="en-US" w:eastAsia="zh-CN"/>
        </w:rPr>
      </w:pPr>
      <w:bookmarkStart w:id="52" w:name="_Toc100784610"/>
      <w:bookmarkStart w:id="53" w:name="_Toc594"/>
      <w:r>
        <w:rPr>
          <w:rFonts w:hint="default"/>
        </w:rPr>
        <w:t>3.产出</w:t>
      </w:r>
      <w:bookmarkEnd w:id="52"/>
      <w:r>
        <w:rPr>
          <w:rFonts w:hint="eastAsia"/>
          <w:lang w:val="en-US" w:eastAsia="zh-CN"/>
        </w:rPr>
        <w:t>质量</w:t>
      </w:r>
      <w:bookmarkEnd w:id="53"/>
    </w:p>
    <w:p>
      <w:pPr>
        <w:bidi w:val="0"/>
        <w:rPr>
          <w:rFonts w:hint="eastAsia"/>
          <w:lang w:val="en-US" w:eastAsia="zh-CN"/>
        </w:rPr>
      </w:pPr>
      <w:r>
        <w:rPr>
          <w:rFonts w:hint="eastAsia"/>
          <w:lang w:val="en-US" w:eastAsia="zh-CN"/>
        </w:rPr>
        <w:t>时效指标“工程竣工及时率”</w:t>
      </w:r>
      <w:r>
        <w:rPr>
          <w:rFonts w:hint="default"/>
        </w:rPr>
        <w:t>的目标值是</w:t>
      </w:r>
      <w:r>
        <w:rPr>
          <w:rFonts w:hint="eastAsia"/>
          <w:lang w:val="en-US" w:eastAsia="zh-CN"/>
        </w:rPr>
        <w:t>98%</w:t>
      </w:r>
      <w:r>
        <w:rPr>
          <w:rFonts w:hint="default"/>
        </w:rPr>
        <w:t>，202</w:t>
      </w:r>
      <w:r>
        <w:rPr>
          <w:rFonts w:hint="eastAsia"/>
          <w:lang w:val="en-US" w:eastAsia="zh-CN"/>
        </w:rPr>
        <w:t>3</w:t>
      </w:r>
      <w:r>
        <w:rPr>
          <w:rFonts w:hint="default"/>
        </w:rPr>
        <w:t>年度</w:t>
      </w:r>
      <w:r>
        <w:rPr>
          <w:rFonts w:hint="eastAsia"/>
          <w:lang w:val="en-US" w:eastAsia="zh-CN"/>
        </w:rPr>
        <w:t>根据工程进度</w:t>
      </w:r>
      <w:r>
        <w:rPr>
          <w:rFonts w:hint="default"/>
        </w:rPr>
        <w:t>我单位</w:t>
      </w:r>
      <w:r>
        <w:rPr>
          <w:rFonts w:hint="eastAsia"/>
          <w:lang w:val="en-US" w:eastAsia="zh-CN"/>
        </w:rPr>
        <w:t>完成100%。</w:t>
      </w:r>
    </w:p>
    <w:p>
      <w:pPr>
        <w:bidi w:val="0"/>
        <w:rPr>
          <w:rFonts w:hint="default"/>
        </w:rPr>
      </w:pPr>
      <w:r>
        <w:rPr>
          <w:rFonts w:hint="default"/>
        </w:rPr>
        <w:t>建设工程完工及时率：小渠子中学改扩建300立方米消防水池及附属设施已完成基础设施，后续工作全部施工完毕，根据进度实施，支付了</w:t>
      </w:r>
      <w:r>
        <w:rPr>
          <w:rFonts w:hint="eastAsia"/>
          <w:lang w:val="en-US" w:eastAsia="zh-CN"/>
        </w:rPr>
        <w:t>结转资金79.4</w:t>
      </w:r>
      <w:r>
        <w:rPr>
          <w:rFonts w:hint="default"/>
        </w:rPr>
        <w:t>万元，故完成及时性得分为</w:t>
      </w:r>
      <w:r>
        <w:rPr>
          <w:rFonts w:hint="eastAsia"/>
          <w:lang w:val="en-US" w:eastAsia="zh-CN"/>
        </w:rPr>
        <w:t>10</w:t>
      </w:r>
      <w:r>
        <w:rPr>
          <w:rFonts w:hint="default"/>
        </w:rPr>
        <w:t>分。</w:t>
      </w:r>
    </w:p>
    <w:p>
      <w:pPr>
        <w:pStyle w:val="4"/>
        <w:bidi w:val="0"/>
        <w:rPr>
          <w:rFonts w:hint="eastAsia"/>
          <w:lang w:val="en-US" w:eastAsia="zh-CN"/>
        </w:rPr>
      </w:pPr>
      <w:bookmarkStart w:id="54" w:name="_Toc19814"/>
      <w:r>
        <w:rPr>
          <w:rFonts w:hint="default"/>
        </w:rPr>
        <w:t>4.产出</w:t>
      </w:r>
      <w:r>
        <w:rPr>
          <w:rFonts w:hint="eastAsia"/>
          <w:lang w:val="en-US" w:eastAsia="zh-CN"/>
        </w:rPr>
        <w:t>时效</w:t>
      </w:r>
      <w:bookmarkEnd w:id="54"/>
    </w:p>
    <w:p>
      <w:pPr>
        <w:spacing w:line="360" w:lineRule="auto"/>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时效指标“按期完工率”</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w:t>
      </w:r>
      <w:r>
        <w:rPr>
          <w:rFonts w:hint="eastAsia" w:ascii="Times New Roman" w:hAnsi="Times New Roman" w:cs="Times New Roman"/>
          <w:bCs/>
          <w:szCs w:val="28"/>
          <w:lang w:val="en-US" w:eastAsia="zh-CN"/>
        </w:rPr>
        <w:t>3</w:t>
      </w:r>
      <w:r>
        <w:rPr>
          <w:rFonts w:hint="default" w:ascii="Times New Roman" w:hAnsi="Times New Roman" w:cs="Times New Roman"/>
          <w:bCs/>
          <w:szCs w:val="28"/>
        </w:rPr>
        <w:t>年度</w:t>
      </w:r>
      <w:r>
        <w:rPr>
          <w:rFonts w:hint="eastAsia" w:ascii="Times New Roman" w:hAnsi="Times New Roman" w:cs="Times New Roman"/>
          <w:bCs/>
          <w:szCs w:val="28"/>
          <w:lang w:val="en-US" w:eastAsia="zh-CN"/>
        </w:rPr>
        <w:t>根据工程进度</w:t>
      </w:r>
      <w:r>
        <w:rPr>
          <w:rFonts w:hint="default" w:ascii="Times New Roman" w:hAnsi="Times New Roman" w:cs="Times New Roman"/>
          <w:bCs/>
          <w:szCs w:val="28"/>
        </w:rPr>
        <w:t>我单位</w:t>
      </w:r>
      <w:r>
        <w:rPr>
          <w:rFonts w:hint="eastAsia" w:ascii="Times New Roman" w:hAnsi="Times New Roman" w:cs="Times New Roman"/>
          <w:bCs/>
          <w:szCs w:val="28"/>
          <w:lang w:val="en-US" w:eastAsia="zh-CN"/>
        </w:rPr>
        <w:t>完成100%，</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Style w:val="4"/>
        <w:bidi w:val="0"/>
        <w:rPr>
          <w:rFonts w:hint="default"/>
          <w:lang w:val="en-US" w:eastAsia="zh-CN"/>
        </w:rPr>
      </w:pPr>
      <w:bookmarkStart w:id="55" w:name="_Toc28642"/>
      <w:r>
        <w:rPr>
          <w:rFonts w:hint="eastAsia"/>
          <w:lang w:val="en-US" w:eastAsia="zh-CN"/>
        </w:rPr>
        <w:t>5</w:t>
      </w:r>
      <w:r>
        <w:rPr>
          <w:rFonts w:hint="default"/>
        </w:rPr>
        <w:t>.产出</w:t>
      </w:r>
      <w:r>
        <w:rPr>
          <w:rFonts w:hint="eastAsia"/>
          <w:lang w:val="en-US" w:eastAsia="zh-CN"/>
        </w:rPr>
        <w:t>成本</w:t>
      </w:r>
      <w:bookmarkEnd w:id="55"/>
    </w:p>
    <w:p>
      <w:pPr>
        <w:bidi w:val="0"/>
        <w:rPr>
          <w:rFonts w:hint="eastAsia"/>
          <w:lang w:val="en-US" w:eastAsia="zh-CN"/>
        </w:rPr>
      </w:pPr>
      <w:r>
        <w:rPr>
          <w:rFonts w:hint="eastAsia"/>
          <w:lang w:val="en-US" w:eastAsia="zh-CN"/>
        </w:rPr>
        <w:t>成本指标“消防水池成本控制率”</w:t>
      </w:r>
      <w:r>
        <w:rPr>
          <w:rFonts w:hint="default"/>
        </w:rPr>
        <w:t>的目标值是</w:t>
      </w:r>
      <w:r>
        <w:rPr>
          <w:rFonts w:hint="eastAsia"/>
          <w:lang w:val="en-US" w:eastAsia="zh-CN"/>
        </w:rPr>
        <w:t>小于等于3%</w:t>
      </w:r>
      <w:r>
        <w:rPr>
          <w:rFonts w:hint="default"/>
        </w:rPr>
        <w:t>，202</w:t>
      </w:r>
      <w:r>
        <w:rPr>
          <w:rFonts w:hint="eastAsia"/>
          <w:lang w:val="en-US" w:eastAsia="zh-CN"/>
        </w:rPr>
        <w:t>3</w:t>
      </w:r>
      <w:r>
        <w:rPr>
          <w:rFonts w:hint="default"/>
        </w:rPr>
        <w:t>年度</w:t>
      </w:r>
      <w:r>
        <w:rPr>
          <w:rFonts w:hint="eastAsia"/>
          <w:lang w:val="en-US" w:eastAsia="zh-CN"/>
        </w:rPr>
        <w:t>根据消防水池成本控制率0%，</w:t>
      </w:r>
      <w:r>
        <w:rPr>
          <w:rFonts w:hint="default"/>
        </w:rPr>
        <w:t>故完成及时性得分为</w:t>
      </w:r>
      <w:r>
        <w:rPr>
          <w:rFonts w:hint="eastAsia"/>
          <w:lang w:val="en-US" w:eastAsia="zh-CN"/>
        </w:rPr>
        <w:t>5</w:t>
      </w:r>
      <w:r>
        <w:rPr>
          <w:rFonts w:hint="default"/>
        </w:rPr>
        <w:t>分。</w:t>
      </w:r>
    </w:p>
    <w:p>
      <w:pPr>
        <w:pStyle w:val="37"/>
        <w:bidi w:val="0"/>
        <w:rPr>
          <w:rFonts w:hint="default"/>
        </w:rPr>
      </w:pPr>
      <w:r>
        <w:rPr>
          <w:rFonts w:hint="default"/>
        </w:rPr>
        <w:t>综上，该指标满分40分，得分</w:t>
      </w:r>
      <w:r>
        <w:rPr>
          <w:rFonts w:hint="eastAsia"/>
          <w:lang w:val="en-US" w:eastAsia="zh-CN"/>
        </w:rPr>
        <w:t>40</w:t>
      </w:r>
      <w:r>
        <w:rPr>
          <w:rFonts w:hint="default"/>
        </w:rPr>
        <w:t>分。</w:t>
      </w:r>
    </w:p>
    <w:p>
      <w:pPr>
        <w:pageBreakBefore w:val="0"/>
        <w:widowControl w:val="0"/>
        <w:kinsoku/>
        <w:wordWrap/>
        <w:overflowPunct/>
        <w:topLinePunct w:val="0"/>
        <w:autoSpaceDE w:val="0"/>
        <w:autoSpaceDN/>
        <w:bidi w:val="0"/>
        <w:adjustRightInd/>
        <w:snapToGrid/>
        <w:spacing w:line="560" w:lineRule="exact"/>
        <w:textAlignment w:val="auto"/>
        <w:rPr>
          <w:rFonts w:hint="eastAsia" w:ascii="Times New Roman" w:hAnsi="Times New Roman" w:eastAsia="仿宋_GB2312" w:cs="Times New Roman"/>
          <w:b/>
          <w:kern w:val="0"/>
          <w:szCs w:val="28"/>
          <w:lang w:val="en-US" w:eastAsia="zh-CN"/>
        </w:rPr>
      </w:pPr>
    </w:p>
    <w:p>
      <w:pPr>
        <w:pStyle w:val="3"/>
        <w:bidi w:val="0"/>
        <w:rPr>
          <w:rFonts w:hint="default"/>
        </w:rPr>
      </w:pPr>
      <w:bookmarkStart w:id="56" w:name="_Toc67911615"/>
      <w:bookmarkStart w:id="57" w:name="_Toc3829"/>
      <w:r>
        <w:rPr>
          <w:rFonts w:hint="default"/>
        </w:rPr>
        <w:t>（四）项目效益情况</w:t>
      </w:r>
      <w:bookmarkEnd w:id="56"/>
      <w:bookmarkEnd w:id="57"/>
    </w:p>
    <w:p>
      <w:pPr>
        <w:bidi w:val="0"/>
        <w:rPr>
          <w:rFonts w:hint="default"/>
        </w:rPr>
      </w:pPr>
      <w:r>
        <w:rPr>
          <w:rFonts w:hint="default"/>
        </w:rPr>
        <w:t>项目效益指标由</w:t>
      </w:r>
      <w:r>
        <w:rPr>
          <w:rFonts w:hint="eastAsia"/>
          <w:lang w:val="en-US" w:eastAsia="zh-CN"/>
        </w:rPr>
        <w:t>1</w:t>
      </w:r>
      <w:r>
        <w:rPr>
          <w:rFonts w:hint="default"/>
        </w:rPr>
        <w:t>个二级指标和</w:t>
      </w:r>
      <w:r>
        <w:rPr>
          <w:rFonts w:hint="eastAsia"/>
          <w:lang w:val="en-US" w:eastAsia="zh-CN"/>
        </w:rPr>
        <w:t>2</w:t>
      </w:r>
      <w:r>
        <w:rPr>
          <w:rFonts w:hint="default"/>
        </w:rPr>
        <w:t>个三级指标构成，权重为</w:t>
      </w:r>
      <w:r>
        <w:rPr>
          <w:rFonts w:hint="eastAsia"/>
          <w:lang w:val="en-US" w:eastAsia="zh-CN"/>
        </w:rPr>
        <w:t>20</w:t>
      </w:r>
      <w:r>
        <w:rPr>
          <w:rFonts w:hint="default"/>
        </w:rPr>
        <w:t>分，实际得分</w:t>
      </w:r>
      <w:r>
        <w:rPr>
          <w:rFonts w:hint="eastAsia"/>
          <w:lang w:val="en-US" w:eastAsia="zh-CN"/>
        </w:rPr>
        <w:t>20</w:t>
      </w:r>
      <w:r>
        <w:rPr>
          <w:rFonts w:hint="default"/>
        </w:rPr>
        <w:t xml:space="preserve">分。 </w:t>
      </w:r>
    </w:p>
    <w:p>
      <w:pPr>
        <w:pStyle w:val="4"/>
        <w:bidi w:val="0"/>
        <w:rPr>
          <w:rFonts w:hint="default"/>
        </w:rPr>
      </w:pPr>
      <w:bookmarkStart w:id="58" w:name="_Toc10521"/>
      <w:r>
        <w:rPr>
          <w:rFonts w:hint="default"/>
        </w:rPr>
        <w:t>1.项目效益</w:t>
      </w:r>
      <w:bookmarkEnd w:id="58"/>
    </w:p>
    <w:p>
      <w:pPr>
        <w:pStyle w:val="37"/>
        <w:bidi w:val="0"/>
        <w:rPr>
          <w:rFonts w:hint="default"/>
        </w:rPr>
      </w:pPr>
      <w:r>
        <w:rPr>
          <w:rFonts w:hint="default"/>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eastAsia" w:ascii="Times New Roman" w:hAnsi="Times New Roman" w:cs="Times New Roman"/>
          <w:color w:val="auto"/>
          <w:szCs w:val="28"/>
          <w:lang w:val="en-US" w:eastAsia="zh-CN"/>
        </w:rPr>
        <w:t>不</w:t>
      </w:r>
      <w:r>
        <w:rPr>
          <w:rFonts w:hint="default" w:ascii="Times New Roman" w:hAnsi="Times New Roman" w:cs="Times New Roman"/>
          <w:color w:val="auto"/>
          <w:szCs w:val="28"/>
        </w:rPr>
        <w:t>适用</w:t>
      </w:r>
      <w:r>
        <w:rPr>
          <w:rFonts w:hint="default" w:ascii="Times New Roman" w:hAnsi="Times New Roman" w:cs="Times New Roman"/>
          <w:szCs w:val="28"/>
        </w:rPr>
        <w:t xml:space="preserve">。 </w:t>
      </w:r>
    </w:p>
    <w:p>
      <w:pPr>
        <w:bidi w:val="0"/>
        <w:rPr>
          <w:rFonts w:hint="default" w:ascii="Times New Roman" w:hAnsi="Times New Roman" w:eastAsia="仿宋_GB2312"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val="en-US" w:eastAsia="zh-CN"/>
        </w:rPr>
        <w:t>项目受益人数</w:t>
      </w:r>
      <w:r>
        <w:rPr>
          <w:rFonts w:hint="default" w:ascii="Times New Roman" w:hAnsi="Times New Roman" w:cs="Times New Roman"/>
          <w:szCs w:val="28"/>
        </w:rPr>
        <w:t>”，指标值：</w:t>
      </w:r>
      <w:r>
        <w:rPr>
          <w:rFonts w:hint="eastAsia" w:ascii="Times New Roman" w:hAnsi="Times New Roman" w:cs="Times New Roman"/>
          <w:szCs w:val="28"/>
          <w:lang w:val="en-US" w:eastAsia="zh-CN"/>
        </w:rPr>
        <w:t>220人，</w:t>
      </w:r>
      <w:r>
        <w:rPr>
          <w:rFonts w:hint="default" w:ascii="Times New Roman" w:hAnsi="Times New Roman" w:cs="Times New Roman"/>
          <w:szCs w:val="28"/>
        </w:rPr>
        <w:t>实际完成值：</w:t>
      </w:r>
      <w:r>
        <w:rPr>
          <w:rFonts w:hint="eastAsia" w:ascii="Times New Roman" w:hAnsi="Times New Roman" w:cs="Times New Roman"/>
          <w:szCs w:val="28"/>
          <w:lang w:val="en-US" w:eastAsia="zh-CN"/>
        </w:rPr>
        <w:t>实际受益人数高于220人</w:t>
      </w:r>
      <w:r>
        <w:rPr>
          <w:rFonts w:hint="default" w:ascii="Times New Roman" w:hAnsi="Times New Roman" w:cs="Times New Roman"/>
          <w:szCs w:val="28"/>
        </w:rPr>
        <w:t>。本项目后续工作</w:t>
      </w:r>
      <w:r>
        <w:rPr>
          <w:rFonts w:hint="eastAsia" w:ascii="Times New Roman" w:hAnsi="Times New Roman" w:cs="Times New Roman"/>
          <w:szCs w:val="28"/>
          <w:lang w:val="en-US" w:eastAsia="zh-CN"/>
        </w:rPr>
        <w:t>已</w:t>
      </w:r>
      <w:r>
        <w:rPr>
          <w:rFonts w:hint="default" w:ascii="Times New Roman" w:hAnsi="Times New Roman" w:cs="Times New Roman"/>
          <w:szCs w:val="28"/>
        </w:rPr>
        <w:t>全部施工完毕，</w:t>
      </w:r>
      <w:r>
        <w:rPr>
          <w:rFonts w:hint="eastAsia" w:ascii="Times New Roman" w:hAnsi="Times New Roman" w:cs="Times New Roman"/>
          <w:szCs w:val="28"/>
          <w:lang w:val="en-US" w:eastAsia="zh-CN"/>
        </w:rPr>
        <w:t>保障目标值。</w:t>
      </w:r>
    </w:p>
    <w:p>
      <w:pPr>
        <w:bidi w:val="0"/>
        <w:rPr>
          <w:rFonts w:hint="default" w:ascii="Times New Roman" w:hAnsi="Times New Roman" w:eastAsia="仿宋_GB2312" w:cs="Times New Roman"/>
          <w:szCs w:val="28"/>
          <w:lang w:val="en-US" w:eastAsia="zh-CN"/>
        </w:rPr>
      </w:pPr>
      <w:r>
        <w:rPr>
          <w:rFonts w:hint="default" w:ascii="Times New Roman" w:hAnsi="Times New Roman" w:cs="Times New Roman"/>
          <w:szCs w:val="28"/>
        </w:rPr>
        <w:t>评价指标“</w:t>
      </w:r>
      <w:r>
        <w:rPr>
          <w:rFonts w:hint="eastAsia" w:ascii="Times New Roman" w:hAnsi="Times New Roman" w:cs="Times New Roman"/>
          <w:szCs w:val="28"/>
          <w:lang w:val="en-US" w:eastAsia="zh-CN"/>
        </w:rPr>
        <w:t>义务教育薄弱环节改善和能力提升</w:t>
      </w:r>
      <w:r>
        <w:rPr>
          <w:rFonts w:hint="default" w:ascii="Times New Roman" w:hAnsi="Times New Roman" w:cs="Times New Roman"/>
          <w:szCs w:val="28"/>
        </w:rPr>
        <w:t>”，指标值：有效保障，实际完成值：</w:t>
      </w:r>
      <w:r>
        <w:rPr>
          <w:rFonts w:hint="eastAsia" w:ascii="Times New Roman" w:hAnsi="Times New Roman" w:cs="Times New Roman"/>
          <w:szCs w:val="28"/>
          <w:lang w:val="en-US" w:eastAsia="zh-CN"/>
        </w:rPr>
        <w:t>达到预期效果</w:t>
      </w:r>
      <w:r>
        <w:rPr>
          <w:rFonts w:hint="default" w:ascii="Times New Roman" w:hAnsi="Times New Roman" w:cs="Times New Roman"/>
          <w:szCs w:val="28"/>
        </w:rPr>
        <w:t>。本项目后续工作</w:t>
      </w:r>
      <w:r>
        <w:rPr>
          <w:rFonts w:hint="eastAsia" w:ascii="Times New Roman" w:hAnsi="Times New Roman" w:cs="Times New Roman"/>
          <w:szCs w:val="28"/>
          <w:lang w:val="en-US" w:eastAsia="zh-CN"/>
        </w:rPr>
        <w:t>已</w:t>
      </w:r>
      <w:r>
        <w:rPr>
          <w:rFonts w:hint="default" w:ascii="Times New Roman" w:hAnsi="Times New Roman" w:cs="Times New Roman"/>
          <w:szCs w:val="28"/>
        </w:rPr>
        <w:t>全部施工完毕，</w:t>
      </w:r>
      <w:r>
        <w:rPr>
          <w:rFonts w:hint="eastAsia" w:ascii="Times New Roman" w:hAnsi="Times New Roman" w:cs="Times New Roman"/>
          <w:szCs w:val="28"/>
          <w:lang w:val="en-US" w:eastAsia="zh-CN"/>
        </w:rPr>
        <w:t>保障目标值。</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w:t>
      </w:r>
      <w:r>
        <w:rPr>
          <w:rFonts w:hint="default" w:ascii="Times New Roman" w:hAnsi="Times New Roman" w:cs="Times New Roman"/>
          <w:color w:val="auto"/>
          <w:szCs w:val="28"/>
        </w:rPr>
        <w:t>不适用</w:t>
      </w:r>
      <w:r>
        <w:rPr>
          <w:rFonts w:hint="default" w:ascii="Times New Roman" w:hAnsi="Times New Roman" w:cs="Times New Roman"/>
          <w:szCs w:val="28"/>
        </w:rPr>
        <w:t>。</w:t>
      </w:r>
    </w:p>
    <w:p>
      <w:pPr>
        <w:spacing w:line="360" w:lineRule="auto"/>
        <w:ind w:firstLine="562"/>
        <w:rPr>
          <w:rFonts w:hint="eastAsia" w:ascii="Times New Roman" w:hAnsi="Times New Roman" w:eastAsia="仿宋_GB2312" w:cs="Times New Roman"/>
          <w:szCs w:val="28"/>
          <w:lang w:val="en-US" w:eastAsia="zh-CN"/>
        </w:rPr>
      </w:pPr>
      <w:r>
        <w:rPr>
          <w:rFonts w:hint="default" w:ascii="Times New Roman" w:hAnsi="Times New Roman" w:cs="Times New Roman"/>
          <w:b/>
          <w:bCs/>
          <w:szCs w:val="28"/>
        </w:rPr>
        <w:t>可持续影响指标：</w:t>
      </w:r>
      <w:r>
        <w:rPr>
          <w:rFonts w:hint="eastAsia" w:ascii="Times New Roman" w:hAnsi="Times New Roman" w:cs="Times New Roman"/>
          <w:szCs w:val="28"/>
          <w:lang w:val="en-US" w:eastAsia="zh-CN"/>
        </w:rPr>
        <w:t>不适用。</w:t>
      </w:r>
    </w:p>
    <w:p>
      <w:pPr>
        <w:pStyle w:val="37"/>
        <w:bidi w:val="0"/>
        <w:rPr>
          <w:rFonts w:hint="default"/>
        </w:rPr>
      </w:pPr>
      <w:r>
        <w:rPr>
          <w:rFonts w:hint="default"/>
        </w:rPr>
        <w:t>综上，该指标满分</w:t>
      </w:r>
      <w:r>
        <w:rPr>
          <w:rFonts w:hint="eastAsia"/>
          <w:lang w:val="en-US" w:eastAsia="zh-CN"/>
        </w:rPr>
        <w:t>20</w:t>
      </w:r>
      <w:r>
        <w:rPr>
          <w:rFonts w:hint="default"/>
        </w:rPr>
        <w:t>分，得分</w:t>
      </w:r>
      <w:r>
        <w:rPr>
          <w:rFonts w:hint="eastAsia"/>
          <w:lang w:val="en-US" w:eastAsia="zh-CN"/>
        </w:rPr>
        <w:t>20</w:t>
      </w:r>
      <w:r>
        <w:rPr>
          <w:rFonts w:hint="default"/>
        </w:rPr>
        <w:t>分。</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9" w:name="_Toc67911617"/>
    </w:p>
    <w:bookmarkEnd w:id="59"/>
    <w:p>
      <w:pPr>
        <w:pStyle w:val="2"/>
        <w:bidi w:val="0"/>
        <w:rPr>
          <w:rFonts w:hint="default"/>
        </w:rPr>
      </w:pPr>
      <w:bookmarkStart w:id="60" w:name="_Toc5058"/>
      <w:bookmarkStart w:id="61" w:name="_Toc67911620"/>
      <w:bookmarkStart w:id="62" w:name="_Toc67911619"/>
      <w:r>
        <w:rPr>
          <w:rFonts w:hint="default"/>
        </w:rPr>
        <w:t>六、主要经验及做法、存在的问题及原因分析</w:t>
      </w:r>
      <w:bookmarkEnd w:id="60"/>
    </w:p>
    <w:p>
      <w:pPr>
        <w:pStyle w:val="3"/>
        <w:bidi w:val="0"/>
        <w:rPr>
          <w:rFonts w:hint="default"/>
        </w:rPr>
      </w:pPr>
      <w:bookmarkStart w:id="63" w:name="_Toc100784617"/>
      <w:bookmarkStart w:id="64" w:name="_Toc67911618"/>
      <w:bookmarkStart w:id="65" w:name="_Toc2805"/>
      <w:r>
        <w:rPr>
          <w:rFonts w:hint="default"/>
        </w:rPr>
        <w:t>（一）主要经验及做法</w:t>
      </w:r>
      <w:bookmarkEnd w:id="63"/>
      <w:bookmarkEnd w:id="64"/>
      <w:bookmarkEnd w:id="65"/>
    </w:p>
    <w:p>
      <w:pPr>
        <w:bidi w:val="0"/>
        <w:rPr>
          <w:rFonts w:hint="default"/>
        </w:rPr>
      </w:pPr>
      <w:bookmarkStart w:id="66" w:name="_Toc100784618"/>
      <w:r>
        <w:rPr>
          <w:rFonts w:hint="eastAsia"/>
          <w:lang w:val="en-US" w:eastAsia="zh-CN"/>
        </w:rPr>
        <w:t>1</w:t>
      </w:r>
      <w:r>
        <w:rPr>
          <w:rFonts w:hint="eastAsia"/>
        </w:rPr>
        <w:t>.积极参加</w:t>
      </w:r>
      <w:r>
        <w:rPr>
          <w:rFonts w:hint="eastAsia"/>
          <w:lang w:val="en-US" w:eastAsia="zh-CN"/>
        </w:rPr>
        <w:t>相关部门组织的</w:t>
      </w:r>
      <w:r>
        <w:rPr>
          <w:rFonts w:hint="eastAsia"/>
        </w:rPr>
        <w:t>财务培训，提高专业技能。</w:t>
      </w:r>
    </w:p>
    <w:p>
      <w:pPr>
        <w:bidi w:val="0"/>
        <w:rPr>
          <w:rFonts w:hint="default"/>
        </w:rPr>
      </w:pPr>
      <w:r>
        <w:rPr>
          <w:rFonts w:hint="eastAsia"/>
          <w:lang w:val="en-US" w:eastAsia="zh-CN"/>
        </w:rPr>
        <w:t>2</w:t>
      </w:r>
      <w:r>
        <w:rPr>
          <w:rFonts w:hint="eastAsia"/>
        </w:rPr>
        <w:t>.加强</w:t>
      </w:r>
      <w:r>
        <w:rPr>
          <w:rFonts w:hint="eastAsia"/>
          <w:lang w:val="en-US" w:eastAsia="zh-CN"/>
        </w:rPr>
        <w:t>学校</w:t>
      </w:r>
      <w:r>
        <w:rPr>
          <w:rFonts w:hint="eastAsia"/>
        </w:rPr>
        <w:t>督导，</w:t>
      </w:r>
      <w:r>
        <w:rPr>
          <w:rFonts w:hint="eastAsia" w:ascii="Times New Roman" w:hAnsi="Times New Roman" w:cs="Times New Roman"/>
          <w:color w:val="auto"/>
          <w:lang w:val="en-US" w:eastAsia="zh-CN"/>
        </w:rPr>
        <w:t>我校</w:t>
      </w:r>
      <w:r>
        <w:rPr>
          <w:rFonts w:hint="default" w:ascii="Times New Roman" w:hAnsi="Times New Roman" w:cs="Times New Roman"/>
          <w:color w:val="auto"/>
          <w:lang w:val="en-US" w:eastAsia="zh-CN"/>
        </w:rPr>
        <w:t>成立</w:t>
      </w:r>
      <w:r>
        <w:rPr>
          <w:rFonts w:hint="eastAsia" w:ascii="Times New Roman" w:hAnsi="Times New Roman" w:cs="Times New Roman"/>
          <w:color w:val="auto"/>
          <w:lang w:val="en-US" w:eastAsia="zh-CN"/>
        </w:rPr>
        <w:t>以党支部</w:t>
      </w:r>
      <w:r>
        <w:rPr>
          <w:rFonts w:hint="default" w:ascii="Times New Roman" w:hAnsi="Times New Roman" w:cs="Times New Roman"/>
          <w:color w:val="auto"/>
          <w:lang w:val="en-US" w:eastAsia="zh-CN"/>
        </w:rPr>
        <w:t>书记、</w:t>
      </w:r>
      <w:r>
        <w:rPr>
          <w:rFonts w:hint="eastAsia" w:ascii="Times New Roman" w:hAnsi="Times New Roman" w:cs="Times New Roman"/>
          <w:color w:val="auto"/>
          <w:lang w:val="en-US" w:eastAsia="zh-CN"/>
        </w:rPr>
        <w:t>党支部副书记学校</w:t>
      </w:r>
      <w:r>
        <w:rPr>
          <w:rFonts w:hint="default" w:ascii="Times New Roman" w:hAnsi="Times New Roman" w:cs="Times New Roman"/>
          <w:color w:val="auto"/>
          <w:lang w:val="en-US" w:eastAsia="zh-CN"/>
        </w:rPr>
        <w:t>校长、</w:t>
      </w:r>
      <w:r>
        <w:rPr>
          <w:rFonts w:hint="eastAsia" w:ascii="Times New Roman" w:hAnsi="Times New Roman" w:cs="Times New Roman"/>
          <w:color w:val="auto"/>
          <w:lang w:val="en-US" w:eastAsia="zh-CN"/>
        </w:rPr>
        <w:t>学校</w:t>
      </w:r>
      <w:r>
        <w:rPr>
          <w:rFonts w:hint="default" w:ascii="Times New Roman" w:hAnsi="Times New Roman" w:cs="Times New Roman"/>
          <w:color w:val="auto"/>
          <w:lang w:val="en-US" w:eastAsia="zh-CN"/>
        </w:rPr>
        <w:t>副校长、</w:t>
      </w:r>
      <w:r>
        <w:rPr>
          <w:rFonts w:hint="eastAsia" w:ascii="Times New Roman" w:hAnsi="Times New Roman" w:cs="Times New Roman"/>
          <w:color w:val="auto"/>
          <w:lang w:val="en-US" w:eastAsia="zh-CN"/>
        </w:rPr>
        <w:t>以及</w:t>
      </w:r>
      <w:r>
        <w:rPr>
          <w:rFonts w:hint="default" w:ascii="Times New Roman" w:hAnsi="Times New Roman" w:cs="Times New Roman"/>
          <w:color w:val="auto"/>
          <w:lang w:val="en-US" w:eastAsia="zh-CN"/>
        </w:rPr>
        <w:t>各科室主任</w:t>
      </w:r>
      <w:r>
        <w:rPr>
          <w:rFonts w:hint="eastAsia" w:ascii="Times New Roman" w:hAnsi="Times New Roman" w:cs="Times New Roman"/>
          <w:color w:val="auto"/>
          <w:lang w:val="en-US" w:eastAsia="zh-CN"/>
        </w:rPr>
        <w:t>和相关责任人</w:t>
      </w:r>
      <w:r>
        <w:rPr>
          <w:rFonts w:hint="default" w:ascii="Times New Roman" w:hAnsi="Times New Roman" w:cs="Times New Roman"/>
          <w:color w:val="auto"/>
          <w:lang w:val="en-US" w:eastAsia="zh-CN"/>
        </w:rPr>
        <w:t>为成员的内控领导小组，</w:t>
      </w:r>
      <w:r>
        <w:rPr>
          <w:rFonts w:hint="eastAsia" w:ascii="Times New Roman" w:hAnsi="Times New Roman" w:cs="Times New Roman"/>
          <w:color w:val="auto"/>
          <w:lang w:val="en-US" w:eastAsia="zh-CN"/>
        </w:rPr>
        <w:t>对学校各项</w:t>
      </w:r>
      <w:r>
        <w:rPr>
          <w:rFonts w:hint="default" w:ascii="Times New Roman" w:hAnsi="Times New Roman" w:cs="Times New Roman"/>
          <w:color w:val="auto"/>
          <w:lang w:val="en-US" w:eastAsia="zh-CN"/>
        </w:rPr>
        <w:t>资金</w:t>
      </w:r>
      <w:r>
        <w:rPr>
          <w:rFonts w:hint="eastAsia" w:ascii="Times New Roman" w:hAnsi="Times New Roman" w:cs="Times New Roman"/>
          <w:color w:val="auto"/>
          <w:lang w:val="en-US" w:eastAsia="zh-CN"/>
        </w:rPr>
        <w:t>的</w:t>
      </w:r>
      <w:r>
        <w:rPr>
          <w:rFonts w:hint="default" w:ascii="Times New Roman" w:hAnsi="Times New Roman" w:cs="Times New Roman"/>
          <w:color w:val="auto"/>
          <w:lang w:val="en-US" w:eastAsia="zh-CN"/>
        </w:rPr>
        <w:t>使用情况进行监督</w:t>
      </w:r>
      <w:r>
        <w:rPr>
          <w:rFonts w:hint="eastAsia" w:ascii="Times New Roman" w:hAnsi="Times New Roman" w:cs="Times New Roman"/>
          <w:color w:val="auto"/>
          <w:lang w:val="en-US" w:eastAsia="zh-CN"/>
        </w:rPr>
        <w:t>完善，及时发现资金使用中存在的问题和疏漏处，及时进行调整</w:t>
      </w:r>
      <w:r>
        <w:rPr>
          <w:rFonts w:hint="eastAsia"/>
          <w:color w:val="auto"/>
          <w:lang w:val="en-US" w:eastAsia="zh-CN"/>
        </w:rPr>
        <w:t>成立</w:t>
      </w:r>
      <w:r>
        <w:rPr>
          <w:rFonts w:hint="eastAsia"/>
        </w:rPr>
        <w:t>提升</w:t>
      </w:r>
      <w:r>
        <w:rPr>
          <w:rFonts w:hint="eastAsia"/>
          <w:lang w:val="en-US" w:eastAsia="zh-CN"/>
        </w:rPr>
        <w:t>项目运行</w:t>
      </w:r>
      <w:r>
        <w:rPr>
          <w:rFonts w:hint="eastAsia"/>
        </w:rPr>
        <w:t>质量。</w:t>
      </w:r>
    </w:p>
    <w:p>
      <w:pPr>
        <w:pStyle w:val="3"/>
        <w:bidi w:val="0"/>
        <w:rPr>
          <w:rFonts w:hint="default"/>
        </w:rPr>
      </w:pPr>
      <w:bookmarkStart w:id="67" w:name="_Toc6274"/>
      <w:r>
        <w:rPr>
          <w:rFonts w:hint="default"/>
        </w:rPr>
        <w:t>（二）存在的问题及原因分析</w:t>
      </w:r>
      <w:bookmarkEnd w:id="66"/>
      <w:bookmarkEnd w:id="67"/>
    </w:p>
    <w:p>
      <w:pPr>
        <w:bidi w:val="0"/>
        <w:rPr>
          <w:color w:val="000000" w:themeColor="text1"/>
          <w14:textFill>
            <w14:solidFill>
              <w14:schemeClr w14:val="tx1"/>
            </w14:solidFill>
          </w14:textFill>
        </w:rPr>
      </w:pPr>
      <w:r>
        <w:rPr>
          <w:color w:val="000000" w:themeColor="text1"/>
          <w14:textFill>
            <w14:solidFill>
              <w14:schemeClr w14:val="tx1"/>
            </w14:solidFill>
          </w14:textFill>
        </w:rPr>
        <w:t>存在的问题：</w:t>
      </w:r>
      <w:r>
        <w:rPr>
          <w:rFonts w:hint="eastAsia"/>
          <w:color w:val="000000" w:themeColor="text1"/>
          <w:lang w:val="en-US" w:eastAsia="zh-CN"/>
          <w14:textFill>
            <w14:solidFill>
              <w14:schemeClr w14:val="tx1"/>
            </w14:solidFill>
          </w14:textFill>
        </w:rPr>
        <w:t>学校</w:t>
      </w:r>
      <w:r>
        <w:rPr>
          <w:color w:val="000000" w:themeColor="text1"/>
          <w14:textFill>
            <w14:solidFill>
              <w14:schemeClr w14:val="tx1"/>
            </w14:solidFill>
          </w14:textFill>
        </w:rPr>
        <w:t>项目管理机制还不够完善，项目管理缺乏主动性，</w:t>
      </w:r>
      <w:r>
        <w:rPr>
          <w:rFonts w:hint="eastAsia"/>
          <w:color w:val="000000" w:themeColor="text1"/>
          <w:lang w:val="en-US" w:eastAsia="zh-CN"/>
          <w14:textFill>
            <w14:solidFill>
              <w14:schemeClr w14:val="tx1"/>
            </w14:solidFill>
          </w14:textFill>
        </w:rPr>
        <w:t>财务</w:t>
      </w:r>
      <w:r>
        <w:rPr>
          <w:color w:val="000000" w:themeColor="text1"/>
          <w14:textFill>
            <w14:solidFill>
              <w14:schemeClr w14:val="tx1"/>
            </w14:solidFill>
          </w14:textFill>
        </w:rPr>
        <w:t>专业素质有待提高。</w:t>
      </w:r>
    </w:p>
    <w:p>
      <w:pPr>
        <w:bidi w:val="0"/>
        <w:rPr>
          <w:color w:val="000000" w:themeColor="text1"/>
          <w14:textFill>
            <w14:solidFill>
              <w14:schemeClr w14:val="tx1"/>
            </w14:solidFill>
          </w14:textFill>
        </w:rPr>
      </w:pPr>
      <w:r>
        <w:rPr>
          <w:color w:val="000000" w:themeColor="text1"/>
          <w14:textFill>
            <w14:solidFill>
              <w14:schemeClr w14:val="tx1"/>
            </w14:solidFill>
          </w14:textFill>
        </w:rPr>
        <w:t>针对存在的问题，我</w:t>
      </w:r>
      <w:r>
        <w:rPr>
          <w:rFonts w:hint="eastAsia"/>
          <w:color w:val="000000" w:themeColor="text1"/>
          <w:lang w:val="en-US" w:eastAsia="zh-CN"/>
          <w14:textFill>
            <w14:solidFill>
              <w14:schemeClr w14:val="tx1"/>
            </w14:solidFill>
          </w14:textFill>
        </w:rPr>
        <w:t>校</w:t>
      </w:r>
      <w:r>
        <w:rPr>
          <w:color w:val="000000" w:themeColor="text1"/>
          <w14:textFill>
            <w14:solidFill>
              <w14:schemeClr w14:val="tx1"/>
            </w14:solidFill>
          </w14:textFill>
        </w:rPr>
        <w:t>将通过制度建设，创新机制，规范管理，进一步完善现有的管理办法，逐步建立管理规范，运行有序的管理机制。坚决贯彻落实中央、自治区党委</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乌鲁木齐县财政局、乌鲁木齐县教育局及相关部门</w:t>
      </w:r>
      <w:r>
        <w:rPr>
          <w:color w:val="000000" w:themeColor="text1"/>
          <w14:textFill>
            <w14:solidFill>
              <w14:schemeClr w14:val="tx1"/>
            </w14:solidFill>
          </w14:textFill>
        </w:rPr>
        <w:t>的决策部署</w:t>
      </w:r>
      <w:r>
        <w:rPr>
          <w:rFonts w:hint="eastAsia"/>
          <w:color w:val="000000" w:themeColor="text1"/>
          <w:lang w:val="en-US" w:eastAsia="zh-CN"/>
          <w14:textFill>
            <w14:solidFill>
              <w14:schemeClr w14:val="tx1"/>
            </w14:solidFill>
          </w14:textFill>
        </w:rPr>
        <w:t>和工作要求，</w:t>
      </w:r>
      <w:r>
        <w:rPr>
          <w:color w:val="000000" w:themeColor="text1"/>
          <w14:textFill>
            <w14:solidFill>
              <w14:schemeClr w14:val="tx1"/>
            </w14:solidFill>
          </w14:textFill>
        </w:rPr>
        <w:t>将继续加强资金使用监管力度，坚持“稳中求进”，专款专用，确保专项资金安全有效。在专项资金项目执行过程中，定期公布专项资金执行进度，加快资金拨付进度，将专项资金执行情况纳入</w:t>
      </w:r>
      <w:r>
        <w:rPr>
          <w:rFonts w:hint="eastAsia"/>
          <w:color w:val="000000" w:themeColor="text1"/>
          <w:lang w:val="en-US" w:eastAsia="zh-CN"/>
          <w14:textFill>
            <w14:solidFill>
              <w14:schemeClr w14:val="tx1"/>
            </w14:solidFill>
          </w14:textFill>
        </w:rPr>
        <w:t>学校</w:t>
      </w:r>
      <w:r>
        <w:rPr>
          <w:color w:val="000000" w:themeColor="text1"/>
          <w14:textFill>
            <w14:solidFill>
              <w14:schemeClr w14:val="tx1"/>
            </w14:solidFill>
          </w14:textFill>
        </w:rPr>
        <w:t>年度考核，促进专项资金按预算执行。</w:t>
      </w:r>
    </w:p>
    <w:p>
      <w:pPr>
        <w:pStyle w:val="2"/>
        <w:numPr>
          <w:ilvl w:val="0"/>
          <w:numId w:val="1"/>
        </w:numPr>
        <w:bidi w:val="0"/>
        <w:rPr>
          <w:rFonts w:hint="eastAsia"/>
          <w:lang w:val="en-US" w:eastAsia="zh-CN"/>
        </w:rPr>
      </w:pPr>
      <w:bookmarkStart w:id="68" w:name="_Toc3165"/>
      <w:r>
        <w:rPr>
          <w:rFonts w:hint="default"/>
        </w:rPr>
        <w:t>有关</w:t>
      </w:r>
      <w:bookmarkEnd w:id="61"/>
      <w:r>
        <w:rPr>
          <w:rFonts w:hint="eastAsia"/>
          <w:lang w:val="en-US" w:eastAsia="zh-CN"/>
        </w:rPr>
        <w:t>建议</w:t>
      </w:r>
      <w:bookmarkEnd w:id="68"/>
    </w:p>
    <w:p>
      <w:pPr>
        <w:bidi w:val="0"/>
        <w:rPr>
          <w:rFonts w:hint="default"/>
          <w:lang w:val="en-US" w:eastAsia="zh-CN"/>
        </w:rPr>
      </w:pPr>
      <w:r>
        <w:rPr>
          <w:rFonts w:hint="eastAsia"/>
          <w:lang w:val="en-US" w:eastAsia="zh-CN"/>
        </w:rPr>
        <w:t>我校在以后的财务工作中要建立更加完善的监督机制，强化预算绩效管理，提高财政资金使用效率。进一步加强学校预算管理工作，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bidi w:val="0"/>
        <w:ind w:firstLine="442" w:firstLineChars="100"/>
        <w:rPr>
          <w:rFonts w:hint="default"/>
        </w:rPr>
      </w:pPr>
      <w:bookmarkStart w:id="69" w:name="_Toc14709"/>
      <w:r>
        <w:rPr>
          <w:rFonts w:hint="default"/>
        </w:rPr>
        <w:t>七、其他需要说明的问题</w:t>
      </w:r>
      <w:bookmarkEnd w:id="62"/>
      <w:bookmarkEnd w:id="69"/>
    </w:p>
    <w:p>
      <w:pPr>
        <w:bidi w:val="0"/>
        <w:rPr>
          <w:rFonts w:hint="default"/>
          <w:lang w:val="en-US" w:eastAsia="zh-CN"/>
        </w:rPr>
      </w:pPr>
      <w:r>
        <w:rPr>
          <w:rFonts w:hint="default"/>
          <w:lang w:val="en-US" w:eastAsia="zh-CN"/>
        </w:rPr>
        <w:t>1.项目支出政策和路径设计科学，符合实际需要；</w:t>
      </w:r>
    </w:p>
    <w:p>
      <w:pPr>
        <w:bidi w:val="0"/>
        <w:rPr>
          <w:rFonts w:hint="default"/>
          <w:lang w:val="en-US" w:eastAsia="zh-CN"/>
        </w:rPr>
      </w:pPr>
      <w:r>
        <w:rPr>
          <w:rFonts w:hint="default"/>
          <w:lang w:val="en-US" w:eastAsia="zh-CN"/>
        </w:rPr>
        <w:t>2.项目安排准确，未发现背离项目立项初衷的情况；</w:t>
      </w:r>
    </w:p>
    <w:p>
      <w:pPr>
        <w:bidi w:val="0"/>
        <w:rPr>
          <w:rFonts w:hint="default"/>
          <w:lang w:val="en-US" w:eastAsia="zh-CN"/>
        </w:rPr>
      </w:pPr>
      <w:r>
        <w:rPr>
          <w:rFonts w:hint="default"/>
          <w:lang w:val="en-US" w:eastAsia="zh-CN"/>
        </w:rPr>
        <w:t>3.项目的申报、审核机制完善；</w:t>
      </w:r>
    </w:p>
    <w:p>
      <w:pPr>
        <w:bidi w:val="0"/>
        <w:rPr>
          <w:rFonts w:hint="default"/>
          <w:lang w:val="en-US" w:eastAsia="zh-CN"/>
        </w:rPr>
      </w:pPr>
      <w:r>
        <w:rPr>
          <w:rFonts w:hint="default"/>
          <w:lang w:val="en-US" w:eastAsia="zh-CN"/>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1"/>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360" w:lineRule="auto"/>
        <w:ind w:firstLine="560"/>
      </w:pPr>
      <w:r>
        <w:separator/>
      </w:r>
    </w:p>
  </w:footnote>
  <w:footnote w:type="continuationSeparator" w:id="5">
    <w:p>
      <w:pPr>
        <w:spacing w:line="360" w:lineRule="auto"/>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E1C724"/>
    <w:multiLevelType w:val="singleLevel"/>
    <w:tmpl w:val="4CE1C72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wNzgxYjk4ZWZmOGMyZmQ0M2JjZmQyYWMzYTFlNTk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54315EA"/>
    <w:rsid w:val="10D317D9"/>
    <w:rsid w:val="111104C6"/>
    <w:rsid w:val="1546095D"/>
    <w:rsid w:val="158C3A67"/>
    <w:rsid w:val="16217EE6"/>
    <w:rsid w:val="18F0573E"/>
    <w:rsid w:val="1B0C67AE"/>
    <w:rsid w:val="1BDD70BD"/>
    <w:rsid w:val="1E296867"/>
    <w:rsid w:val="1EEB11AF"/>
    <w:rsid w:val="1FEC72EA"/>
    <w:rsid w:val="24022E60"/>
    <w:rsid w:val="256E6613"/>
    <w:rsid w:val="29DE6283"/>
    <w:rsid w:val="2A760B1A"/>
    <w:rsid w:val="2B8B0EFD"/>
    <w:rsid w:val="2E285B38"/>
    <w:rsid w:val="30296927"/>
    <w:rsid w:val="3139053B"/>
    <w:rsid w:val="31F745C9"/>
    <w:rsid w:val="33D95F3C"/>
    <w:rsid w:val="39725A9D"/>
    <w:rsid w:val="3AB16C48"/>
    <w:rsid w:val="3BB32D4D"/>
    <w:rsid w:val="3BB57B15"/>
    <w:rsid w:val="3CAF1660"/>
    <w:rsid w:val="3D567C46"/>
    <w:rsid w:val="43F246C3"/>
    <w:rsid w:val="48D847C0"/>
    <w:rsid w:val="4B2A3C56"/>
    <w:rsid w:val="4CC878D7"/>
    <w:rsid w:val="4DD14B09"/>
    <w:rsid w:val="55D310BC"/>
    <w:rsid w:val="59F76DDC"/>
    <w:rsid w:val="5C4706E8"/>
    <w:rsid w:val="5C7D2A85"/>
    <w:rsid w:val="5CB048FD"/>
    <w:rsid w:val="66B66A91"/>
    <w:rsid w:val="6DCF55D8"/>
    <w:rsid w:val="6ECD726F"/>
    <w:rsid w:val="70DE00A6"/>
    <w:rsid w:val="74374E55"/>
    <w:rsid w:val="747405C4"/>
    <w:rsid w:val="763439CC"/>
    <w:rsid w:val="78057022"/>
    <w:rsid w:val="7E722019"/>
    <w:rsid w:val="7F6254C5"/>
    <w:rsid w:val="7FA41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0" w:firstLineChars="200"/>
      <w:jc w:val="both"/>
    </w:pPr>
    <w:rPr>
      <w:rFonts w:ascii="仿宋" w:hAnsi="仿宋" w:eastAsia="仿宋" w:cs="黑体"/>
      <w:kern w:val="2"/>
      <w:sz w:val="28"/>
      <w:szCs w:val="22"/>
      <w:lang w:val="en-US" w:eastAsia="zh-CN" w:bidi="ar-SA"/>
    </w:rPr>
  </w:style>
  <w:style w:type="paragraph" w:styleId="2">
    <w:name w:val="heading 1"/>
    <w:basedOn w:val="1"/>
    <w:next w:val="1"/>
    <w:link w:val="31"/>
    <w:qFormat/>
    <w:uiPriority w:val="9"/>
    <w:pPr>
      <w:keepNext/>
      <w:keepLines/>
      <w:spacing w:before="100" w:after="100" w:line="360" w:lineRule="auto"/>
      <w:ind w:firstLine="0" w:firstLineChars="0"/>
      <w:outlineLvl w:val="0"/>
    </w:pPr>
    <w:rPr>
      <w:rFonts w:ascii="仿宋" w:hAnsi="仿宋" w:eastAsia="仿宋"/>
      <w:b/>
      <w:bCs/>
      <w:kern w:val="44"/>
      <w:sz w:val="44"/>
      <w:szCs w:val="44"/>
    </w:rPr>
  </w:style>
  <w:style w:type="paragraph" w:styleId="3">
    <w:name w:val="heading 2"/>
    <w:basedOn w:val="1"/>
    <w:next w:val="1"/>
    <w:link w:val="27"/>
    <w:unhideWhenUsed/>
    <w:qFormat/>
    <w:uiPriority w:val="9"/>
    <w:pPr>
      <w:keepNext/>
      <w:keepLines/>
      <w:spacing w:before="100" w:after="100" w:line="500" w:lineRule="exact"/>
      <w:outlineLvl w:val="1"/>
    </w:pPr>
    <w:rPr>
      <w:rFonts w:ascii="仿宋" w:hAnsi="仿宋" w:eastAsia="仿宋" w:cstheme="majorBidi"/>
      <w:b/>
      <w:bCs/>
      <w:sz w:val="32"/>
      <w:szCs w:val="32"/>
    </w:rPr>
  </w:style>
  <w:style w:type="paragraph" w:styleId="4">
    <w:name w:val="heading 3"/>
    <w:basedOn w:val="1"/>
    <w:next w:val="1"/>
    <w:link w:val="36"/>
    <w:unhideWhenUsed/>
    <w:qFormat/>
    <w:uiPriority w:val="9"/>
    <w:pPr>
      <w:keepNext/>
      <w:keepLines/>
      <w:spacing w:before="60" w:after="60" w:line="360"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next w:val="7"/>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4"/>
    <w:semiHidden/>
    <w:unhideWhenUsed/>
    <w:qFormat/>
    <w:uiPriority w:val="99"/>
    <w:rPr>
      <w:b/>
      <w:bCs/>
    </w:rPr>
  </w:style>
  <w:style w:type="paragraph" w:styleId="17">
    <w:name w:val="Body Text First Indent 2"/>
    <w:basedOn w:val="6"/>
    <w:next w:val="1"/>
    <w:unhideWhenUsed/>
    <w:qFormat/>
    <w:uiPriority w:val="0"/>
    <w:pPr>
      <w:spacing w:before="100" w:beforeLines="0" w:beforeAutospacing="1" w:afterLines="0"/>
      <w:ind w:left="0" w:firstLine="420" w:firstLineChars="200"/>
    </w:pPr>
    <w:rPr>
      <w:rFonts w:hint="default" w:ascii="Tahoma" w:hAnsi="Tahoma"/>
      <w:sz w:val="2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仿宋" w:hAnsi="仿宋" w:eastAsia="仿宋"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link w:val="39"/>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仿宋" w:hAnsi="仿宋" w:eastAsia="仿宋" w:cs="黑体"/>
      <w:b/>
      <w:bCs/>
      <w:kern w:val="44"/>
      <w:sz w:val="44"/>
      <w:szCs w:val="44"/>
    </w:rPr>
  </w:style>
  <w:style w:type="paragraph" w:customStyle="1" w:styleId="32">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 w:cs="黑体"/>
      <w:b/>
      <w:bCs/>
      <w:sz w:val="32"/>
      <w:szCs w:val="32"/>
    </w:rPr>
  </w:style>
  <w:style w:type="paragraph" w:customStyle="1" w:styleId="37">
    <w:name w:val="闻政-正文段落文字"/>
    <w:basedOn w:val="1"/>
    <w:link w:val="38"/>
    <w:qFormat/>
    <w:uiPriority w:val="3"/>
    <w:pPr>
      <w:spacing w:line="360" w:lineRule="auto"/>
      <w:ind w:firstLine="200"/>
    </w:pPr>
    <w:rPr>
      <w:rFonts w:ascii="仿宋" w:hAnsi="仿宋" w:eastAsia="仿宋" w:cs="Times New Roman"/>
      <w:b/>
      <w:kern w:val="0"/>
      <w:szCs w:val="28"/>
    </w:rPr>
  </w:style>
  <w:style w:type="character" w:customStyle="1" w:styleId="38">
    <w:name w:val="闻政-正文段落文字 Char"/>
    <w:link w:val="37"/>
    <w:qFormat/>
    <w:uiPriority w:val="3"/>
    <w:rPr>
      <w:rFonts w:ascii="仿宋" w:hAnsi="仿宋" w:eastAsia="仿宋" w:cs="Times New Roman"/>
      <w:b/>
      <w:kern w:val="0"/>
      <w:szCs w:val="28"/>
    </w:rPr>
  </w:style>
  <w:style w:type="character" w:customStyle="1" w:styleId="39">
    <w:name w:val="List Paragraph Char"/>
    <w:link w:val="29"/>
    <w:qFormat/>
    <w:uiPriority w:val="34"/>
  </w:style>
  <w:style w:type="paragraph" w:customStyle="1" w:styleId="40">
    <w:name w:val="表格"/>
    <w:basedOn w:val="1"/>
    <w:qFormat/>
    <w:uiPriority w:val="0"/>
    <w:pPr>
      <w:widowControl/>
      <w:spacing w:line="240" w:lineRule="auto"/>
      <w:ind w:firstLine="0" w:firstLineChars="0"/>
      <w:jc w:val="left"/>
    </w:pPr>
    <w:rPr>
      <w:rFonts w:cs="Times New Roman"/>
      <w:color w:val="00000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22</Pages>
  <Words>1735</Words>
  <Characters>9892</Characters>
  <Lines>82</Lines>
  <Paragraphs>23</Paragraphs>
  <TotalTime>1</TotalTime>
  <ScaleCrop>false</ScaleCrop>
  <LinksUpToDate>false</LinksUpToDate>
  <CharactersWithSpaces>11604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联邦</cp:lastModifiedBy>
  <cp:lastPrinted>2023-04-11T02:57:00Z</cp:lastPrinted>
  <dcterms:modified xsi:type="dcterms:W3CDTF">2024-07-02T10:05:48Z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EF4F6A740F2D4313A4139080322C038B_13</vt:lpwstr>
  </property>
</Properties>
</file>