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left"/>
        <w:rPr>
          <w:rFonts w:ascii="黑体" w:hAnsi="黑体" w:eastAsia="黑体" w:cs="宋体"/>
          <w:color w:val="333333"/>
          <w:sz w:val="32"/>
          <w:szCs w:val="32"/>
          <w:lang w:bidi="ar"/>
        </w:rPr>
      </w:pPr>
      <w:r>
        <w:rPr>
          <w:rFonts w:hint="eastAsia" w:ascii="黑体" w:hAnsi="黑体" w:eastAsia="黑体" w:cs="宋体"/>
          <w:color w:val="333333"/>
          <w:sz w:val="32"/>
          <w:szCs w:val="32"/>
          <w:lang w:bidi="ar"/>
        </w:rPr>
        <w:t>附件4：</w:t>
      </w:r>
      <w:bookmarkStart w:id="1" w:name="_GoBack"/>
      <w:bookmarkEnd w:id="1"/>
    </w:p>
    <w:p>
      <w:pPr>
        <w:spacing w:line="540" w:lineRule="exact"/>
        <w:jc w:val="center"/>
        <w:rPr>
          <w:rFonts w:ascii="方正小标宋_GBK" w:hAnsi="华文中宋" w:eastAsia="方正小标宋_GBK" w:cs="宋体"/>
          <w:b/>
          <w:kern w:val="0"/>
          <w:sz w:val="48"/>
          <w:szCs w:val="48"/>
        </w:rPr>
      </w:pPr>
    </w:p>
    <w:p>
      <w:pPr>
        <w:spacing w:line="540" w:lineRule="exact"/>
        <w:jc w:val="center"/>
        <w:rPr>
          <w:rFonts w:ascii="方正小标宋_GBK" w:hAnsi="华文中宋" w:eastAsia="方正小标宋_GBK" w:cs="宋体"/>
          <w:b/>
          <w:kern w:val="0"/>
          <w:sz w:val="48"/>
          <w:szCs w:val="48"/>
        </w:rPr>
      </w:pPr>
    </w:p>
    <w:p>
      <w:pPr>
        <w:spacing w:line="540" w:lineRule="exact"/>
        <w:jc w:val="center"/>
        <w:rPr>
          <w:rFonts w:ascii="方正小标宋_GBK" w:hAnsi="华文中宋" w:eastAsia="方正小标宋_GBK" w:cs="宋体"/>
          <w:b/>
          <w:kern w:val="0"/>
          <w:sz w:val="48"/>
          <w:szCs w:val="48"/>
        </w:rPr>
      </w:pPr>
    </w:p>
    <w:p>
      <w:pPr>
        <w:spacing w:line="540" w:lineRule="exact"/>
        <w:jc w:val="center"/>
        <w:rPr>
          <w:rFonts w:ascii="方正小标宋_GBK" w:hAnsi="华文中宋" w:eastAsia="方正小标宋_GBK" w:cs="宋体"/>
          <w:b/>
          <w:kern w:val="0"/>
          <w:sz w:val="48"/>
          <w:szCs w:val="48"/>
        </w:rPr>
      </w:pPr>
    </w:p>
    <w:p>
      <w:pPr>
        <w:spacing w:line="540" w:lineRule="exact"/>
        <w:jc w:val="center"/>
        <w:rPr>
          <w:rFonts w:ascii="方正小标宋_GBK" w:hAnsi="华文中宋" w:eastAsia="方正小标宋_GBK" w:cs="宋体"/>
          <w:b/>
          <w:kern w:val="0"/>
          <w:sz w:val="48"/>
          <w:szCs w:val="48"/>
        </w:rPr>
      </w:pPr>
    </w:p>
    <w:p>
      <w:pPr>
        <w:spacing w:line="540" w:lineRule="exact"/>
        <w:jc w:val="center"/>
        <w:rPr>
          <w:rFonts w:ascii="方正小标宋_GBK" w:hAnsi="华文中宋" w:eastAsia="方正小标宋_GBK" w:cs="宋体"/>
          <w:b/>
          <w:kern w:val="0"/>
          <w:sz w:val="48"/>
          <w:szCs w:val="48"/>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部门单位整体支出绩效</w:t>
      </w: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w:t>
      </w:r>
      <w:r>
        <w:rPr>
          <w:rFonts w:hint="eastAsia" w:ascii="仿宋_GB2312" w:hAnsi="宋体" w:eastAsia="仿宋_GB2312"/>
          <w:b/>
          <w:sz w:val="32"/>
          <w:szCs w:val="32"/>
        </w:rPr>
        <w:t>2023</w:t>
      </w:r>
      <w:r>
        <w:rPr>
          <w:rFonts w:hint="eastAsia" w:hAnsi="宋体" w:eastAsia="仿宋_GB2312" w:cs="宋体"/>
          <w:kern w:val="0"/>
          <w:sz w:val="36"/>
          <w:szCs w:val="36"/>
        </w:rPr>
        <w:t>年度）</w:t>
      </w:r>
    </w:p>
    <w:p>
      <w:pPr>
        <w:spacing w:line="700" w:lineRule="exact"/>
        <w:jc w:val="left"/>
        <w:rPr>
          <w:rFonts w:hAnsi="宋体" w:eastAsia="仿宋_GB2312" w:cs="宋体"/>
          <w:kern w:val="0"/>
          <w:sz w:val="36"/>
          <w:szCs w:val="36"/>
        </w:rPr>
      </w:pPr>
    </w:p>
    <w:p>
      <w:pPr>
        <w:spacing w:line="700" w:lineRule="exact"/>
        <w:jc w:val="left"/>
        <w:rPr>
          <w:rFonts w:hAnsi="宋体" w:eastAsia="仿宋_GB2312" w:cs="宋体"/>
          <w:kern w:val="0"/>
          <w:sz w:val="36"/>
          <w:szCs w:val="36"/>
        </w:rPr>
      </w:pPr>
    </w:p>
    <w:p>
      <w:pPr>
        <w:spacing w:line="700" w:lineRule="exact"/>
        <w:jc w:val="left"/>
        <w:rPr>
          <w:rFonts w:hAnsi="宋体" w:eastAsia="仿宋_GB2312" w:cs="宋体"/>
          <w:kern w:val="0"/>
          <w:sz w:val="36"/>
          <w:szCs w:val="36"/>
        </w:rPr>
      </w:pPr>
    </w:p>
    <w:p>
      <w:pPr>
        <w:spacing w:line="700" w:lineRule="exact"/>
        <w:jc w:val="left"/>
        <w:rPr>
          <w:rFonts w:hAnsi="宋体" w:eastAsia="仿宋_GB2312" w:cs="宋体"/>
          <w:kern w:val="0"/>
          <w:sz w:val="36"/>
          <w:szCs w:val="36"/>
        </w:rPr>
      </w:pPr>
    </w:p>
    <w:p>
      <w:pPr>
        <w:spacing w:line="700" w:lineRule="exact"/>
        <w:jc w:val="left"/>
        <w:rPr>
          <w:rFonts w:hAnsi="宋体" w:eastAsia="仿宋_GB2312" w:cs="宋体"/>
          <w:kern w:val="0"/>
          <w:sz w:val="36"/>
          <w:szCs w:val="36"/>
        </w:rPr>
      </w:pPr>
    </w:p>
    <w:p>
      <w:pPr>
        <w:spacing w:line="700" w:lineRule="exact"/>
        <w:jc w:val="left"/>
        <w:rPr>
          <w:rFonts w:hAnsi="宋体" w:eastAsia="仿宋_GB2312" w:cs="宋体"/>
          <w:kern w:val="0"/>
          <w:sz w:val="36"/>
          <w:szCs w:val="36"/>
        </w:rPr>
      </w:pPr>
    </w:p>
    <w:p>
      <w:pPr>
        <w:spacing w:line="700" w:lineRule="exact"/>
        <w:jc w:val="left"/>
        <w:rPr>
          <w:rFonts w:hAnsi="宋体" w:eastAsia="仿宋_GB2312" w:cs="宋体"/>
          <w:kern w:val="0"/>
          <w:sz w:val="36"/>
          <w:szCs w:val="36"/>
        </w:rPr>
      </w:pPr>
    </w:p>
    <w:p>
      <w:pPr>
        <w:spacing w:line="700" w:lineRule="exact"/>
        <w:jc w:val="left"/>
        <w:rPr>
          <w:rFonts w:hAnsi="宋体" w:eastAsia="仿宋_GB2312" w:cs="宋体"/>
          <w:kern w:val="0"/>
          <w:sz w:val="36"/>
          <w:szCs w:val="36"/>
        </w:rPr>
      </w:pPr>
    </w:p>
    <w:p>
      <w:pPr>
        <w:spacing w:line="540" w:lineRule="exact"/>
        <w:ind w:firstLine="720" w:firstLineChars="200"/>
        <w:rPr>
          <w:rFonts w:hAnsi="宋体" w:eastAsia="仿宋_GB2312" w:cs="宋体"/>
          <w:kern w:val="0"/>
          <w:sz w:val="44"/>
          <w:szCs w:val="44"/>
        </w:rPr>
      </w:pPr>
      <w:r>
        <w:rPr>
          <w:rFonts w:hint="eastAsia" w:hAnsi="宋体" w:eastAsia="仿宋_GB2312" w:cs="宋体"/>
          <w:kern w:val="0"/>
          <w:sz w:val="36"/>
          <w:szCs w:val="36"/>
        </w:rPr>
        <w:t>部门单位名称（公章）</w:t>
      </w:r>
      <w:r>
        <w:rPr>
          <w:rFonts w:hint="eastAsia" w:ascii="仿宋" w:hAnsi="仿宋" w:eastAsia="仿宋" w:cs="仿宋"/>
          <w:kern w:val="0"/>
          <w:sz w:val="44"/>
          <w:szCs w:val="44"/>
        </w:rPr>
        <w:t>：</w:t>
      </w:r>
      <w:r>
        <w:rPr>
          <w:rStyle w:val="6"/>
          <w:rFonts w:hint="eastAsia" w:ascii="仿宋" w:hAnsi="仿宋" w:eastAsia="仿宋" w:cs="仿宋"/>
          <w:b w:val="0"/>
          <w:bCs w:val="0"/>
          <w:spacing w:val="-4"/>
          <w:sz w:val="44"/>
          <w:szCs w:val="44"/>
        </w:rPr>
        <w:t>县幼儿园</w:t>
      </w:r>
    </w:p>
    <w:p>
      <w:pPr>
        <w:spacing w:line="540" w:lineRule="exact"/>
        <w:ind w:firstLine="720" w:firstLineChars="200"/>
        <w:rPr>
          <w:rFonts w:ascii="仿宋" w:hAnsi="仿宋" w:eastAsia="仿宋" w:cs="仿宋"/>
          <w:kern w:val="0"/>
          <w:sz w:val="44"/>
          <w:szCs w:val="44"/>
        </w:rPr>
      </w:pPr>
      <w:r>
        <w:rPr>
          <w:rFonts w:hint="eastAsia" w:hAnsi="宋体" w:eastAsia="仿宋_GB2312" w:cs="宋体"/>
          <w:kern w:val="0"/>
          <w:sz w:val="36"/>
          <w:szCs w:val="36"/>
        </w:rPr>
        <w:t>填报时间：</w:t>
      </w:r>
      <w:r>
        <w:rPr>
          <w:rStyle w:val="6"/>
          <w:rFonts w:hint="eastAsia" w:ascii="仿宋" w:hAnsi="仿宋" w:eastAsia="仿宋" w:cs="仿宋"/>
          <w:b w:val="0"/>
          <w:bCs w:val="0"/>
          <w:spacing w:val="-4"/>
          <w:sz w:val="44"/>
          <w:szCs w:val="44"/>
        </w:rPr>
        <w:t>2024年04月24日</w:t>
      </w:r>
    </w:p>
    <w:p>
      <w:pPr>
        <w:spacing w:line="700" w:lineRule="exact"/>
        <w:jc w:val="left"/>
        <w:rPr>
          <w:rFonts w:hAnsi="宋体" w:eastAsia="仿宋_GB2312" w:cs="宋体"/>
          <w:kern w:val="0"/>
          <w:sz w:val="36"/>
          <w:szCs w:val="36"/>
        </w:rPr>
      </w:pPr>
    </w:p>
    <w:p>
      <w:pPr>
        <w:spacing w:line="700" w:lineRule="exact"/>
        <w:jc w:val="left"/>
        <w:rPr>
          <w:rFonts w:hAnsi="宋体" w:eastAsia="仿宋_GB2312" w:cs="宋体"/>
          <w:kern w:val="0"/>
          <w:sz w:val="36"/>
          <w:szCs w:val="36"/>
        </w:rPr>
      </w:pPr>
    </w:p>
    <w:p>
      <w:pPr>
        <w:numPr>
          <w:ilvl w:val="0"/>
          <w:numId w:val="1"/>
        </w:numPr>
        <w:snapToGrid w:val="0"/>
        <w:spacing w:line="540" w:lineRule="exact"/>
        <w:rPr>
          <w:rFonts w:ascii="黑体" w:hAnsi="黑体" w:eastAsia="黑体" w:cs="宋体"/>
          <w:b/>
          <w:color w:val="000000" w:themeColor="text1"/>
          <w:sz w:val="32"/>
          <w:szCs w:val="32"/>
          <w:lang w:bidi="ar"/>
          <w14:textFill>
            <w14:solidFill>
              <w14:schemeClr w14:val="tx1"/>
            </w14:solidFill>
          </w14:textFill>
        </w:rPr>
      </w:pPr>
      <w:r>
        <w:rPr>
          <w:rFonts w:hint="eastAsia" w:ascii="黑体" w:hAnsi="黑体" w:eastAsia="黑体" w:cs="宋体"/>
          <w:b/>
          <w:color w:val="000000" w:themeColor="text1"/>
          <w:sz w:val="32"/>
          <w:szCs w:val="32"/>
          <w:lang w:bidi="ar"/>
          <w14:textFill>
            <w14:solidFill>
              <w14:schemeClr w14:val="tx1"/>
            </w14:solidFill>
          </w14:textFill>
        </w:rPr>
        <w:t>基本概况：</w:t>
      </w:r>
    </w:p>
    <w:p>
      <w:pPr>
        <w:spacing w:line="600" w:lineRule="exact"/>
        <w:ind w:firstLine="964" w:firstLineChars="300"/>
        <w:jc w:val="left"/>
        <w:rPr>
          <w:rFonts w:hint="eastAsia" w:ascii="Arial" w:hAnsi="Arial" w:cs="Arial"/>
          <w:b/>
          <w:bCs/>
          <w:color w:val="333333"/>
          <w:sz w:val="30"/>
          <w:szCs w:val="30"/>
        </w:rPr>
      </w:pPr>
      <w:r>
        <w:rPr>
          <w:rFonts w:hint="eastAsia" w:ascii="黑体" w:hAnsi="黑体" w:eastAsia="黑体" w:cs="宋体"/>
          <w:b/>
          <w:color w:val="000000" w:themeColor="text1"/>
          <w:sz w:val="32"/>
          <w:szCs w:val="32"/>
          <w:lang w:bidi="ar"/>
          <w14:textFill>
            <w14:solidFill>
              <w14:schemeClr w14:val="tx1"/>
            </w14:solidFill>
          </w14:textFill>
        </w:rPr>
        <w:t>（一）</w:t>
      </w:r>
      <w:r>
        <w:rPr>
          <w:rFonts w:ascii="黑体" w:hAnsi="黑体" w:eastAsia="黑体" w:cs="宋体"/>
          <w:b/>
          <w:color w:val="000000" w:themeColor="text1"/>
          <w:sz w:val="32"/>
          <w:szCs w:val="32"/>
          <w:lang w:bidi="ar"/>
          <w14:textFill>
            <w14:solidFill>
              <w14:schemeClr w14:val="tx1"/>
            </w14:solidFill>
          </w14:textFill>
        </w:rPr>
        <w:t>部门单位基本情况</w:t>
      </w:r>
      <w:r>
        <w:rPr>
          <w:rFonts w:hint="eastAsia" w:ascii="Arial" w:hAnsi="Arial" w:cs="Arial"/>
          <w:b/>
          <w:bCs/>
          <w:color w:val="333333"/>
          <w:sz w:val="30"/>
          <w:szCs w:val="30"/>
        </w:rPr>
        <w:t>：</w:t>
      </w:r>
    </w:p>
    <w:p>
      <w:pPr>
        <w:spacing w:line="600" w:lineRule="exact"/>
        <w:ind w:firstLine="960" w:firstLineChars="300"/>
        <w:jc w:val="left"/>
        <w:rPr>
          <w:rFonts w:ascii="仿宋_GB2312" w:hAnsi="宋体" w:eastAsia="仿宋_GB2312"/>
          <w:bCs/>
          <w:sz w:val="32"/>
          <w:szCs w:val="32"/>
        </w:rPr>
      </w:pPr>
      <w:r>
        <w:rPr>
          <w:rFonts w:hint="eastAsia" w:ascii="仿宋_GB2312" w:hAnsi="宋体" w:eastAsia="仿宋_GB2312"/>
          <w:bCs/>
          <w:sz w:val="32"/>
          <w:szCs w:val="32"/>
        </w:rPr>
        <w:t>乌鲁木齐县幼儿园单位为全额事业单位，于1989年3月成立机构。单位内设4个科室，分别是园长办公室、保教室、后勤室、财务室。乌鲁木齐幼儿园共有编制人数8人，其中：行政人员编制0人，参照公务员管理的事业单位人员编制0人，事业编制8人。截至2023年底，单位实有在职人数5人，其中：行政人员编制0人，参照公务员管理的事业单位人员编制0人，事业单位人员编制5人。板房沟镇中心幼儿园共有编制人数49人，其中：行政人员编制0人，参照公务员管理的事业单位人员编制0人，事业编制49人。截至2023年底，单位实有在职人数43人，其中：行政人员编制0人，参照公务员管理的事业单位人员编制0人，事业单位人员编制43人。根据职责，纳入乌鲁木齐县幼儿园单位2023年度部门决算编制范围的有0个机构。偏差原因：乌鲁木齐县教育局所属事业单位专业技术职务岗位核定表，我单位编制总数乌鲁木齐县幼儿园8人，乌鲁木齐县板房沟镇中心幼儿园49人。</w:t>
      </w:r>
      <w:bookmarkStart w:id="0" w:name="_Hlk43849111"/>
      <w:bookmarkEnd w:id="0"/>
    </w:p>
    <w:p>
      <w:pPr>
        <w:spacing w:line="600" w:lineRule="exact"/>
        <w:ind w:firstLine="964" w:firstLineChars="300"/>
        <w:jc w:val="left"/>
        <w:rPr>
          <w:rFonts w:hint="eastAsia" w:ascii="黑体" w:hAnsi="黑体" w:eastAsia="黑体" w:cs="宋体"/>
          <w:b/>
          <w:color w:val="000000" w:themeColor="text1"/>
          <w:sz w:val="32"/>
          <w:szCs w:val="32"/>
          <w:lang w:bidi="ar"/>
          <w14:textFill>
            <w14:solidFill>
              <w14:schemeClr w14:val="tx1"/>
            </w14:solidFill>
          </w14:textFill>
        </w:rPr>
      </w:pPr>
      <w:r>
        <w:rPr>
          <w:rFonts w:hint="eastAsia" w:ascii="黑体" w:hAnsi="黑体" w:eastAsia="黑体" w:cs="宋体"/>
          <w:b/>
          <w:color w:val="000000" w:themeColor="text1"/>
          <w:sz w:val="32"/>
          <w:szCs w:val="32"/>
          <w:lang w:bidi="ar"/>
          <w14:textFill>
            <w14:solidFill>
              <w14:schemeClr w14:val="tx1"/>
            </w14:solidFill>
          </w14:textFill>
        </w:rPr>
        <w:t>（二）</w:t>
      </w:r>
      <w:r>
        <w:rPr>
          <w:rFonts w:ascii="黑体" w:hAnsi="黑体" w:eastAsia="黑体" w:cs="宋体"/>
          <w:b/>
          <w:color w:val="000000" w:themeColor="text1"/>
          <w:sz w:val="32"/>
          <w:szCs w:val="32"/>
          <w:lang w:bidi="ar"/>
          <w14:textFill>
            <w14:solidFill>
              <w14:schemeClr w14:val="tx1"/>
            </w14:solidFill>
          </w14:textFill>
        </w:rPr>
        <w:t>部门单位年度重点工作：</w:t>
      </w:r>
    </w:p>
    <w:p>
      <w:pPr>
        <w:spacing w:line="600" w:lineRule="exact"/>
        <w:ind w:firstLine="960" w:firstLineChars="300"/>
        <w:jc w:val="left"/>
        <w:rPr>
          <w:rFonts w:ascii="仿宋_GB2312" w:hAnsi="宋体" w:eastAsia="仿宋_GB2312"/>
          <w:bCs/>
          <w:sz w:val="32"/>
          <w:szCs w:val="32"/>
        </w:rPr>
      </w:pPr>
      <w:r>
        <w:rPr>
          <w:rFonts w:hint="eastAsia" w:ascii="仿宋_GB2312" w:hAnsi="宋体" w:eastAsia="仿宋_GB2312"/>
          <w:bCs/>
          <w:sz w:val="32"/>
          <w:szCs w:val="32"/>
        </w:rPr>
        <w:t>乌鲁木齐县幼儿园根据部门职能及上级部门和乌鲁木齐县幼儿园园委工作计划制定2023年工作计划，2023年度工作重点具体如下：</w:t>
        <w:br/>
        <w:t>（1）加强党建引领，把握正确办园方向。深入学习贯彻习近平新时代中国特色社会主义思想，深刻领会习近平总书记在教育大会上的重要讲话精神，坚决贯彻落实好党中央的重要决策部署。</w:t>
        <w:br/>
        <w:t>（2）加强安全管理，完善防范措施。贯彻落实省、市、县校园安全工作会议要求，组织建立安全管理格局。在抓好幼儿园常规工作的基础上重点抓好疫情防控工作，做好疫苗接种宣传，力争除特殊情况不能接种外，疫苗接种达到全覆盖。</w:t>
        <w:br/>
        <w:t>（3）做实后勤保障工作，护航幼儿健康成长。完善卫生保健工作制度，力求各项工作制度化、合理化、规范化。严格执行财务管理制度，严肃财经纪律，规范幼儿园收支行为，强化财务工作的服务和监督职能，合理使用各级各项经费，保障保教共同发展。</w:t>
        <w:br/>
        <w:t>（4）扎实开展教育教学活动，促保教质量提升。以“幼小衔接试点园”为契机，开展幼儿园与小学科学有效衔接研究，进一步完善保教常规工作制度、流程及标准要求，提升保教常规工作规范化与精细化管理水平。</w:t>
        <w:br/>
        <w:t>（5）加强内部管理，提高办园质量。以校园文化建设为主线，致力提升园所形象。精心打造校园环境，积极营造民主、创新、开放的教学氛围，以幼儿为主体的育人氛围，风清气正、健康和谐的校园氛围。</w:t>
      </w:r>
    </w:p>
    <w:p>
      <w:pPr>
        <w:spacing w:line="600" w:lineRule="exact"/>
        <w:ind w:firstLine="964" w:firstLineChars="300"/>
        <w:jc w:val="left"/>
        <w:rPr>
          <w:rFonts w:hint="eastAsia" w:ascii="黑体" w:hAnsi="黑体" w:eastAsia="黑体" w:cs="宋体"/>
          <w:b/>
          <w:color w:val="000000" w:themeColor="text1"/>
          <w:sz w:val="32"/>
          <w:szCs w:val="32"/>
          <w:lang w:bidi="ar"/>
          <w14:textFill>
            <w14:solidFill>
              <w14:schemeClr w14:val="tx1"/>
            </w14:solidFill>
          </w14:textFill>
        </w:rPr>
      </w:pPr>
      <w:r>
        <w:rPr>
          <w:rFonts w:hint="eastAsia" w:ascii="黑体" w:hAnsi="黑体" w:eastAsia="黑体" w:cs="宋体"/>
          <w:b/>
          <w:color w:val="000000" w:themeColor="text1"/>
          <w:sz w:val="32"/>
          <w:szCs w:val="32"/>
          <w:lang w:bidi="ar"/>
          <w14:textFill>
            <w14:solidFill>
              <w14:schemeClr w14:val="tx1"/>
            </w14:solidFill>
          </w14:textFill>
        </w:rPr>
        <w:t>（三）</w:t>
      </w:r>
      <w:r>
        <w:rPr>
          <w:rFonts w:ascii="黑体" w:hAnsi="黑体" w:eastAsia="黑体" w:cs="宋体"/>
          <w:b/>
          <w:color w:val="000000" w:themeColor="text1"/>
          <w:sz w:val="32"/>
          <w:szCs w:val="32"/>
          <w:lang w:bidi="ar"/>
          <w14:textFill>
            <w14:solidFill>
              <w14:schemeClr w14:val="tx1"/>
            </w14:solidFill>
          </w14:textFill>
        </w:rPr>
        <w:t>部门单位整体预算规模及安排情况：</w:t>
      </w:r>
    </w:p>
    <w:p>
      <w:pPr>
        <w:spacing w:line="600" w:lineRule="exact"/>
        <w:ind w:firstLine="960" w:firstLineChars="300"/>
        <w:jc w:val="left"/>
        <w:rPr>
          <w:rFonts w:hint="eastAsia" w:ascii="仿宋_GB2312" w:hAnsi="宋体" w:eastAsia="仿宋_GB2312"/>
          <w:bCs/>
          <w:sz w:val="32"/>
          <w:szCs w:val="32"/>
        </w:rPr>
      </w:pPr>
      <w:r>
        <w:rPr>
          <w:rFonts w:hint="eastAsia" w:ascii="仿宋_GB2312" w:hAnsi="宋体" w:eastAsia="仿宋_GB2312"/>
          <w:bCs/>
          <w:sz w:val="32"/>
          <w:szCs w:val="32"/>
        </w:rPr>
        <w:t>2.部门整体预算规模及执行情况</w:t>
        <w:br/>
        <w:t>（1）基本情况</w:t>
        <w:br/>
        <w:t>2023年，乌鲁木齐县幼儿园按实编制了人员经费，按定额编制了公用经费，按历年发生数编制项目支出。财政拨款年初预算安排数为1,049.40万元，调整后预算数为895.69万元（其中人员经费818.47万元，占比91.38%；公用经费36.33万元，占比4%；项目经费40.89万元，占4.57%），实际支出为875.08万元，预算执行率为97.69%。</w:t>
        <w:br/>
        <w:t></w:t>
        <w:br/>
        <w:t>（2）年初预算安排情况</w:t>
        <w:br/>
        <w:t>年初预算数1,049.40万元（基本支出879.89万元、项目支出169.51万元），年初预算执行数757.49万元（基本支出725.67万元、项目支出31.82万元），年初预算执行率为 72.18%。</w:t>
        <w:br/>
        <w:t>（3）预算调整情况</w:t>
        <w:br/>
        <w:t>部门整体支出年初预算数为1049.40万元（基本支出879.89万元、项目支出169.51万元），调整数-153.71万元（基本支出-25.09万元、项目支出-128.62万元），调整后预算数895.69万元（基本支出854.80万元、项目支出40.89万元），预算调整率-14.65 %。</w:t>
        <w:br/>
        <w:t>（4）预算执行情况</w:t>
        <w:br/>
        <w:t>调整后预算数895.69万元（基本支出854.80万元、项目支出40.89万元），预算执行875.08万元（基本支出836.86万元、项目支出38.23万元），预算执行率97.7%。</w:t>
        <w:br/>
        <w:t>（5）上年结转情况说明</w:t>
        <w:br/>
        <w:t>1.年初2023年底非财政单位结转和结余2.67万元</w:t>
        <w:br/>
        <w:t>2.年初2023年底财政拨款结转和结余17.94万元</w:t>
      </w:r>
    </w:p>
    <w:p>
      <w:pPr>
        <w:numPr>
          <w:ilvl w:val="0"/>
          <w:numId w:val="1"/>
        </w:numPr>
        <w:snapToGrid w:val="0"/>
        <w:spacing w:line="540" w:lineRule="exact"/>
        <w:rPr>
          <w:rFonts w:ascii="黑体" w:hAnsi="黑体" w:eastAsia="黑体" w:cs="宋体"/>
          <w:b/>
          <w:color w:val="000000" w:themeColor="text1"/>
          <w:sz w:val="32"/>
          <w:szCs w:val="32"/>
          <w:lang w:bidi="ar"/>
          <w14:textFill>
            <w14:solidFill>
              <w14:schemeClr w14:val="tx1"/>
            </w14:solidFill>
          </w14:textFill>
        </w:rPr>
      </w:pPr>
      <w:r>
        <w:rPr>
          <w:rFonts w:hint="eastAsia" w:ascii="黑体" w:hAnsi="黑体" w:eastAsia="黑体" w:cs="宋体"/>
          <w:b/>
          <w:color w:val="000000" w:themeColor="text1"/>
          <w:sz w:val="32"/>
          <w:szCs w:val="32"/>
          <w:lang w:bidi="ar"/>
          <w14:textFill>
            <w14:solidFill>
              <w14:schemeClr w14:val="tx1"/>
            </w14:solidFill>
          </w14:textFill>
        </w:rPr>
        <w:t>部门单位整体支出管理及使用情况：</w:t>
      </w:r>
    </w:p>
    <w:p>
      <w:pPr>
        <w:spacing w:line="600" w:lineRule="exact"/>
        <w:ind w:firstLine="960" w:firstLineChars="300"/>
        <w:jc w:val="left"/>
        <w:rPr>
          <w:rFonts w:ascii="仿宋_GB2312" w:hAnsi="宋体" w:eastAsia="仿宋_GB2312"/>
          <w:bCs/>
          <w:sz w:val="32"/>
          <w:szCs w:val="32"/>
        </w:rPr>
      </w:pPr>
      <w:r>
        <w:rPr>
          <w:rFonts w:hint="eastAsia" w:ascii="仿宋_GB2312" w:hAnsi="宋体" w:eastAsia="仿宋_GB2312"/>
          <w:bCs/>
          <w:sz w:val="32"/>
          <w:szCs w:val="32"/>
        </w:rPr>
        <w:t>我单位基本支出的范围和主要用途包括人员经费和日常公用经费。具体包括：工资福利支出、对个人和家庭的补助、商品和服务支出、其他资本性支出。基本支出的管理和使用情况如下：</w:t>
        <w:br/>
        <w:t>基本支出年初预算数879.89万元（人员经费727.35万元，公用经费152.54万元），调整后预算数854.80万元（人员经费818.47万元，公用经费36.33万元），预算执行数836.86万元（人员经费802.39万元，公用经费34.46万元），基本支出预算执行率97.9%。</w:t>
        <w:br/>
        <w:t>基本支出管理方面：1、单位对支出进行了详细的分类和分析。在日常办公支出方面，严格控制各项费用，合理安排办公用品的采购和使用，避免了浪费。2、加强了对支出的监督和管理。通过建立健全的支出管理制度，明确了各项支出的审批流程和责任人，有效地防止了资金的挪用和浪费。3、通过对各项支出的效果进行定期评估和分析，我们发现了一些问题并及时进行了调整，确保了支出的合理性和效益性。4、及时总结了支出管理的经验和教训，为今后的支出管理工作提供了有益的参考。</w:t>
      </w:r>
    </w:p>
    <w:p>
      <w:pPr>
        <w:numPr>
          <w:ilvl w:val="0"/>
          <w:numId w:val="1"/>
        </w:numPr>
        <w:snapToGrid w:val="0"/>
        <w:spacing w:line="540" w:lineRule="exact"/>
        <w:rPr>
          <w:rFonts w:ascii="黑体" w:hAnsi="黑体" w:eastAsia="黑体" w:cs="宋体"/>
          <w:b/>
          <w:color w:val="000000" w:themeColor="text1"/>
          <w:sz w:val="32"/>
          <w:szCs w:val="32"/>
          <w:lang w:bidi="ar"/>
          <w14:textFill>
            <w14:solidFill>
              <w14:schemeClr w14:val="tx1"/>
            </w14:solidFill>
          </w14:textFill>
        </w:rPr>
      </w:pPr>
      <w:r>
        <w:rPr>
          <w:rFonts w:hint="eastAsia" w:ascii="黑体" w:hAnsi="黑体" w:eastAsia="黑体" w:cs="宋体"/>
          <w:b/>
          <w:color w:val="000000" w:themeColor="text1"/>
          <w:sz w:val="32"/>
          <w:szCs w:val="32"/>
          <w:lang w:bidi="ar"/>
          <w14:textFill>
            <w14:solidFill>
              <w14:schemeClr w14:val="tx1"/>
            </w14:solidFill>
          </w14:textFill>
        </w:rPr>
        <w:t>部门单位整体支出绩效分析：</w:t>
      </w:r>
    </w:p>
    <w:p>
      <w:pPr>
        <w:spacing w:line="600" w:lineRule="exact"/>
        <w:ind w:firstLine="800" w:firstLineChars="250"/>
        <w:jc w:val="left"/>
        <w:rPr>
          <w:rFonts w:ascii="仿宋_GB2312" w:hAnsi="宋体" w:eastAsia="仿宋_GB2312"/>
          <w:b/>
          <w:sz w:val="32"/>
          <w:szCs w:val="32"/>
        </w:rPr>
      </w:pPr>
      <w:r>
        <w:rPr>
          <w:rFonts w:hint="eastAsia" w:ascii="黑体" w:hAnsi="黑体" w:eastAsia="黑体" w:cs="宋体"/>
          <w:bCs/>
          <w:color w:val="333333"/>
          <w:sz w:val="32"/>
          <w:szCs w:val="32"/>
          <w:lang w:bidi="ar"/>
        </w:rPr>
        <w:t xml:space="preserve"> </w:t>
      </w:r>
      <w:r>
        <w:rPr>
          <w:rFonts w:hint="eastAsia" w:ascii="仿宋_GB2312" w:hAnsi="宋体" w:eastAsia="仿宋_GB2312"/>
          <w:bCs/>
          <w:sz w:val="32"/>
          <w:szCs w:val="32"/>
        </w:rPr>
        <w:t>（一）运行成本</w:t>
        <w:br/>
        <w:t>运行成本-成本指标，部门整体预算执行率，预期指标值&gt;=95%，此指标根据历史数据设置，指标设置合理。</w:t>
        <w:br/>
        <w:t>年中绩效运行监控时，指标值=44.22%，达到监控节点比率。</w:t>
        <w:br/>
        <w:t>截至此次评价时间节点，全年支出875.08万元，调整后预算数895.69万元，预算执行率97.7%，我园各项工作正常开展，人员工资社保正常缴纳，有2.84%的偏差，偏差原因是部分项目因还在审批阶段未开展。今后将加强支付力度，提高项目执行率，在成本运行过程中出现偏差，要及时完善和改进，加强质量成本和进度成本的控制，形成完整的成本控制机制。</w:t>
        <w:br/>
        <w:t>（二）管理效率</w:t>
        <w:br/>
        <w:t>管理效率-质量指标，安全风险防控体系投入增长率，预期指标值=100%，依据乌鲁木齐县园务工作计划设置。</w:t>
        <w:br/>
        <w:t>年中绩效运行监控时，指标值=100%，远超监控节点比率，偏差原因是实际投入相比2022年增长了100%；</w:t>
        <w:br/>
        <w:t>截至此次评价时间节点，安全风险防控体系投入增长率=100%，主要电子围栏，资金还未支付，项目已实施，项目修熬过达到预期，为幼儿提供了良好环境。2023年度我园将卫生保健落实到一日生活的每一个环节中；加强幼儿园安全工作，做好防火安全、食品安全等工作，确保幼儿园安全综合治理无事故。与年度预期值相比，指标值=100%，与年度预期值相比，无偏差，此项工作为经常性工作，后期将加强安全体系方面的支付力度，提高项目执行率，让幼儿在更加安全的环境中成长。</w:t>
        <w:br/>
        <w:t>（三）履职效能</w:t>
        <w:br/>
        <w:t>履职效能-数量指标，幼儿园在编教职工数量预期指标值=21人，此指标依据年度工作总结设置。</w:t>
        <w:br/>
        <w:t>年中绩效运行监控时，幼儿园在编教职工数量指标值=21人，远超监控节点比率，原因是由于实际在编教职工人数达到21人。</w:t>
        <w:br/>
        <w:t>截至此次评价时间节点，全年完成幼儿园在编教职工20人的指标，完成落实教师工资待遇保障政策，统筹工资收入政策、经费支出渠道，确保教师工资及时足额发放的工作。与年度预期值相比，我单位已完成对幼儿园在编教职工20人的指标，偏差4.76%，偏差原因：截至年底2人退休，1人新入编。此项工作为经常性工作，后期将进一步规范教职工工作量，按照教育局文件要求科学设置教师工作岗位。</w:t>
        <w:br/>
        <w:t>履职效能-质量指标，适龄幼儿接收免费教育覆盖率，预期指标值=100%，此指标根据乌财科教【2021】102号文确定。</w:t>
        <w:br/>
        <w:t>年中绩效运行监控时，适龄幼儿接收免费教育覆盖率＝95%，远超监控节点比率。</w:t>
        <w:br/>
        <w:t xml:space="preserve">截至此次评价时间节点，适龄幼儿接收免费教育覆盖率＝100%，完成了对适龄儿童免费教育的工作。实行保育和教育相结合的原则，对幼儿实施体、智、德、美诸方面全面发展的教育，促进其身心和谐发展。为家长解除后顾之忧，热忱为家长服务；充分利用幼儿和社区的资源优势，面向家长开展多种形式的早期教育宣传、指导等服务，促进家庭教育质量的不断提高；贯彻幼儿教育法规、传播科学教育理念、开展教育科学研究、培训师资，发挥区示范性幼儿园的示范、辐射作用 ；关注幼儿发展，对幼儿实施体、智、德、美诸方面全面发展的教育，促进其身心和谐发展；尊重儿童的人格尊严和基本权利，尊重儿童身心发展的特点和规律，为儿童提供健康、丰富的生活和活动环境。合理组织幼儿一日生活活动和其它活动，促进幼儿体智德美等和谐发展，全面实施素质教育。无偏差。此项工作为经常性工作，后期将如何进一步跟进。       </w:t>
      </w:r>
    </w:p>
    <w:p>
      <w:pPr>
        <w:numPr>
          <w:ilvl w:val="0"/>
          <w:numId w:val="1"/>
        </w:numPr>
        <w:snapToGrid w:val="0"/>
        <w:spacing w:line="540" w:lineRule="exact"/>
        <w:rPr>
          <w:rFonts w:ascii="黑体" w:hAnsi="黑体" w:eastAsia="黑体" w:cs="宋体"/>
          <w:b/>
          <w:color w:val="000000" w:themeColor="text1"/>
          <w:sz w:val="32"/>
          <w:szCs w:val="32"/>
          <w:lang w:bidi="ar"/>
          <w14:textFill>
            <w14:solidFill>
              <w14:schemeClr w14:val="tx1"/>
            </w14:solidFill>
          </w14:textFill>
        </w:rPr>
      </w:pPr>
      <w:r>
        <w:rPr>
          <w:rFonts w:hint="eastAsia" w:ascii="黑体" w:hAnsi="黑体" w:eastAsia="黑体" w:cs="宋体"/>
          <w:b/>
          <w:color w:val="000000" w:themeColor="text1"/>
          <w:sz w:val="32"/>
          <w:szCs w:val="32"/>
          <w:lang w:bidi="ar"/>
          <w14:textFill>
            <w14:solidFill>
              <w14:schemeClr w14:val="tx1"/>
            </w14:solidFill>
          </w14:textFill>
        </w:rPr>
        <w:t>评价结论：</w:t>
      </w:r>
    </w:p>
    <w:p>
      <w:pPr>
        <w:spacing w:line="600" w:lineRule="exact"/>
        <w:ind w:firstLine="960" w:firstLineChars="300"/>
        <w:jc w:val="left"/>
        <w:rPr>
          <w:rFonts w:ascii="仿宋_GB2312" w:hAnsi="宋体" w:eastAsia="仿宋_GB2312"/>
          <w:bCs/>
          <w:sz w:val="32"/>
          <w:szCs w:val="32"/>
        </w:rPr>
      </w:pPr>
      <w:r>
        <w:rPr>
          <w:rFonts w:hint="eastAsia" w:ascii="仿宋_GB2312" w:hAnsi="宋体" w:eastAsia="仿宋_GB2312"/>
          <w:bCs/>
          <w:sz w:val="32"/>
          <w:szCs w:val="32"/>
        </w:rPr>
        <w:t>2023年度部门整体支出绩效自评综合得分98.82分，评价结果为“优秀”。</w:t>
      </w:r>
    </w:p>
    <w:p>
      <w:pPr>
        <w:numPr>
          <w:ilvl w:val="0"/>
          <w:numId w:val="1"/>
        </w:numPr>
        <w:snapToGrid w:val="0"/>
        <w:spacing w:line="540" w:lineRule="exact"/>
        <w:rPr>
          <w:rFonts w:ascii="黑体" w:hAnsi="黑体" w:eastAsia="黑体" w:cs="宋体"/>
          <w:b/>
          <w:color w:val="000000" w:themeColor="text1"/>
          <w:sz w:val="32"/>
          <w:szCs w:val="32"/>
          <w:lang w:bidi="ar"/>
          <w14:textFill>
            <w14:solidFill>
              <w14:schemeClr w14:val="tx1"/>
            </w14:solidFill>
          </w14:textFill>
        </w:rPr>
      </w:pPr>
      <w:r>
        <w:rPr>
          <w:rFonts w:hint="eastAsia" w:ascii="黑体" w:hAnsi="黑体" w:eastAsia="黑体" w:cs="宋体"/>
          <w:b/>
          <w:color w:val="000000" w:themeColor="text1"/>
          <w:sz w:val="32"/>
          <w:szCs w:val="32"/>
          <w:lang w:bidi="ar"/>
          <w14:textFill>
            <w14:solidFill>
              <w14:schemeClr w14:val="tx1"/>
            </w14:solidFill>
          </w14:textFill>
        </w:rPr>
        <w:t>存在的主要问题及原因分析：</w:t>
      </w:r>
    </w:p>
    <w:p>
      <w:pPr>
        <w:spacing w:line="600" w:lineRule="exact"/>
        <w:ind w:firstLine="960" w:firstLineChars="300"/>
        <w:jc w:val="left"/>
        <w:rPr>
          <w:rFonts w:ascii="仿宋_GB2312" w:hAnsi="宋体" w:eastAsia="仿宋_GB2312"/>
          <w:bCs/>
          <w:sz w:val="32"/>
          <w:szCs w:val="32"/>
        </w:rPr>
      </w:pPr>
      <w:r>
        <w:rPr>
          <w:rFonts w:hint="eastAsia" w:ascii="仿宋_GB2312" w:hAnsi="宋体" w:eastAsia="仿宋_GB2312"/>
          <w:bCs/>
          <w:sz w:val="32"/>
          <w:szCs w:val="32"/>
        </w:rPr>
        <w:t>根据部门整体绩效自评，发现乌鲁木齐县幼儿园存在以下问题：乌鲁木齐县幼儿园2023年度按照统一部署，统筹推进全园教育教学工作，完成了教学基础设施建设、教师队伍建设、教育改革工作、体育事业发展工作等任务，整体支出绩效目标完成总体情况较好，但还有部分工作未达到年初目标任务，主要表现为整体支出预算执行未达到年初目标任务，这是由于财政调度困难导致部分资金未按照预算计划支付完成。</w:t>
      </w:r>
    </w:p>
    <w:p>
      <w:pPr>
        <w:numPr>
          <w:ilvl w:val="0"/>
          <w:numId w:val="1"/>
        </w:numPr>
        <w:snapToGrid w:val="0"/>
        <w:spacing w:line="540" w:lineRule="exact"/>
        <w:rPr>
          <w:rFonts w:ascii="黑体" w:hAnsi="黑体" w:eastAsia="黑体" w:cs="宋体"/>
          <w:b/>
          <w:color w:val="000000" w:themeColor="text1"/>
          <w:sz w:val="32"/>
          <w:szCs w:val="32"/>
          <w:lang w:bidi="ar"/>
          <w14:textFill>
            <w14:solidFill>
              <w14:schemeClr w14:val="tx1"/>
            </w14:solidFill>
          </w14:textFill>
        </w:rPr>
      </w:pPr>
      <w:r>
        <w:rPr>
          <w:rFonts w:hint="eastAsia" w:ascii="黑体" w:hAnsi="黑体" w:eastAsia="黑体" w:cs="宋体"/>
          <w:b/>
          <w:color w:val="000000" w:themeColor="text1"/>
          <w:sz w:val="32"/>
          <w:szCs w:val="32"/>
          <w:lang w:bidi="ar"/>
          <w14:textFill>
            <w14:solidFill>
              <w14:schemeClr w14:val="tx1"/>
            </w14:solidFill>
          </w14:textFill>
        </w:rPr>
        <w:t>改进措施和建议：</w:t>
      </w:r>
    </w:p>
    <w:p>
      <w:pPr>
        <w:spacing w:line="600" w:lineRule="exact"/>
        <w:ind w:firstLine="960" w:firstLineChars="300"/>
        <w:jc w:val="left"/>
        <w:rPr>
          <w:rFonts w:ascii="仿宋_GB2312" w:hAnsi="宋体" w:eastAsia="仿宋_GB2312"/>
          <w:bCs/>
          <w:sz w:val="32"/>
          <w:szCs w:val="32"/>
        </w:rPr>
      </w:pPr>
      <w:r>
        <w:rPr>
          <w:rFonts w:hint="eastAsia" w:ascii="仿宋_GB2312" w:hAnsi="宋体" w:eastAsia="仿宋_GB2312"/>
          <w:bCs/>
          <w:sz w:val="32"/>
          <w:szCs w:val="32"/>
        </w:rPr>
        <w:t>1. 进一步提高预算编制的准确性。严格按照预算的相关规定和要求来编制预算，以我园年度教学活动安排为起点，加强与各股室的交流沟通，进一步提高预算精细化、准确化的意识，确保预算的全面、科学。</w:t>
        <w:br/>
        <w:t>2. 进一步完善预算开支的规范性。严格遵守各项开支费用的管理规定，加强财务管理，厉行节约，严控三公经费，确保开支口径与预算口径的一致，从而有效的提高预算资金的使用效率。做好预算执行的前期准备工作，特别是重大项目的准备工作。</w:t>
      </w:r>
    </w:p>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0000000000000000000"/>
    <w:charset w:val="86"/>
    <w:family w:val="script"/>
    <w:pitch w:val="default"/>
    <w:sig w:usb0="00000000" w:usb1="0000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Arial">
    <w:panose1 w:val="020B0604020202020204"/>
    <w:charset w:val="00"/>
    <w:family w:val="swiss"/>
    <w:pitch w:val="default"/>
    <w:sig w:usb0="E0002EFF" w:usb1="C000785B" w:usb2="00000009" w:usb3="00000000" w:csb0="400001FF" w:csb1="FFFF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9703BB8"/>
    <w:multiLevelType w:val="multilevel"/>
    <w:tmpl w:val="69703BB8"/>
    <w:lvl w:ilvl="0" w:tentative="0">
      <w:start w:val="1"/>
      <w:numFmt w:val="japaneseCounting"/>
      <w:lvlText w:val="%1、"/>
      <w:lvlJc w:val="left"/>
      <w:pPr>
        <w:ind w:left="1368" w:hanging="720"/>
      </w:pPr>
      <w:rPr>
        <w:rFonts w:hint="default"/>
      </w:rPr>
    </w:lvl>
    <w:lvl w:ilvl="1" w:tentative="0">
      <w:start w:val="1"/>
      <w:numFmt w:val="lowerLetter"/>
      <w:lvlText w:val="%2)"/>
      <w:lvlJc w:val="left"/>
      <w:pPr>
        <w:ind w:left="1488" w:hanging="420"/>
      </w:pPr>
    </w:lvl>
    <w:lvl w:ilvl="2" w:tentative="0">
      <w:start w:val="1"/>
      <w:numFmt w:val="lowerRoman"/>
      <w:lvlText w:val="%3."/>
      <w:lvlJc w:val="right"/>
      <w:pPr>
        <w:ind w:left="1908" w:hanging="420"/>
      </w:pPr>
    </w:lvl>
    <w:lvl w:ilvl="3" w:tentative="0">
      <w:start w:val="1"/>
      <w:numFmt w:val="decimal"/>
      <w:lvlText w:val="%4."/>
      <w:lvlJc w:val="left"/>
      <w:pPr>
        <w:ind w:left="2328" w:hanging="420"/>
      </w:pPr>
    </w:lvl>
    <w:lvl w:ilvl="4" w:tentative="0">
      <w:start w:val="1"/>
      <w:numFmt w:val="lowerLetter"/>
      <w:lvlText w:val="%5)"/>
      <w:lvlJc w:val="left"/>
      <w:pPr>
        <w:ind w:left="2748" w:hanging="420"/>
      </w:pPr>
    </w:lvl>
    <w:lvl w:ilvl="5" w:tentative="0">
      <w:start w:val="1"/>
      <w:numFmt w:val="lowerRoman"/>
      <w:lvlText w:val="%6."/>
      <w:lvlJc w:val="right"/>
      <w:pPr>
        <w:ind w:left="3168" w:hanging="420"/>
      </w:pPr>
    </w:lvl>
    <w:lvl w:ilvl="6" w:tentative="0">
      <w:start w:val="1"/>
      <w:numFmt w:val="decimal"/>
      <w:lvlText w:val="%7."/>
      <w:lvlJc w:val="left"/>
      <w:pPr>
        <w:ind w:left="3588" w:hanging="420"/>
      </w:pPr>
    </w:lvl>
    <w:lvl w:ilvl="7" w:tentative="0">
      <w:start w:val="1"/>
      <w:numFmt w:val="lowerLetter"/>
      <w:lvlText w:val="%8)"/>
      <w:lvlJc w:val="left"/>
      <w:pPr>
        <w:ind w:left="4008" w:hanging="420"/>
      </w:pPr>
    </w:lvl>
    <w:lvl w:ilvl="8" w:tentative="0">
      <w:start w:val="1"/>
      <w:numFmt w:val="lowerRoman"/>
      <w:lvlText w:val="%9."/>
      <w:lvlJc w:val="right"/>
      <w:pPr>
        <w:ind w:left="4428"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DAwZmYzMDUwNzhmYmVmMzNlY2I1MjAwNzI2NzY5MDUifQ=="/>
  </w:docVars>
  <w:rsids>
    <w:rsidRoot w:val="00EB3604"/>
    <w:rsid w:val="00021B05"/>
    <w:rsid w:val="000B791B"/>
    <w:rsid w:val="001C7F2C"/>
    <w:rsid w:val="00340E58"/>
    <w:rsid w:val="003E45AA"/>
    <w:rsid w:val="00486CD9"/>
    <w:rsid w:val="00584481"/>
    <w:rsid w:val="00653C1A"/>
    <w:rsid w:val="0072543F"/>
    <w:rsid w:val="007A5D83"/>
    <w:rsid w:val="007A798C"/>
    <w:rsid w:val="007B51CE"/>
    <w:rsid w:val="007D7702"/>
    <w:rsid w:val="007E47F4"/>
    <w:rsid w:val="007F0F7C"/>
    <w:rsid w:val="00892E0B"/>
    <w:rsid w:val="008F0DCE"/>
    <w:rsid w:val="00916058"/>
    <w:rsid w:val="00AB72C1"/>
    <w:rsid w:val="00C10BB4"/>
    <w:rsid w:val="00CE0C6C"/>
    <w:rsid w:val="00DB647F"/>
    <w:rsid w:val="00DC7E33"/>
    <w:rsid w:val="00E40ABD"/>
    <w:rsid w:val="00E8616A"/>
    <w:rsid w:val="00EB3604"/>
    <w:rsid w:val="020B07BA"/>
    <w:rsid w:val="02656D15"/>
    <w:rsid w:val="06696209"/>
    <w:rsid w:val="0D1922F1"/>
    <w:rsid w:val="10DF6E84"/>
    <w:rsid w:val="1438599A"/>
    <w:rsid w:val="200F4073"/>
    <w:rsid w:val="24B86128"/>
    <w:rsid w:val="51C70EA9"/>
    <w:rsid w:val="54F842B6"/>
    <w:rsid w:val="64F5745B"/>
    <w:rsid w:val="656071F2"/>
    <w:rsid w:val="6BF1756B"/>
    <w:rsid w:val="6F5E1AA3"/>
    <w:rsid w:val="7F200B83"/>
    <w:rsid w:val="7F5D585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styleId="6">
    <w:name w:val="Strong"/>
    <w:basedOn w:val="5"/>
    <w:qFormat/>
    <w:uiPriority w:val="0"/>
    <w:rPr>
      <w:b/>
      <w:bCs/>
    </w:rPr>
  </w:style>
  <w:style w:type="character" w:customStyle="1" w:styleId="7">
    <w:name w:val="页眉 字符"/>
    <w:basedOn w:val="5"/>
    <w:link w:val="3"/>
    <w:qFormat/>
    <w:uiPriority w:val="99"/>
    <w:rPr>
      <w:sz w:val="18"/>
      <w:szCs w:val="18"/>
    </w:rPr>
  </w:style>
  <w:style w:type="character" w:customStyle="1" w:styleId="8">
    <w:name w:val="页脚 字符"/>
    <w:basedOn w:val="5"/>
    <w:link w:val="2"/>
    <w:qFormat/>
    <w:uiPriority w:val="99"/>
    <w:rPr>
      <w:sz w:val="18"/>
      <w:szCs w:val="18"/>
    </w:rPr>
  </w:style>
  <w:style w:type="paragraph" w:styleId="9">
    <w:name w:val="List Paragraph"/>
    <w:basedOn w:val="1"/>
    <w:qFormat/>
    <w:uiPriority w:val="34"/>
    <w:pPr>
      <w:ind w:firstLine="420" w:firstLineChars="200"/>
    </w:p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theme/theme1.xml" Type="http://schemas.openxmlformats.org/officeDocument/2006/relationships/theme"/>
<Relationship Id="rId4" Target="numbering.xml" Type="http://schemas.openxmlformats.org/officeDocument/2006/relationships/numbering"/>
<Relationship Id="rId5"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57</Words>
  <Characters>328</Characters>
  <Lines>2</Lines>
  <Paragraphs>1</Paragraphs>
  <TotalTime>8</TotalTime>
  <ScaleCrop>false</ScaleCrop>
  <LinksUpToDate>false</LinksUpToDate>
  <CharactersWithSpaces>384</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2020-06-04T05:22:00Z</dcterms:created>
  <dc:creator>hongbing liu</dc:creator>
  <cp:lastModifiedBy>guxx</cp:lastModifiedBy>
  <dcterms:modified xsi:type="dcterms:W3CDTF">2024-03-15T02:49:25Z</dcterms:modified>
  <cp:revision>32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4E2A216151A24EE5A190066F518526B7</vt:lpwstr>
  </property>
</Properties>
</file>