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C24F3">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03B2F9C4">
      <w:pPr>
        <w:spacing w:line="540" w:lineRule="exact"/>
        <w:jc w:val="center"/>
        <w:rPr>
          <w:rFonts w:ascii="方正小标宋_GBK" w:hAnsi="华文中宋" w:eastAsia="方正小标宋_GBK" w:cs="宋体"/>
          <w:b/>
          <w:kern w:val="0"/>
          <w:sz w:val="48"/>
          <w:szCs w:val="48"/>
        </w:rPr>
      </w:pPr>
    </w:p>
    <w:p w14:paraId="0116FCC3">
      <w:pPr>
        <w:spacing w:line="540" w:lineRule="exact"/>
        <w:jc w:val="center"/>
        <w:rPr>
          <w:rFonts w:ascii="方正小标宋_GBK" w:hAnsi="华文中宋" w:eastAsia="方正小标宋_GBK" w:cs="宋体"/>
          <w:b/>
          <w:kern w:val="0"/>
          <w:sz w:val="48"/>
          <w:szCs w:val="48"/>
        </w:rPr>
      </w:pPr>
    </w:p>
    <w:p w14:paraId="02752678">
      <w:pPr>
        <w:spacing w:line="540" w:lineRule="exact"/>
        <w:jc w:val="center"/>
        <w:rPr>
          <w:rFonts w:ascii="方正小标宋_GBK" w:hAnsi="华文中宋" w:eastAsia="方正小标宋_GBK" w:cs="宋体"/>
          <w:b/>
          <w:kern w:val="0"/>
          <w:sz w:val="48"/>
          <w:szCs w:val="48"/>
        </w:rPr>
      </w:pPr>
    </w:p>
    <w:p w14:paraId="23CB5796">
      <w:pPr>
        <w:spacing w:line="540" w:lineRule="exact"/>
        <w:jc w:val="center"/>
        <w:rPr>
          <w:rFonts w:ascii="方正小标宋_GBK" w:hAnsi="华文中宋" w:eastAsia="方正小标宋_GBK" w:cs="宋体"/>
          <w:b/>
          <w:kern w:val="0"/>
          <w:sz w:val="48"/>
          <w:szCs w:val="48"/>
        </w:rPr>
      </w:pPr>
    </w:p>
    <w:p w14:paraId="5449D7E1">
      <w:pPr>
        <w:spacing w:line="540" w:lineRule="exact"/>
        <w:jc w:val="center"/>
        <w:rPr>
          <w:rFonts w:ascii="方正小标宋_GBK" w:hAnsi="华文中宋" w:eastAsia="方正小标宋_GBK" w:cs="宋体"/>
          <w:b/>
          <w:kern w:val="0"/>
          <w:sz w:val="48"/>
          <w:szCs w:val="48"/>
        </w:rPr>
      </w:pPr>
    </w:p>
    <w:p w14:paraId="55BA8809">
      <w:pPr>
        <w:spacing w:line="540" w:lineRule="exact"/>
        <w:jc w:val="center"/>
        <w:rPr>
          <w:rFonts w:ascii="方正小标宋_GBK" w:hAnsi="华文中宋" w:eastAsia="方正小标宋_GBK" w:cs="宋体"/>
          <w:b/>
          <w:kern w:val="0"/>
          <w:sz w:val="48"/>
          <w:szCs w:val="48"/>
        </w:rPr>
      </w:pPr>
    </w:p>
    <w:p w14:paraId="610D1DD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077C24D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4B018A5B">
      <w:pPr>
        <w:spacing w:line="540" w:lineRule="exact"/>
        <w:jc w:val="center"/>
        <w:rPr>
          <w:rFonts w:ascii="华文中宋" w:hAnsi="华文中宋" w:eastAsia="华文中宋" w:cs="宋体"/>
          <w:b/>
          <w:kern w:val="0"/>
          <w:sz w:val="52"/>
          <w:szCs w:val="52"/>
        </w:rPr>
      </w:pPr>
    </w:p>
    <w:p w14:paraId="5C4B4A40">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261B9FFD">
      <w:pPr>
        <w:spacing w:line="700" w:lineRule="exact"/>
        <w:jc w:val="left"/>
        <w:rPr>
          <w:rFonts w:hAnsi="宋体" w:eastAsia="仿宋_GB2312" w:cs="宋体"/>
          <w:kern w:val="0"/>
          <w:sz w:val="36"/>
          <w:szCs w:val="36"/>
        </w:rPr>
      </w:pPr>
    </w:p>
    <w:p w14:paraId="24B66531">
      <w:pPr>
        <w:spacing w:line="700" w:lineRule="exact"/>
        <w:jc w:val="left"/>
        <w:rPr>
          <w:rFonts w:hAnsi="宋体" w:eastAsia="仿宋_GB2312" w:cs="宋体"/>
          <w:kern w:val="0"/>
          <w:sz w:val="36"/>
          <w:szCs w:val="36"/>
        </w:rPr>
      </w:pPr>
    </w:p>
    <w:p w14:paraId="36C78E3D">
      <w:pPr>
        <w:spacing w:line="700" w:lineRule="exact"/>
        <w:jc w:val="left"/>
        <w:rPr>
          <w:rFonts w:hAnsi="宋体" w:eastAsia="仿宋_GB2312" w:cs="宋体"/>
          <w:kern w:val="0"/>
          <w:sz w:val="36"/>
          <w:szCs w:val="36"/>
        </w:rPr>
      </w:pPr>
    </w:p>
    <w:p w14:paraId="05E9503C">
      <w:pPr>
        <w:spacing w:line="700" w:lineRule="exact"/>
        <w:jc w:val="left"/>
        <w:rPr>
          <w:rFonts w:hAnsi="宋体" w:eastAsia="仿宋_GB2312" w:cs="宋体"/>
          <w:kern w:val="0"/>
          <w:sz w:val="36"/>
          <w:szCs w:val="36"/>
        </w:rPr>
      </w:pPr>
    </w:p>
    <w:p w14:paraId="39DD818D">
      <w:pPr>
        <w:spacing w:line="700" w:lineRule="exact"/>
        <w:jc w:val="left"/>
        <w:rPr>
          <w:rFonts w:hAnsi="宋体" w:eastAsia="仿宋_GB2312" w:cs="宋体"/>
          <w:kern w:val="0"/>
          <w:sz w:val="36"/>
          <w:szCs w:val="36"/>
        </w:rPr>
      </w:pPr>
    </w:p>
    <w:p w14:paraId="6B492FFD">
      <w:pPr>
        <w:spacing w:line="700" w:lineRule="exact"/>
        <w:jc w:val="left"/>
        <w:rPr>
          <w:rFonts w:hAnsi="宋体" w:eastAsia="仿宋_GB2312" w:cs="宋体"/>
          <w:kern w:val="0"/>
          <w:sz w:val="36"/>
          <w:szCs w:val="36"/>
        </w:rPr>
      </w:pPr>
    </w:p>
    <w:p w14:paraId="7A222B70">
      <w:pPr>
        <w:spacing w:line="700" w:lineRule="exact"/>
        <w:jc w:val="left"/>
        <w:rPr>
          <w:rFonts w:hAnsi="宋体" w:eastAsia="仿宋_GB2312" w:cs="宋体"/>
          <w:kern w:val="0"/>
          <w:sz w:val="36"/>
          <w:szCs w:val="36"/>
        </w:rPr>
      </w:pPr>
    </w:p>
    <w:p w14:paraId="3442C1EE">
      <w:pPr>
        <w:spacing w:line="700" w:lineRule="exact"/>
        <w:jc w:val="left"/>
        <w:rPr>
          <w:rFonts w:hAnsi="宋体" w:eastAsia="仿宋_GB2312" w:cs="宋体"/>
          <w:kern w:val="0"/>
          <w:sz w:val="36"/>
          <w:szCs w:val="36"/>
        </w:rPr>
      </w:pPr>
    </w:p>
    <w:p w14:paraId="54914A94">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畜牧兽医站</w:t>
      </w:r>
    </w:p>
    <w:p w14:paraId="035326EE">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07BCF40F">
      <w:pPr>
        <w:spacing w:line="700" w:lineRule="exact"/>
        <w:jc w:val="left"/>
        <w:rPr>
          <w:rFonts w:hAnsi="宋体" w:eastAsia="仿宋_GB2312" w:cs="宋体"/>
          <w:kern w:val="0"/>
          <w:sz w:val="36"/>
          <w:szCs w:val="36"/>
        </w:rPr>
      </w:pPr>
    </w:p>
    <w:p w14:paraId="042DB02A">
      <w:pPr>
        <w:spacing w:line="700" w:lineRule="exact"/>
        <w:jc w:val="left"/>
        <w:rPr>
          <w:rFonts w:hAnsi="宋体" w:eastAsia="仿宋_GB2312" w:cs="宋体"/>
          <w:kern w:val="0"/>
          <w:sz w:val="36"/>
          <w:szCs w:val="36"/>
        </w:rPr>
      </w:pPr>
    </w:p>
    <w:p w14:paraId="1B21918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36D148BC">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44B4E50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为全额拨款事业单位，于1954年在乌鲁木齐市成立机构。单位无内设个科室，共有编制人数16人，其中：行政人员编制0人，参照公务员管理的事业单位人员编制0人，事业编制16人。截至2023年底，单位实有在职人数16人，其中：行政人员编制0人，参照公务员管理的事业单位人员编制0人，事业单位人员编制16人。纳入我单位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是负责全县重大动物疫病防疫及动物防疫体系建设工作；二是负责全县重大动物疫病监测及动物疾病诊疗工作；三是负责全县畜禽品种改良及新品种的引进推广工作；四是负责全县畜牧兽医技术人员及养殖户的技术培训指导工作。   </w:t>
      </w:r>
      <w:bookmarkStart w:id="0" w:name="_Hlk43849111"/>
      <w:bookmarkEnd w:id="0"/>
    </w:p>
    <w:p w14:paraId="218C9E84">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163AE02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我单位结合全年重点工作任务，以及上级部门的工作要求，制定《乌鲁木齐县畜牧兽医站2023年工作计划》，2023年度重点工作任务如下：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（1）负责本县动物疫病防控工作，包含重防物资储备情况及重大动物疫病免疫工作；非洲猪瘟防控工作；日常开展的布病检测、调运检测；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（2）根据市农业农村局《关于印发&lt;2023年乌鲁木齐市畜牧兽医工作要点&gt;的通知》文件下达的指标任务，完成畜牧业发展各项指标。</w:t>
      </w:r>
    </w:p>
    <w:p w14:paraId="21C07785">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1AB014C2">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为农林水支出，主要用于病虫害控制、其他农业农村支出等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畜牧兽医站按实编制了人员经费，按定额编制了公用经费，按历年发生数编制项目支出。财政拨款年初预算安排数为335.90万元，调整后预算数为373.99万元（其中人员经费287.64万元，占比76.91%；公用经费4.03万元，占比1.08%；项目经费82.32万元，占比22.01%），实际支出为373.88万元，预算执行率为99.97%，预算资金来源为一般公共预算财政拨款收入和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乌鲁木齐县畜牧兽医站单位收入预算335.90万元，其中：一般公共预算271.96万元，占80.96%，比上年预算减少 77.32万元，下降22.14%，主要原因是项目安排资金减少。上级一般公共预算安排的转移支付资金51.94万元，占15.46%，比上年预算增加51.94万元，增长100.00%，主要原因是中央安排转移支付资金支付村级防疫员工资。政府性基金预算未安排。上级政府性基金安排的转移支付资金未安排。国有资本经营预算未安排。上级国有资本经营预算安排的转移支付资金未安排。财政拨款结转12.0万元，占3.57%，比上年预算增加12.00万元，增长100.00%，主要原因是结转资金为2022年中央动物防疫等补助经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乌鲁木齐县畜牧兽医站2023年支出预算335.90万元，其中：基本支出271.96万元，占80.96%，比上年预算增加 43.02万元，增长18.79%，主要原因是单位较上年新增工作人员2人且工资标准提高。项目支出63.94万元，占19.04%，比上年预算减少65.40万元，下降50.56%，主要原因是本年未安排县级财政专项资金。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335.90万元（基本支271.96万元、项目支出63.94万元），调整数38.09万元（基本支出19.71万元、项目支出18.38万元），调整后预算数373.99万元（基本支出291.67万元、项目支出82.32万元），预算调整率 11.34%。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调整后预算数373.99万元（基本支出291.67万元、项目支出82.32万元），预算执行373.88万元（基本支出291.56万元、项目支出82.32万元），预算执行率99.97%。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1.本年无非财政拨款结余和专用结余。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2.预算安排年初结转和结余12.00万元，为乌财农【2022】32号-关于下达2022年中央单位防疫等补助经费预算的通知资金：年初预算数12万元，全年预算数12万元，全年执行3.1万元，执行率25.83%。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3.年末结转和结余0.12万元。</w:t>
      </w:r>
    </w:p>
    <w:p w14:paraId="34605D0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7C80E60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271.96万元（人员经费257.53万元，公用经费14.43万元），调整后预算数291.67万元（人员经费287.64万元，公用经费4.03万元），预算执行数291.56万元（人员经费287.64万元，公用经费3.92万元），基本支出预算执行率99.96%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乌鲁木齐县农业农村局财务收支管理制度》，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农业农村局财务收支管理制度》的规定，由集体研究讨论决定。财务管理制度方面，设置包括预算管理、收入管理、支出管理、财务内部管理财务监督等方面制度防止资金挪用、乱用情况发生。资金支出均按照财务管理和经费管理的各项规章制度执行，不存在违法违规行为。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2023年本单位年初安排预算项目2个63.94万元，年中追加预算项目4个46.8万元，调整后项目共5个110.74万元，全年执行82.32万元，项目支出预算执行率74.37%。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①乌财发[2023]17号-关于调整下达2023年自治区动物防疫补助资金预算的通知（兽药检验、疫病监测）：年初预算数0万元，全年预算数10万元，全年执行0万元，执行率0%。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①乌财农【2022】32号-关于下达2022年中央单位防疫等补助经费预算的通知资金：年初预算数12万元，全年预算数12万元，全年执行3.1万元，执行率25.83%。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②乌财农【2022】75号-关于提前下达2023年中央动物防疫等补助经费预算的通知（防疫员工资）资金：年初预算数51.94万元，全年预算数51.94万元，全年执行51.94万元，执行率100%。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③2023年动物防疫补助经费（2022年3月至2023年2月强制扑杀）补助资金：年初预算数0万元，全年预算数16.8万元，全年执行12.28万元，执行率73.09%。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④乌财行[2023]48号-关于下达2023年度新疆人才发展基金第一批重大人才计划项目支持资金的通知资金：年初预算数0万元，全年预算数20万元，全年执行15万元，执行率75%。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局务会上会审议研究通过相关经费支出，严格按照制度规定的标准执行，物品采购严格按照政府采购或者进行招投标程序进行采购组织项目开展，实施成本控制。</w:t>
      </w:r>
    </w:p>
    <w:p w14:paraId="1C6C17D8">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7ABDB750">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指标一：管理效率-质量指标，部门主体预算执行率，预期指标≥95%，按照年初单位预算要求指标设置的是合理的。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年中绩效运行监控时，部门整体预算执行率48.64%，已达到监控节点比率。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整体预算执行率99.97%，保障单位正常运转，确保工作正常开展，人员工资社保正常发放缴纳。与年度预期值相比，我单位部门整体预算执行率99.97%，偏差率5.23%，原因是办公经费未形成支出，致使预算未支出。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指标一：履职效能-数量指标，开展综合防疫督查次数，预期指标值≥12次，按照单位工作计划要求指标设置的是合理的。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年中绩效运行监控时，实际完成值开展综合防疫督查次数6次，已达到监控节点比率；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综合防疫督查次数12次，我县作为乌鲁木齐市首府城郊县，始终将动物防疫作为发展畜牧业一项基础性工作，摆在全县经济发展的突出位置，做好免疫常规性督察工作，与年度预期值相比，我单位已</w:t>
      </w:r>
      <w:r>
        <w:rPr>
          <w:rFonts w:hint="eastAsia" w:ascii="仿宋_GB2312" w:hAnsi="宋体" w:eastAsia="仿宋_GB2312"/>
          <w:bCs/>
          <w:sz w:val="32"/>
          <w:szCs w:val="32"/>
          <w:lang w:eastAsia="zh-CN"/>
        </w:rPr>
        <w:t>开展</w:t>
      </w:r>
      <w:r>
        <w:rPr>
          <w:rFonts w:hint="eastAsia" w:ascii="仿宋_GB2312" w:hAnsi="宋体" w:eastAsia="仿宋_GB2312"/>
          <w:bCs/>
          <w:sz w:val="32"/>
          <w:szCs w:val="32"/>
        </w:rPr>
        <w:t>综合防疫督查次数12次，无偏差。该项工作为经常性工作，每年至少全面督查12次，坚持常年免疫和强制免疫制度，以高致病性禽流感等重大疫病防疫为重点，组织实施疫病免疫工作。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指标二：履职效能-数量指标，技术培训及科普宣传次数，预期指标值&gt;=6次，按照单位工作计划要求指标设置的是合理的。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年中绩效运行监控时，实际完成值技术培训及科普宣传次数3次，已达到监控节点比率；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技术培训及科普宣传次数6次，组织村级防疫员和乡镇畜牧兽医专技人员开展动物防疫、牲畜品种改良等技术培训6次（1次/2个月）。有效提升了全县畜牧兽医从业人员的专业技能水平，更好的服务农牧民群众。与年度预期值相比，我单位已开展技术培训及科普宣传次数6次，无偏差。该项工作为经常性工作，后期更好的服务农牧民群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指标三：履职效能-数量指标，春秋防抗体监测次数，预期指标值=2次，按照单位工作计划要求指标设置的是合理的。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年中绩效运行监控时，春秋防抗体监测次数为0，未达到监控节点比率，因财政资金未拨付，导致该项目未开展。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春秋防抗体监测次数2次。根据各乡、镇春秋两季免疫工作开展情况，高质量的完成了春秋季动物强制集中免疫工作。与年度预期值相比，我单位已开展春秋防抗体监测次数2次，无偏差。该项工作为经常性工作，我站积极联系乌鲁木齐市动物疾病控制与诊断中心，调购所需实验实际试剂，确保了在春秋防结束时开展强制免疫抗体监测工作，全年监测2次，保障了我县畜牧业的正常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指标四：履职效能-质量指标，依法对重大动物疫情处置率，预期指标值=100%，按照单位工作计划要求指标设置的是合理的。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年中绩效运行监控时，依法对重大动物疫情处置率为0，未达到监控节点比率，因截至上半年，未发生重大动物疫情。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依法对重大动物疫情处置率100%，我县要求乡镇畜牧兽医站及时了解家畜发病及死亡情况，出现3头只以上牲畜死亡报县畜牧兽医站。我站每月随机抽查10户，监测预警重大动物疫病发生情况。与年度预期值相比，我单位全年依法对重大动物疫情处置率100%，无偏差。该项工作为经常性工作，后期进一步跟进，使全县畜牧业生产得到持续、快速、有序发展。</w:t>
      </w:r>
    </w:p>
    <w:p w14:paraId="1180DDE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7D0BE2E3">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2023年度部门整体支出绩效自评综合得分99.99分，评价结果为“优秀”。</w:t>
      </w:r>
    </w:p>
    <w:p w14:paraId="56434D1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62FB7D96">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1.因2023年县级财政资金紧张，财力不足导致全县下半年村级动物防疫员补助未发放，致使防疫员工作积极性不高，负面情绪高。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2.因牧区地理位置偏远，交通不便导致牛、马、驼免疫及采样保定困难，人员受伤风险高，存在各种安全生产隐患。</w:t>
      </w:r>
    </w:p>
    <w:p w14:paraId="7505443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42D3A9A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1.针对下半年村级动物防疫员补助未发放的情况，我单位积极申请县级配套资金，后期一次性予以补发。安抚好防疫员的情绪，做好防疫员的心理工作，同时与防疫员积极沟通，确保动物免疫工作的正常开展。</w:t>
      </w:r>
      <w:r>
        <w:rPr>
          <w:rFonts w:hint="eastAsia" w:ascii="仿宋_GB2312" w:hAnsi="宋体" w:eastAsia="仿宋_GB2312"/>
          <w:bCs/>
          <w:sz w:val="32"/>
          <w:szCs w:val="32"/>
        </w:rPr>
        <w:br w:type="textWrapping"/>
      </w:r>
      <w:r>
        <w:rPr>
          <w:rFonts w:hint="eastAsia" w:ascii="仿宋_GB2312" w:hAnsi="宋体" w:eastAsia="仿宋_GB2312"/>
          <w:bCs/>
          <w:sz w:val="32"/>
          <w:szCs w:val="32"/>
        </w:rPr>
        <w:t>2.针对牧区牛、马、驼免疫及采样保定困难，人员受伤风险高，存在安全生产隐患的问题，望市农业农村局定点配备大牲畜保定六柱栏，我站积极宣传动物防疫工作，加强春秋季动物免疫工作，将动物疫情的发生率控制到最小。</w:t>
      </w:r>
    </w:p>
    <w:p w14:paraId="7D5FE523"/>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29E7C63"/>
    <w:rsid w:val="54F842B6"/>
    <w:rsid w:val="5C9620EE"/>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4444</Words>
  <Characters>4950</Characters>
  <Lines>2</Lines>
  <Paragraphs>1</Paragraphs>
  <TotalTime>8</TotalTime>
  <ScaleCrop>false</ScaleCrop>
  <LinksUpToDate>false</LinksUpToDate>
  <CharactersWithSpaces>4964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2025-01-10T04:17:51Z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