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F7D08">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5F8ECE55">
      <w:pPr>
        <w:spacing w:line="540" w:lineRule="exact"/>
        <w:jc w:val="center"/>
        <w:rPr>
          <w:rFonts w:ascii="方正小标宋_GBK" w:hAnsi="华文中宋" w:eastAsia="方正小标宋_GBK" w:cs="宋体"/>
          <w:b/>
          <w:kern w:val="0"/>
          <w:sz w:val="48"/>
          <w:szCs w:val="48"/>
        </w:rPr>
      </w:pPr>
    </w:p>
    <w:p w14:paraId="595C0100">
      <w:pPr>
        <w:spacing w:line="540" w:lineRule="exact"/>
        <w:jc w:val="center"/>
        <w:rPr>
          <w:rFonts w:ascii="方正小标宋_GBK" w:hAnsi="华文中宋" w:eastAsia="方正小标宋_GBK" w:cs="宋体"/>
          <w:b/>
          <w:kern w:val="0"/>
          <w:sz w:val="48"/>
          <w:szCs w:val="48"/>
        </w:rPr>
      </w:pPr>
    </w:p>
    <w:p w14:paraId="74D9D50A">
      <w:pPr>
        <w:spacing w:line="540" w:lineRule="exact"/>
        <w:jc w:val="center"/>
        <w:rPr>
          <w:rFonts w:ascii="方正小标宋_GBK" w:hAnsi="华文中宋" w:eastAsia="方正小标宋_GBK" w:cs="宋体"/>
          <w:b/>
          <w:kern w:val="0"/>
          <w:sz w:val="48"/>
          <w:szCs w:val="48"/>
        </w:rPr>
      </w:pPr>
    </w:p>
    <w:p w14:paraId="05B88164">
      <w:pPr>
        <w:spacing w:line="540" w:lineRule="exact"/>
        <w:jc w:val="center"/>
        <w:rPr>
          <w:rFonts w:ascii="方正小标宋_GBK" w:hAnsi="华文中宋" w:eastAsia="方正小标宋_GBK" w:cs="宋体"/>
          <w:b/>
          <w:kern w:val="0"/>
          <w:sz w:val="48"/>
          <w:szCs w:val="48"/>
        </w:rPr>
      </w:pPr>
    </w:p>
    <w:p w14:paraId="1CEBAE17">
      <w:pPr>
        <w:spacing w:line="540" w:lineRule="exact"/>
        <w:jc w:val="center"/>
        <w:rPr>
          <w:rFonts w:ascii="方正小标宋_GBK" w:hAnsi="华文中宋" w:eastAsia="方正小标宋_GBK" w:cs="宋体"/>
          <w:b/>
          <w:kern w:val="0"/>
          <w:sz w:val="48"/>
          <w:szCs w:val="48"/>
        </w:rPr>
      </w:pPr>
    </w:p>
    <w:p w14:paraId="18558B27">
      <w:pPr>
        <w:spacing w:line="540" w:lineRule="exact"/>
        <w:jc w:val="center"/>
        <w:rPr>
          <w:rFonts w:ascii="方正小标宋_GBK" w:hAnsi="华文中宋" w:eastAsia="方正小标宋_GBK" w:cs="宋体"/>
          <w:b/>
          <w:kern w:val="0"/>
          <w:sz w:val="48"/>
          <w:szCs w:val="48"/>
        </w:rPr>
      </w:pPr>
    </w:p>
    <w:p w14:paraId="714C798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45EA23D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00B39A0B">
      <w:pPr>
        <w:spacing w:line="540" w:lineRule="exact"/>
        <w:jc w:val="center"/>
        <w:rPr>
          <w:rFonts w:ascii="华文中宋" w:hAnsi="华文中宋" w:eastAsia="华文中宋" w:cs="宋体"/>
          <w:b/>
          <w:kern w:val="0"/>
          <w:sz w:val="52"/>
          <w:szCs w:val="52"/>
        </w:rPr>
      </w:pPr>
    </w:p>
    <w:p w14:paraId="5AB9864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2ACF6699">
      <w:pPr>
        <w:spacing w:line="700" w:lineRule="exact"/>
        <w:jc w:val="left"/>
        <w:rPr>
          <w:rFonts w:hAnsi="宋体" w:eastAsia="仿宋_GB2312" w:cs="宋体"/>
          <w:kern w:val="0"/>
          <w:sz w:val="36"/>
          <w:szCs w:val="36"/>
        </w:rPr>
      </w:pPr>
    </w:p>
    <w:p w14:paraId="6BF104F1">
      <w:pPr>
        <w:spacing w:line="700" w:lineRule="exact"/>
        <w:jc w:val="left"/>
        <w:rPr>
          <w:rFonts w:hAnsi="宋体" w:eastAsia="仿宋_GB2312" w:cs="宋体"/>
          <w:kern w:val="0"/>
          <w:sz w:val="36"/>
          <w:szCs w:val="36"/>
        </w:rPr>
      </w:pPr>
    </w:p>
    <w:p w14:paraId="0ED9E906">
      <w:pPr>
        <w:spacing w:line="700" w:lineRule="exact"/>
        <w:jc w:val="left"/>
        <w:rPr>
          <w:rFonts w:hAnsi="宋体" w:eastAsia="仿宋_GB2312" w:cs="宋体"/>
          <w:kern w:val="0"/>
          <w:sz w:val="36"/>
          <w:szCs w:val="36"/>
        </w:rPr>
      </w:pPr>
    </w:p>
    <w:p w14:paraId="4D4E927F">
      <w:pPr>
        <w:spacing w:line="700" w:lineRule="exact"/>
        <w:jc w:val="left"/>
        <w:rPr>
          <w:rFonts w:hAnsi="宋体" w:eastAsia="仿宋_GB2312" w:cs="宋体"/>
          <w:kern w:val="0"/>
          <w:sz w:val="36"/>
          <w:szCs w:val="36"/>
        </w:rPr>
      </w:pPr>
    </w:p>
    <w:p w14:paraId="41A7365C">
      <w:pPr>
        <w:spacing w:line="700" w:lineRule="exact"/>
        <w:jc w:val="left"/>
        <w:rPr>
          <w:rFonts w:hAnsi="宋体" w:eastAsia="仿宋_GB2312" w:cs="宋体"/>
          <w:kern w:val="0"/>
          <w:sz w:val="36"/>
          <w:szCs w:val="36"/>
        </w:rPr>
      </w:pPr>
    </w:p>
    <w:p w14:paraId="109CADF4">
      <w:pPr>
        <w:spacing w:line="700" w:lineRule="exact"/>
        <w:jc w:val="left"/>
        <w:rPr>
          <w:rFonts w:hAnsi="宋体" w:eastAsia="仿宋_GB2312" w:cs="宋体"/>
          <w:kern w:val="0"/>
          <w:sz w:val="36"/>
          <w:szCs w:val="36"/>
        </w:rPr>
      </w:pPr>
    </w:p>
    <w:p w14:paraId="0D9B7602">
      <w:pPr>
        <w:spacing w:line="700" w:lineRule="exact"/>
        <w:jc w:val="left"/>
        <w:rPr>
          <w:rFonts w:hAnsi="宋体" w:eastAsia="仿宋_GB2312" w:cs="宋体"/>
          <w:kern w:val="0"/>
          <w:sz w:val="36"/>
          <w:szCs w:val="36"/>
        </w:rPr>
      </w:pPr>
    </w:p>
    <w:p w14:paraId="00BBE4EE">
      <w:pPr>
        <w:spacing w:line="700" w:lineRule="exact"/>
        <w:jc w:val="left"/>
        <w:rPr>
          <w:rFonts w:hAnsi="宋体" w:eastAsia="仿宋_GB2312" w:cs="宋体"/>
          <w:kern w:val="0"/>
          <w:sz w:val="36"/>
          <w:szCs w:val="36"/>
        </w:rPr>
      </w:pPr>
    </w:p>
    <w:p w14:paraId="7D137CA3">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县编委</w:t>
      </w:r>
    </w:p>
    <w:p w14:paraId="093732BB">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7F75EE10">
      <w:pPr>
        <w:spacing w:line="700" w:lineRule="exact"/>
        <w:jc w:val="left"/>
        <w:rPr>
          <w:rFonts w:hAnsi="宋体" w:eastAsia="仿宋_GB2312" w:cs="宋体"/>
          <w:kern w:val="0"/>
          <w:sz w:val="36"/>
          <w:szCs w:val="36"/>
        </w:rPr>
      </w:pPr>
    </w:p>
    <w:p w14:paraId="4CC75C8C">
      <w:pPr>
        <w:spacing w:line="700" w:lineRule="exact"/>
        <w:jc w:val="left"/>
        <w:rPr>
          <w:rFonts w:hAnsi="宋体" w:eastAsia="仿宋_GB2312" w:cs="宋体"/>
          <w:kern w:val="0"/>
          <w:sz w:val="36"/>
          <w:szCs w:val="36"/>
        </w:rPr>
      </w:pPr>
    </w:p>
    <w:p w14:paraId="4D11C34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4CF49002">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30BC8F57">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委编办为全额拨款行政单位，单位内设2个科室，分别是办公室和业务科室，共有编制人数11人，其中：行政人员编制6人，事业编制5人。截至2023年底，单位实有在职人数7人，其中：行政人员编制5人，事业单位人员编制2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县委编办的主要职责：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负责处理县委机构编制委员会日常事务工作；协调督促有关方面落实县委机构编制委员会的决定事项、工作部署和要求；围绕全县重点领域和关键环节体制机制改革，以及全面坚持和加强党的领导、全面深化改革和加强机构编制管理等深层次重大问题，组织开展调查研究，向县委机构编制委员会提出工作建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（2）贯彻执行党和国家关于行政管理体制改革、机构改革和机构编制管理的方针、政策和法规，组织实施有关地方性法规、规章和政策措施。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（3）统一管理全县各级党政机关，人大、政协、法院、检察院机关，各民主党派、人民团体机关及事业单位的机构编制工作。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研究拟订全县机构改革的总体方案，并组织实施；审核县级党政机关，人大、政协、法院、检察院机关，各民主党派、人民团体机关的机构改革方案；审核乡（镇）机构改革方案；审核片区管委会机构编制方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（5）协调县级党政群机关各部门职能配置及其调整；研究拟订县级各部门以及县级各部门与乡（镇）、片区管委会有关事权划分和职责分工的意见。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（6）审核县级党政机关，人大、政协、法院、检察院机关，各民主党派、人民团体机关的机构设置和人员编制、领导职数；审核乡（镇）、片区管委会机构编制分类及人员编制总额。</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（7）审核报批全县各级事业单位的机构设置、职责任务、人员编制、领导职数、编制结构及经费形式。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（8）研究拟订事业单位登记管理办法；承担权限内事业单位登记管理工作及机关、群团等机构的统一社会信用代码赋码发证工作；依法对全县事业单位登记管理工作进行监督检查。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（9）监督检查全县机构改革以及机构编制的执行情况。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（10）负责全县党政群机关、事业单位机构编制实名制管理及统计工作；指导、协调全县机构编制信息化建设工作；指导和规范全县党政群机关、事业单位网上中文域名注册管理工作。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（11）负责行政管理体制改革、机构改革和机构编制管理调研和信息收集工作。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（12）承办县委和县委机构编制委员会交办的其他事项。</w:t>
      </w:r>
      <w:bookmarkStart w:id="0" w:name="_Hlk43849111"/>
      <w:bookmarkEnd w:id="0"/>
    </w:p>
    <w:p w14:paraId="216DB0F8">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1F89785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县委编办根据部门职能制定2023年工作计划，2023年度工作重点具体如下：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1.按照自治区及乌鲁木齐市统一部署加强全县机构职能体系建设，推进落实机构改革任务，抓好组织落实。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2.推进医疗卫生领域体制改革，深化行政执法体制改革，事业单位改革，基层管理体制改革。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3.进一步优化部门职责体系，修订完善相关部门“三定”规定，敦促落实到位。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4.全面推行、统筹政府权责清单制度，深化权责清单管理运用。</w:t>
      </w:r>
    </w:p>
    <w:p w14:paraId="1207C068">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3F37F780">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主要为一般公共服务支出类项目。合理规范编制部门预算，分配依据充分。（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县委编办按实编制了人员经费，按定额编制了公用经费，按历年发生数编制项目支出。财政拨款年初预算安排数为111.16万元，调整后预算数为113.92万元（其中人员经费108.07万元，占比94.86%；公用经费2.69万元，占比2.36%；项目经费3.16万元，占比2.77%），实际支出为113.79万元，预算执行率为99.89%，预算资金来源为一般公共预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中共乌鲁木齐县委员会机构编制委员会办公室单位收入预算 111.16万元，其中：一般公共预算111.16万元，占 100.00%，比上年预算增加5.19万元，增长4.90%，主要原因是单位干部正常工资上浮进而基础支出增加。上级一般公共预算安排的转移支付资金未安排。政府性基金预算未安排。上级政府性基金安排的转移支付资金未安排。国有资本经营预算未安排。上级国有资本经营预算安排的转移支付资金未安排。中共乌鲁木齐县委员会机构编制委员会办公室2023年支出预算111.16万元，其中：基本支出111.16万元，占100.00%，比上年预算增加5.19万元，增长4.90%，主要原因是单位干部正常工资上浮进而基础支出增加。项目支出 0.00万元，占0.00%，比上年预算减少0.00万元，下降 0.00%，主要原因是无项目。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111.16万元（基本支出111.16万元、项目支出0万元），调整数2.76万元（基本支出-0.4万元、项目支出3.16万元），调整后预算数113.92万元（基本支出110.76万元、项目支出3.16万元），预算调整率2.48%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调整后预算数113.92万元（基本支出110.76万元、项目支出3.16万元），预算执行113.79万元（基本支出110.76万元、项目支出3.03万元），预算执行率99.89%。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1.我单位上年无非财政拨款结余资金、无年初结转和结余资金。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2.我单位年末结转和结余资金0.13万元。 </w:t>
      </w:r>
    </w:p>
    <w:p w14:paraId="0B26664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00EFC15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111.16万元（人员经费107.32万元，公用经费3.84万元），调整后预算数110.76万元（人员经费108.07万元，公用经费2.69万元），预算执行数110.76万元（人员经费108.07万元，公用经费2.69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办对支出进行了详细的分类和分析。在日常办公支出方面，根据《县委编办“三重一大”制度》和《县委编办内控管理制度》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资金使用管理制度》的规定，由集体研究讨论决定。财务管理制度方面，设置包括预算管理、收入管理、支出管理、财务内部管理财务监督等方面制度防止资金挪用、乱用情况发生。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2023年本单位年初安排预算项目0个0万元，年中追加预算项目2个3.03万元，调整后项目共2个3.03万元，执行3.03万元，项目支出预算执行率100%。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①更换机构编制涉密系统计算机及相关软硬件经费资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金：年初预算数0万元，全年预算数2.87万元，全年执行2.87万元，执行率100%。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②保密管理系统客户端经费资金：年初预算数0万元，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全年预算数0.16万元，全年执行0.16万元，执行率100%。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县委编办党员大会审议研究通过相关经费支出，严格按照制度规定的标准执行，物品采购严格按照政府采购或者进行招投标程序进行采购组织项目开展，实施成本控制。</w:t>
      </w:r>
    </w:p>
    <w:p w14:paraId="5C1178C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27EFC86A">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管理效率-质量指标，部门预算整体执行率，预期指标值≥90%，基于上年预算执行情况和单位工作要求设定该指标，指标设置合理。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年中绩效运行监控时，预算整体执行率53.04%，已达到监控节点比率。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预算整体执行率99.89%，产生的成效是有序开展我办2023年单位各项工作。与年度预期值相比，我单位预算整体执行率99.89%，偏差率10.99%，产生偏差的原因是单位指标设置本着谨慎原则，预期指标值为保守估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1、履职效能-质量指标，9个政府部门机构改革完成率，预期指标值≥90%，根据单位工作要求设定该指标，指标设置合理。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年中绩效运行监控时，9个政府部门机构改革完成率无法监控，原因是由于上级主管部门未要求开展该项工作，故我办未实施该项目。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9个政府部门机构改革完成率0%。与年度预期值相比，我单位9个政府部门机构改革完成率0%，偏差率-100%，产生偏差的原因是上级主管部门未要求开展该项工作，故我办未实施该项目。该项工作为经常性工作，后期我单位将按自治区、市委工作要求在2024年开展该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2、履职效能-质量指标，群团7个部门机构改革完成率，预期指标值≥90%，根据单位工作要求设定该指标，指标设置合理。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年中绩效运行监控时，群团7个部门机构改革完成率无法监控，原因是由于上级主管部门未要求开展该项工作，故我办未实施该项目。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群团7个部门机构改革完成率0%。与年度预期值相比，我单位群团7个部门机构改革完成率0%，偏差率-100%，产生偏差的原因是上级主管部门未要求开展该项工作，故我办未实施该项目。该项工作为经常性工作，后期我单位将按自治区、市委工作要求在2024年开展该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3、履职效能-质量指标，全县28个部门权责清单工作完成率，预期指标值≥90%，根据单位工作要求设定该指标，指标设置合理。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年中绩效运行监控时，全县28个部门权责清单工作完成率100%，超过监控节点比率，超过原因是该项工作2023年年中按上级要求完成工作，所以超过了监控节点比率。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县28个部门权责清单工作完成率100%，产生的成效是规范了县属部门的权责划分。与年度预期值相比，我单位全县28个部门权责清单工作完成率100%，偏差率11.11%，产生偏差的原因是我单位按上级要求全部完成了28个部门的权责清单梳理和规范。该项工作为经常性工作，后期我办将继续按照上级要求做好相关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4、履职效能-质量指标，全县130家事业单位法人年审工作完成率，预期指标值≥90%，根据单位工作要求设定该指标，指标设置合理。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年中绩效运行监控时，全县130家事业单位法人年审工作完成率100%，超过监控节点比率，超过原因是该项工作要求在3月底之前必须全部完成。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县130家事业单位法人年审工作完成率100%，产生的成效是按上级主管部门的要求，审核全县所有事业单位的法人变更了相关单位的法人。与年度预期值相比，全县130家事业单位法人年审工作完成率100%，偏差率11.11%，产生偏差的原因是该项工作要求在3月底之前必须全部完成。该项工作为经常性工作，后期我办将继续按照上级要求做好相关工作。</w:t>
      </w:r>
    </w:p>
    <w:p w14:paraId="7509A89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0B772005">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2023年度部门整体支出绩效自评综合得分59.99分，评价结果为“差”。</w:t>
      </w:r>
    </w:p>
    <w:p w14:paraId="7BFCE91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555C346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过去的一年，全办上下不断开拓进取，埋头苦干，各项工作都取得了明显进步。但是，我们也清醒地看到工作中存在一些不足：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是对年轻干部的培养需要加强。我办现有年轻干部三名，均是本科以上学历，但目前都未深入单位业务工作，只负责单位日常工作。工作能力和潜力未能得到更好地锻炼和激发，对年轻干部的培养和发展存在不足，未能将年轻干部的工作规划和个人发展放在单位的重点工作中，单位业务工作的“传帮带”作用存在短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二是机构编制深挖不够。中央提出了“财政供养人员只减不增”的要求，考虑着力在“总量控制”上</w:t>
      </w:r>
      <w:r>
        <w:rPr>
          <w:rFonts w:hint="eastAsia" w:ascii="仿宋_GB2312" w:hAnsi="宋体" w:eastAsia="仿宋_GB2312"/>
          <w:bCs/>
          <w:sz w:val="32"/>
          <w:szCs w:val="32"/>
          <w:lang w:eastAsia="zh-CN"/>
        </w:rPr>
        <w:t>下功夫</w:t>
      </w:r>
      <w:r>
        <w:rPr>
          <w:rFonts w:hint="eastAsia" w:ascii="仿宋_GB2312" w:hAnsi="宋体" w:eastAsia="仿宋_GB2312"/>
          <w:bCs/>
          <w:sz w:val="32"/>
          <w:szCs w:val="32"/>
        </w:rPr>
        <w:t>，在“动态管理”上作文章。我办还需要继续加强对全县行政、事业编制进行周转管理，在上级已断了“水源”的情况下，使现有的编制资源存量流动起来。打破单位编制“终身制”，适时调控，按照“缺位补岗、优化配置”的要求，本着有利于县域经济发展的需求，适时有效盘活、走活编制这盘棋。</w:t>
      </w:r>
    </w:p>
    <w:p w14:paraId="0B51CE17">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408E7DA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2024年我办将继续认真贯彻党的二十大精神、第二、三次中央新疆工作座谈会精神、习近平总书记重要讲话重要理论精神，贯彻落实市委、县委的工作思路，贯彻落实县委对各项工作的部署要求，继续以机构改革工作为主线，紧紧围绕乌鲁木齐市及我县发展战略，突出党政机构改革、统筹推进事业单位机构改革，进一步加大机构编制监督检查力度，强化公共服务体系建设，推进机构编制创新，为乌鲁木齐县稳定发展提供体制机制保障。</w:t>
      </w:r>
    </w:p>
    <w:p w14:paraId="309049F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07E6029"/>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4850</Words>
  <Characters>5241</Characters>
  <Lines>2</Lines>
  <Paragraphs>1</Paragraphs>
  <TotalTime>8</TotalTime>
  <ScaleCrop>false</ScaleCrop>
  <LinksUpToDate>false</LinksUpToDate>
  <CharactersWithSpaces>5247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2025-01-10T04:43:27Z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