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县小渠子中学</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乌鲁木齐县小渠子中学单位无下属预算单位，下设 5 个处室，分别是：教务处、工会室、德育处，总务处、财务室。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乌鲁木齐县小渠子中学单位编制数 40 人，实有人数 81 人，其中：在职40 人,减少 0 人。退休 41 人，减少 2 人；离休 0 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根据职责，纳入乌鲁木齐县乌鲁木齐县小渠子中学单位2023年度部门决算编制范围的有1个机构。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乌鲁木齐县小渠子中学的主要职责：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（一）研究拟订宣传思想文化工作的方针、政策和事业发展总体规划，按照区委统一部署，协调宣传思想文化系统各部门之间的工作。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（二）贯彻执行国家、自治区和乌鲁木齐市有关教育工作的方针、政策和法律、法规；编制教育发展中长期规划和年度计划，并组织实施。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（三）指导和推进全市教育体制改革工作，科学规划教育布局，优化教育资源配置。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（四）管理全市的学前教育、基础教育、职业教育、特殊教育和民办教育。</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（五）组织实施并监督义务教育工作，推进义务教育均衡发展，促进教育公平。</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乌鲁木齐县小渠子中学单位根据部门职能及自治区和乌鲁木齐市有关教育工作的方针、政策和法律、法规；编制教育发展中长期规划和年度计划，并组织实施制定2023年工作计划，2023年度工作重点具体如下：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（1）加强党对教育工作的全面领导，推进制度建设，做到科学管理。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（2）加强师德师风建设，继续推进质量教育，着力培养富有创新精神的高素质人才。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（3）加强教学质量管理，在精细化管理中提升教学质量。</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我单位重大事项的决策遵循以下原则：</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（1）坚持依法决策。遵循国家法律法规、党内规章制度以及企业相关规定，保证决策内容和程序合法合规。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（2）坚持科学决策。以科学发展观为指导，运用科学方法，加强决策的前期调研论证和综合评估，有效防范决策风险，增强决策的科学性，避免决策失误。</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（3）坚持集体决策。根据职责、权限和议事规则，根据我单位乌鲁木齐县小渠子中学会议对“三重一大”事项进行集体讨论和表决，避免个人或少数人专断。</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（4）坚持民主决策。坚持民主集中制，充分发扬民主，发挥每个参与决策八员的作用，按照少数服从多数的原则做出决定。对涉及职工群众切身利益的重大事项，听取职工群众的意见和建议。</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年初根据单位职能及工作计划按照“量入为出、收支平衡”的原则，编制部门预算。基本支出预算由工资福利支出、商品和服务支出、对个人和家庭的补助支出三部分构成；项目支出预算按其支出性质归类为教育支出-普通教育，包括学前教育和小学教育。教育支出是指用于教育方面的支出，包括：教育的基本建设投资、教育的经常费用、国家的财政拨款等。我单位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乌鲁木齐县小渠子中学按实编制了人员经费，按定额编制了公用经费，按历年发生数编制项目支出。财政拨款年初预算安排数为1051.5万元，调整后预算数为1029.51万元（其中人员经费892.76万元，占比86.72%；公用经费7.76万元，占比0.75%；项目经费128.99万元，占比12.53%），实际支出为970.7万元，预算执行率为94.29%，预算资金来源为一般公共预算拨款及其他收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乌鲁木齐县小渠子中学单位收入预算1051.50万元，其中：一般公共预算934.51万元，占88.87%，比上年预算减少141.64 万元，下降13.16%，主要原因是去年有消防水池项目，今年未安排预算。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上级一般公共预算安排的转移支付资金25.76万元，占2.45%，比上年预算增加 25.76 万元，增长100.00%，主要原因是去年未安排预算。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政府性基金预算未安排。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上级政府性基金安排的转移支付资金未安排。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国有资本经营预算未安排。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上级国有资本经营预算安排的转移支付资金未安排。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财政拨款结转91.23 万元，占8.68%，比上年预算增加 91.23万元，增长100.00%，主要原因是2022年年初无该预算。</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基本支出803.23万元，占76.39%，比上年预算增加25.40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万元，增长3.27%，主要原因是教职工工资待遇在原有的基础上有所提高。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项目支出248.27万元，占23.61%，比上年预算减少50.05万元，下降 16.78%，主要原因是2023年未安排基建项目。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1051.5万元（基本支出803.23万元、项目支出248.27万元），调整数58.81万元（基本支出47.08万元、项目支出11.73万元），调整后预算数1029.52万元（基本支出900.53万元、项目支出128.99万元），预算调整率6.06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调整后预算数1029.51万元（基本支出900.52万元、项目支出128.99万元），预算执行970.7万元（基本支出853.44万元、项目支出117.26万元），预算执行率94.29%。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1.上年非财政拨款结余和专用结余为0万元。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2.年初结转和结余资金为91.23万元，年末结转和结余资金为58.81万元。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803.23万元（人员经费750.31万元，公用经费52.92万元），调整后预算数900.53万元（人员经费892.77万元，公用经费7.76万元），预算执行数853.44万元（人员经费845.68万元，公用经费7.76万元），基本支出预算执行率94.77%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首先，我们对支出进行了详细的分类和分析。在日常办公支出方面，我们严格控制各项费用，合理安排办公用品的采购和使用，避免了浪费。其次，我们加强了对支出的监督和管理。通过建立健全的支出管理制度，明确了各项支出的审批流程和责任人，有效地防止了资金的挪用和浪费。通过对各项支出的效果进行定期评估和分析，我们发现了一些问题并及时进行了调整，确保了支出的合理性和效益性。同时，我们也及时总结了支出管理的经验和教训，为今后的支出管理工作提供了有益的参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资金支出均按照财务管理和经费管理的各项规章制度执行，不存在违法违规行为，会计核算按照新的政府会计制度进行，政府的会计改革与会计预算绩效管理相辅相成相互推进，形成了会计管理的良性循环。我单位重视加强内控制度，重视内部管理制度建设及监督，加强财务管理、强化财务监督、增强法纪观念，遵守规章制度。对各项资金的管理、经费收支审批等均作了明确规定。各项经费支出实行限额把关，分管领导审批制度。我单位强化制度执行，切实做好全面落实各项管理制度要求，努力降低行政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2023年本单位年初安排预算项目19个248.27万元，年中追加预算项目4个11.08万元，调整后项目共23个257.36万元，执行数117.26万元，项目支出预算执行率45.56%。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8个项目未开展，具体如下：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（1）乌财科教【2021】102号谢家沟幼儿园保障机制：年初预算数0.12万元，全年预算数0.12万元，全年执行0万元，执行率0.00%。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（2）城乡义务教育保障机制经费-公用经费县级配套：年初预算数3.22万元，全年预算数3.22万元，全年执行0万元，执行率0.00%。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（3）监控运行维修护费及安全生产风险隐患排查、电子围栏、消防系统（2022）：年初预算数65万元，全年预算数65万元，全年执行0万元，执行率0.00%。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（4）房屋租赁项目：年初预算数2万元，全年预算数2万元，全年执行0万元，执行率0.00%。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（5）乡村和城乡学校少年宫项目运行县级配套：年初预算数2万元，全年预算数2万元，全年执行0万元，执行率0.00%。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（6）小渠子中学特色项目：年初预算数5万元，全年预算数5万元，全年执行0万元，执行率0.00%。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（7）乌财科教（2023）52号关于下达2023年城乡义务教育补助经费预算（第二批）（中央直达资金通知）-公用经费：年初预算数0万元，全年预算数2.93万元，全年执行0万元，执行率0.00%。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（8）乌财教科【2021】96号关于提前下达2022年城乡义务教育项目直达资金家庭经济困难学生生活补助：年初预算数2.11万元，全年预算数2.11万元，全年执行0万元，执行率0.00%。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（1）乌财教科【2021】96号关于提前下达2022年城乡义务教育项目直达资金公用经费：年初预算数5.76万元，全年预算数5.76万元，全年执行4.96万元，执行率86.11%。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（2）2023年城乡义务教育寄宿生生活补助：年初预算数5.1万元，全年预算数3.1万元，全年执行3万元，执行率96.77%。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（3）2023城乡义务教育直达资金-公用经费：年初预算数19.75万元，全年预算数19.75万元，全年执行0.43万元，执行率2.18%。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（4）教师培训经费：年初预算数5万元，全年预算数5万元，全年执行1.16万元，执行率23.2%。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（5）乌财教科【2021】96号关于提前下达2022年城乡义务教育项目直达资金校舍安全保障机制经费（消防水池）：年初预算数79.4万元，全年预算数79.4万元，全年执行79.4万元，执行率100%。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（6）乌财科教【2021】102号土圈幼儿园保障机制：年初预算数0.92万元，全年预算数0.92万元，全年执行0.17万元，执行率18.48%。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（7）2023年非寄宿生生活补助：年初预算数0.91万元，全年预算数0.91万元，全年执行0.59万元，执行率64.84%。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ab/>
        <w:t>（8）乌财科教【2021】102号小渠子幼儿园保障机制：年初预算数2.92万元，全年预算数2.92万元，全年执行1.82万元，执行率62.33%。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（9）小渠子中学及教学点电费、水费：年初预算数14万元，全年预算数14万元，全年执行4.74万元，执行率33.86%。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（10）学生伙食补助县级配套：年初预算数17万元，全年预算数17万元，全年执行4.3万元，执行率25.29%。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（11）学校及教学点变压器、零星维修及食堂改造项目（2022）：年初预算数17万元，全年预算数17万元，全年执行8.01万元，执行率47.12%。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（12）城乡义务教育保障机制经费-家庭经济困难学生生活补助县级配套：年初预算数1.06万元，全年预算数1.06万元，全年执行0.53万元，执行率50%。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3个非财政拨款项目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（13）城乡义务教育保障机制经费-公用经费：年初预算数0万元，全年预算数1.36万元，全年执行1.36万元，执行率100%。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（14）乡村和城乡学校少年宫项目运行费：年初预算数0万元，全年预算数1.19万元，全年执行1.19万元，执行率100%。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（15）课后托管服务费：年初预算数0万元，全年预算数5.6万元，全年执行5.6万元，执行率100%。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依据项目预算及《内控制度》，减少成本支出，由校委会审议研究通过相关经费支出，严格按照制度规定的标准执行，物品采购严格按照政府采购或者进行招投标程序进行采购组织项目开展，实施成本控制。</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（一）运行成本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运行成本-成本指标，部门预算整体执行率，预期指标值≥90%，根据乌鲁木齐县小渠子中学2022年决算报表设置了该项指标。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年中绩效运行监控时，部门整体预算执行率达到52.93%，已达到监控节点比率。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截至此次评价时间节点，财政拨款年初预算安排数为1051.5万元，调整后预算数为1029.51万元，实际支出为970.7万元，落实工作责任，强化预算单位的预算执行主体责任，细化监控主体、监控内容、核查方式等事项，形成按制度办事，用制度管人的良性机制。预算执行率为94.29%，偏差率4.77%。差原因是：各部门及时充分的使用预算资金，教职工工资福利及时发放，学生伙食品质时刻监督和提升，幼儿园教育教学整体环境不断改善。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该项工作为经常性工作，后期将按照“规范采购行为，提高资金效益，促进廉政建设”的目标要求，坚持规范运作的工作理念，不断拓宽采购渠道，规范采购行为。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（二）管理效率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管理效率-质量指标，公用经费使用合规率，预期指标值=100%，根据乌财科教下发的义务教育公用经费等文件设置了该项指标。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年中绩效运行监控时，公用经费使用合规率达到100%，远超过监控节点比率；原因我校严格按照财政部门下发的文件要求执行，公用经费使用合格率达到100%。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公用经费使用合规率达到100%，落实工作责任，强化预算单位的预算执行主体责任，细化监控主体、监控内容、核查方式等事项，形成按制度办事，用制度管人的良性机制。指标完成率100%，无偏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该项工作为经常性工作，后期将按照“规范采购行为，提高资金效益，促进廉政建设”的目标要求，坚持规范运作的工作理念，不断拓宽采购渠道，规范采购行为。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1.履职效能-数量指标，开设课程数量，预期指标值≥22个，根据小渠子中学教务处下发的学校课程表设置了该项指标。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年中绩效运行监控时，开设课程数量22个，远超过监控节点比率；原因我校严格按照县教育局下发的文件要求执行，达到100%。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截至此次评价时间节点，开设课程数量100%，落实工作责任，强化预算单位的预算执行主体责任，细化监控主体、监控内容、核查方式等事项，形成按制度办事，用制度管人的良性机制，指标完成率100%，无偏差。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该项工作为经常性工作，后期将按照“规范采购行为，提高资金效益，促进廉政建设”的目标要求，坚持规范运作的工作理念，不断拓宽采购渠道，规范采购行为。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2.履职效能-数量指标，在编教职工人数，预期指标值≥40人，根据小渠子中学教职工花名册设置了该项指标。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年中绩效运行监控时，在编教职工人数40人，远超过监控节点比率；原因我校在编教职工人数40人。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在编教职工人数40人，落实工作责任，强化预算单位的预算执行主体责任，细化监控主体、监控内容、核查方式等事项，形成按制度办事，用制度管人的良性机制，指标完成率100%，无偏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该项工作为经常性工作，后期将按照“规范采购行为，提高资金效益，促进廉政建设”的目标要求，坚持规范运作的工作理念，不断拓宽采购渠道，规范采购行为。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3.履职效能-质量指标，义务教育巩固率，预期指标值=100%，根据《乌鲁木齐县国民经济和社会发展第十四个五年规划和2023年远景目标纲要》设置该项指标。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年中绩效运行监控时，义务教育巩固率100%，远超过监控节点比率；达到100%，原因是我校严格按照《乌鲁木齐县国民经济和社会发展第十四个五年规划和2023年远景目标纲要》文件要求执行。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义务教育巩固率100%，落实工作责任，强化预算单位的预算执行主体责任，细化监控主体、监控内容、核查方式等事项，形成按制度办事，用制度管人的良性机制，指标完成率100%，无偏差。该项工作为经常性工作，后期将按照“规范采购行为，提高资金效益，促进廉政建设”的目标要求，坚持规范运作的工作理念，不断拓宽采购渠道，规范采购行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4.履职效能-质量指标，课程开齐开足率，预期指标值=100%，根据《中共中央国务院关于深化教育教学改革全面提高义务教育质量的意见》设置该项指标。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年中绩效运行监控时，课程开齐开足率100%，远超过监控节点比率；达到100%，原因是我校严格按照《中共中央国务院关于深化教育教学改革全面提高义务教育质量的意见》文件要求执行。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课程开齐开足率100%，落实工作责任，强化预算单位的预算执行主体责任，细化监控主体、监控内容、核查方式等事项，形成按制度办事，用制度管人的良性机制，指标完成率100%，无偏差。该项工作为经常性工作，后期将按照“规范采购行为，提高资金效益，促进廉政建设”的目标要求，坚持规范运作的工作理念，不断拓宽采购渠道，规范采购行为。</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023年度部门整体支出绩效自评综合得分99.43分，评价结果为“优秀”。</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根据部门整体绩效自评，发现乌鲁木齐县硫磺沟煤矿学校存在以下问题：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一是部门职能不明确，个别工作分工不清晰，且人员培训和绩效考核制度不够完善，考核方案部分内容和人员名单更新滞后；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二是预算编制科学性的问题。首先预算编制之合理性相对不足，主要表现在预算调整数较大，年度目标与长期规划衔接的紧密程度需要增强。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三是对于固定资产处理监管还存在一定缺失。</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是部门整体绩效指标应该是反映职责履行的核心指标，而不是反映具体工作内容或产出的指标。应根据部门“三定”方案确定的主要职能，参考事业发展规划的相关核心指标，综合考核要求等，确定部门履职绩效指标。</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r>
      <w:r>
        <w:rPr>
          <w:rFonts w:hint="eastAsia" w:ascii="仿宋_GB2312" w:hAnsi="宋体" w:eastAsia="仿宋_GB2312"/>
          <w:bCs/>
          <w:sz w:val="32"/>
          <w:szCs w:val="32"/>
        </w:rPr>
        <w:br w:type="textWrapping"/>
      </w:r>
      <w:r>
        <w:rPr>
          <w:rFonts w:hint="eastAsia" w:ascii="仿宋_GB2312" w:hAnsi="宋体" w:eastAsia="仿宋_GB2312"/>
          <w:bCs/>
          <w:sz w:val="32"/>
          <w:szCs w:val="32"/>
        </w:rPr>
        <w:t>二是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w:t>
      </w:r>
      <w:r>
        <w:rPr>
          <w:rFonts w:hint="eastAsia" w:ascii="仿宋_GB2312" w:hAnsi="宋体" w:eastAsia="仿宋_GB2312"/>
          <w:bCs/>
          <w:sz w:val="32"/>
          <w:szCs w:val="32"/>
        </w:rPr>
        <w:br w:type="textWrapping"/>
      </w:r>
      <w:r>
        <w:rPr>
          <w:rFonts w:hint="eastAsia" w:ascii="仿宋_GB2312" w:hAnsi="宋体" w:eastAsia="仿宋_GB2312"/>
          <w:bCs/>
          <w:sz w:val="32"/>
          <w:szCs w:val="32"/>
        </w:rPr>
        <w:t>三是重视部门整体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4E801470"/>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8</TotalTime>
  <ScaleCrop>false</ScaleCrop>
  <LinksUpToDate>false</LinksUpToDate>
  <CharactersWithSpaces>384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Administrator</cp:lastModifiedBy>
  <dcterms:modified xsi:type="dcterms:W3CDTF">2024-11-07T03:01:33Z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A8B1DA0B91294137835B3B9FF101305F_13</vt:lpwstr>
  </property>
</Properties>
</file>