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357F">
      <w:pPr>
        <w:keepNext w:val="0"/>
        <w:keepLines w:val="0"/>
        <w:pageBreakBefore w:val="0"/>
        <w:widowControl w:val="0"/>
        <w:tabs>
          <w:tab w:val="left" w:pos="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楷体简体" w:eastAsia="方正楷体简体"/>
          <w:sz w:val="44"/>
          <w:szCs w:val="44"/>
        </w:rPr>
      </w:pPr>
    </w:p>
    <w:p w14:paraId="483F36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乌鲁木齐县202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巩固拓展脱贫攻坚成果同乡村振兴有效衔接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年度计划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公示</w:t>
      </w:r>
    </w:p>
    <w:p w14:paraId="7A3A63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 </w:t>
      </w:r>
      <w:bookmarkStart w:id="0" w:name="_GoBack"/>
      <w:bookmarkEnd w:id="0"/>
    </w:p>
    <w:p w14:paraId="124D0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eastAsia="zh-TW"/>
        </w:rPr>
        <w:t>为贯彻落实习近平总书记在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巩固脱贫攻坚成果同乡村振兴有效衔接工作上的重要批示指示精神，扎实开展好乡村振兴工作，加强项目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监督管理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，提高中央衔接资金使用效益，确保资金规范安全高效使用。经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乌鲁木齐县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乡村振兴领导小组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、发改委、自然资源局、农业农村局、水务局、建设局、财政局、审计局、民宗局联合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审定，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巩固脱贫攻坚成果同乡村振兴有效衔接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年度计划36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个，其中产业发展项目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个，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乡村建设行动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个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，巩固三保障2个，其他1个，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总投资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16524.31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。现对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年巩固脱贫攻坚成果同乡村振兴有效衔接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项目年度计划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进行公示。</w:t>
      </w:r>
    </w:p>
    <w:p w14:paraId="5C3654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5A9FF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乌鲁木齐县202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年巩固拓展脱贫攻坚成果同乡村振兴有效衔接项目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计划库</w:t>
      </w:r>
    </w:p>
    <w:p w14:paraId="1E8B14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698A8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特此公示。</w:t>
      </w:r>
    </w:p>
    <w:p w14:paraId="65D3ED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  </w:t>
      </w:r>
    </w:p>
    <w:p w14:paraId="41FAC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right"/>
        <w:textAlignment w:val="auto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         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乌鲁木齐县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委员会农村工作领导小组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办公室</w:t>
      </w:r>
    </w:p>
    <w:p w14:paraId="338BE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center"/>
        <w:textAlignment w:val="auto"/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 xml:space="preserve">     202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2NmYjBjNWUxZGZhNDIzYmUyMDRhNDc2OGY0MWYifQ=="/>
  </w:docVars>
  <w:rsids>
    <w:rsidRoot w:val="00000000"/>
    <w:rsid w:val="08BE2B51"/>
    <w:rsid w:val="11715ADE"/>
    <w:rsid w:val="14387C89"/>
    <w:rsid w:val="198F4B35"/>
    <w:rsid w:val="1D425DD0"/>
    <w:rsid w:val="26F711F5"/>
    <w:rsid w:val="2D413304"/>
    <w:rsid w:val="31107FB0"/>
    <w:rsid w:val="38076D50"/>
    <w:rsid w:val="3AE068C2"/>
    <w:rsid w:val="3EF93E49"/>
    <w:rsid w:val="43632D32"/>
    <w:rsid w:val="44023A75"/>
    <w:rsid w:val="44D0517D"/>
    <w:rsid w:val="48392214"/>
    <w:rsid w:val="52AC7737"/>
    <w:rsid w:val="564B7AA5"/>
    <w:rsid w:val="5E2520D0"/>
    <w:rsid w:val="6E3C1C3C"/>
    <w:rsid w:val="78E14B82"/>
    <w:rsid w:val="7D3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369</Characters>
  <Lines>0</Lines>
  <Paragraphs>0</Paragraphs>
  <TotalTime>225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2021-12-10T04:07:00Z</dcterms:created>
  <dc:creator>Lenovo</dc:creator>
  <cp:lastModifiedBy>Arhen</cp:lastModifiedBy>
  <cp:lastPrinted>2022-11-19T12:43:00Z</cp:lastPrinted>
  <dcterms:modified xsi:type="dcterms:W3CDTF">2025-01-20T09:50:16Z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DB7FD589C32D4F2C8A1CD4AD108E5438_12</vt:lpwstr>
  </property>
  <property fmtid="{D5CDD505-2E9C-101B-9397-08002B2CF9AE}" pid="4" name="KSOTemplateDocerSaveRecord">
    <vt:lpwstr>eyJoZGlkIjoiYjBmZDUxZDQwNTk3YWM2ZmY4YmE4ZDEyYjMyMzc0MmEiLCJ1c2VySWQiOiI4NTc3MzI1NjQifQ==</vt:lpwstr>
  </property>
</Properties>
</file>