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A5E0D">
      <w:pPr>
        <w:spacing w:line="480" w:lineRule="auto"/>
        <w:ind w:firstLine="0" w:firstLineChars="0"/>
        <w:rPr>
          <w:rFonts w:hint="default" w:ascii="Times New Roman" w:hAnsi="Times New Roman" w:eastAsia="黑体" w:cs="Times New Roman"/>
          <w:b/>
          <w:color w:val="auto"/>
          <w:kern w:val="0"/>
          <w:sz w:val="50"/>
          <w:szCs w:val="50"/>
          <w:highlight w:val="none"/>
          <w:lang w:bidi="en-US"/>
        </w:rPr>
      </w:pPr>
    </w:p>
    <w:p w14:paraId="2318FC92">
      <w:pPr>
        <w:spacing w:line="480" w:lineRule="auto"/>
        <w:ind w:firstLine="0" w:firstLineChars="0"/>
        <w:rPr>
          <w:rFonts w:hint="default" w:ascii="Times New Roman" w:hAnsi="Times New Roman" w:eastAsia="黑体" w:cs="Times New Roman"/>
          <w:b/>
          <w:color w:val="auto"/>
          <w:kern w:val="0"/>
          <w:sz w:val="50"/>
          <w:szCs w:val="50"/>
          <w:highlight w:val="none"/>
          <w:lang w:bidi="en-US"/>
        </w:rPr>
      </w:pPr>
    </w:p>
    <w:p w14:paraId="44D307DA">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14:paraId="5E7D3D89">
      <w:pPr>
        <w:spacing w:before="120" w:after="120" w:line="480" w:lineRule="auto"/>
        <w:ind w:firstLine="0" w:firstLineChars="0"/>
        <w:jc w:val="center"/>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财政项目支出绩效评价报告</w:t>
      </w:r>
    </w:p>
    <w:p w14:paraId="0C64715F">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14:paraId="2C5EA04A">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14:paraId="0B813B48">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14:paraId="74BB7062">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14:paraId="5815C042">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14:paraId="6F85BC39">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14:paraId="77F27AAB">
      <w:pPr>
        <w:spacing w:line="480" w:lineRule="auto"/>
        <w:ind w:firstLine="0" w:firstLineChars="0"/>
        <w:jc w:val="center"/>
        <w:rPr>
          <w:rFonts w:hint="default" w:ascii="Times New Roman" w:hAnsi="Times New Roman" w:cs="Times New Roman"/>
          <w:color w:val="auto"/>
          <w:kern w:val="0"/>
          <w:sz w:val="30"/>
          <w:szCs w:val="30"/>
          <w:highlight w:val="none"/>
          <w:lang w:bidi="en-US"/>
        </w:rPr>
      </w:pPr>
    </w:p>
    <w:p w14:paraId="4A9A7C9E">
      <w:pPr>
        <w:spacing w:line="480" w:lineRule="auto"/>
        <w:ind w:firstLine="1411" w:firstLineChars="441"/>
        <w:jc w:val="left"/>
        <w:rPr>
          <w:rFonts w:hint="eastAsia"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项目名称：</w:t>
      </w:r>
      <w:r>
        <w:rPr>
          <w:rFonts w:hint="eastAsia" w:ascii="Times New Roman" w:hAnsi="Times New Roman" w:cs="Times New Roman"/>
          <w:color w:val="auto"/>
          <w:kern w:val="0"/>
          <w:sz w:val="32"/>
          <w:szCs w:val="32"/>
          <w:highlight w:val="none"/>
          <w:lang w:eastAsia="zh-CN" w:bidi="en-US"/>
        </w:rPr>
        <w:t>刘梅四季山庄度假村补偿赔偿费</w:t>
      </w:r>
    </w:p>
    <w:p w14:paraId="749F4F85">
      <w:pPr>
        <w:spacing w:line="480" w:lineRule="auto"/>
        <w:ind w:left="280" w:leftChars="100" w:firstLine="1091" w:firstLineChars="341"/>
        <w:jc w:val="left"/>
        <w:rPr>
          <w:rFonts w:hint="eastAsia" w:ascii="Times New Roman" w:hAnsi="Times New Roman" w:eastAsia="仿宋_GB2312" w:cs="Times New Roman"/>
          <w:color w:val="auto"/>
          <w:kern w:val="0"/>
          <w:sz w:val="32"/>
          <w:szCs w:val="32"/>
          <w:highlight w:val="none"/>
          <w:lang w:eastAsia="zh-CN" w:bidi="en-US"/>
        </w:rPr>
      </w:pPr>
      <w:r>
        <w:rPr>
          <w:rFonts w:hint="default" w:ascii="Times New Roman" w:hAnsi="Times New Roman" w:cs="Times New Roman"/>
          <w:color w:val="auto"/>
          <w:kern w:val="0"/>
          <w:sz w:val="32"/>
          <w:szCs w:val="32"/>
          <w:highlight w:val="none"/>
          <w:lang w:bidi="en-US"/>
        </w:rPr>
        <w:t>项目单位：</w:t>
      </w:r>
      <w:r>
        <w:rPr>
          <w:rFonts w:hint="eastAsia" w:ascii="Times New Roman" w:hAnsi="Times New Roman" w:cs="Times New Roman"/>
          <w:color w:val="auto"/>
          <w:kern w:val="0"/>
          <w:sz w:val="32"/>
          <w:szCs w:val="32"/>
          <w:highlight w:val="none"/>
          <w:lang w:eastAsia="zh-CN" w:bidi="en-US"/>
        </w:rPr>
        <w:t>乌鲁木齐县水西沟镇人民政府</w:t>
      </w:r>
    </w:p>
    <w:p w14:paraId="11160711">
      <w:pPr>
        <w:spacing w:line="480" w:lineRule="auto"/>
        <w:ind w:left="280" w:leftChars="100" w:firstLine="1091" w:firstLineChars="341"/>
        <w:jc w:val="left"/>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eastAsia="zh-CN" w:bidi="en-US"/>
        </w:rPr>
        <w:t>乌鲁木齐县水西沟镇人民政府</w:t>
      </w:r>
    </w:p>
    <w:p w14:paraId="61A02D4F">
      <w:pPr>
        <w:spacing w:line="480" w:lineRule="auto"/>
        <w:ind w:firstLine="1411" w:firstLineChars="441"/>
        <w:jc w:val="left"/>
        <w:rPr>
          <w:rFonts w:hint="default" w:ascii="Times New Roman" w:hAnsi="Times New Roman" w:cs="Times New Roman"/>
          <w:color w:val="auto"/>
          <w:kern w:val="0"/>
          <w:sz w:val="32"/>
          <w:szCs w:val="32"/>
          <w:highlight w:val="none"/>
          <w:lang w:bidi="en-US"/>
        </w:rPr>
      </w:pPr>
    </w:p>
    <w:p w14:paraId="68530F1C">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14:paraId="1002A3F6">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14:paraId="00AC7A6E">
      <w:pPr>
        <w:spacing w:line="480" w:lineRule="auto"/>
        <w:ind w:firstLine="0" w:firstLineChars="0"/>
        <w:jc w:val="center"/>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2023年04月</w:t>
      </w:r>
    </w:p>
    <w:p w14:paraId="5806C517">
      <w:pPr>
        <w:spacing w:line="480" w:lineRule="auto"/>
        <w:ind w:firstLine="0" w:firstLineChars="0"/>
        <w:jc w:val="center"/>
        <w:rPr>
          <w:rFonts w:hint="default" w:ascii="Times New Roman" w:hAnsi="Times New Roman" w:cs="Times New Roman"/>
          <w:color w:val="auto"/>
          <w:kern w:val="0"/>
          <w:sz w:val="32"/>
          <w:szCs w:val="32"/>
          <w:highlight w:val="none"/>
          <w:lang w:bidi="en-US"/>
        </w:rPr>
      </w:pPr>
    </w:p>
    <w:p w14:paraId="52653380">
      <w:pPr>
        <w:tabs>
          <w:tab w:val="left" w:pos="3324"/>
        </w:tabs>
        <w:spacing w:line="480" w:lineRule="auto"/>
        <w:ind w:firstLine="0" w:firstLineChars="0"/>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ab/>
      </w:r>
    </w:p>
    <w:p w14:paraId="4EFC1AE3">
      <w:pPr>
        <w:ind w:firstLine="640"/>
        <w:rPr>
          <w:rFonts w:hint="default" w:ascii="Times New Roman" w:hAnsi="Times New Roman" w:cs="Times New Roman"/>
          <w:color w:val="auto"/>
          <w:kern w:val="0"/>
          <w:sz w:val="32"/>
          <w:szCs w:val="32"/>
          <w:highlight w:val="none"/>
          <w:lang w:bidi="en-US"/>
        </w:rPr>
      </w:pPr>
    </w:p>
    <w:sdt>
      <w:sdtPr>
        <w:rPr>
          <w:rFonts w:hint="eastAsia" w:ascii="黑体" w:hAnsi="黑体" w:eastAsia="黑体" w:cs="黑体"/>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14:paraId="5557445A">
          <w:pPr>
            <w:pStyle w:val="30"/>
            <w:ind w:firstLine="560"/>
            <w:jc w:val="center"/>
            <w:rPr>
              <w:rFonts w:hint="eastAsia" w:ascii="黑体" w:hAnsi="黑体" w:eastAsia="黑体" w:cs="黑体"/>
              <w:color w:val="auto"/>
              <w:highlight w:val="none"/>
            </w:rPr>
          </w:pPr>
          <w:r>
            <w:rPr>
              <w:rFonts w:hint="eastAsia" w:ascii="黑体" w:hAnsi="黑体" w:eastAsia="黑体" w:cs="黑体"/>
              <w:color w:val="auto"/>
              <w:highlight w:val="none"/>
              <w:lang w:val="zh-CN"/>
            </w:rPr>
            <w:t>目录</w:t>
          </w:r>
        </w:p>
        <w:p w14:paraId="1888BC0A">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"_Toc100784583"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一、基本情况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69942E73">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"_Toc100784584"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（一）项目概况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279D3ADE">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"_Toc100784585"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（二）项目绩效目标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54F9BDE6">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"_Toc100784586"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二、绩效评价工作开展情况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641E419B">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"_Toc100784587"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（一）绩效评价目的、对象和范围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5FC0E964">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"_Toc100784588"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1.评价目的</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48BF230E">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"_Toc100784589"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2.评价对象和范围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2CEFF742">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"_Toc100784590"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（二）绩效评价原则、指标体系、方法及标准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1F4D925F">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"_Toc100784591"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1.评价原则</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01156B0A">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"_Toc100784592"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2.评价指标体系</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475444F0">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"_Toc100784593"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3.评价方法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22D5CC72">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"_Toc100784594"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4.评价标准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2E98B499">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"_Toc100784595"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（三）绩效评价工作过程</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57E11603">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"_Toc100784596"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三、综合评价情况及评价结论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39F8BE87">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"_Toc100784597"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（一）评价结论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254DEBB4">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"_Toc100784598"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（二）主要绩效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16EB31F6">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"_Toc100784599"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四、绩效评价指标分析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00B9FA33">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"_Toc100784600"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（一）项目决策情况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2AC8F693">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"_Toc100784601"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1.项目立项</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6E71E824">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"_Toc100784602"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2.绩效目标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5F9CE4CC">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"_Toc100784603"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3.资金投入</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35843784">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"_Toc100784604"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（二）项目过程情况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4FDEF3D0">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"_Toc100784605"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1.资金管理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76FC9750">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"_Toc100784606"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2.组织实施</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2635ABC1">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"_Toc100784607"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（三）项目产出情况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0B93D5FD">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"_Toc100784608"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1.产出数量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00CB36A3">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"_Toc100784609"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2.产出质量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270D264F">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"_Toc100784610"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3.产出时效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6EB0B888">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"_Toc100784611"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4.产出成本</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3DFB2C53">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"_Toc100784612"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（四）项目效益情况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0A7AE50F">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"_Toc100784613"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1.项目效益</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06A38AFC">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"_Toc100784614" </w:instrText>
          </w:r>
          <w:r>
            <w:rPr>
              <w:rFonts w:hint="default" w:ascii="Times New Roman" w:hAnsi="Times New Roman" w:cs="Times New Roman"/>
              <w:color w:val="auto"/>
              <w:highlight w:val="none"/>
            </w:rPr>
            <w:fldChar w:fldCharType="separate"/>
          </w:r>
          <w:r>
            <w:rPr>
              <w:rStyle w:val="19"/>
              <w:rFonts w:hint="default" w:ascii="Times New Roman" w:hAnsi="Times New Roman" w:cs="Times New Roman"/>
              <w:color w:val="auto"/>
              <w:highlight w:val="none"/>
            </w:rPr>
            <w:t>2. 满意度指标完成情况分析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40160FF0">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"_Toc100784615"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五、预算执行进度与绩效指标偏差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0FFAC77E">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"_Toc100784616"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六、主要经验及做法、存在的问题及原因分析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5B2ADCAA">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"_Toc100784617"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（一）主要经验及做法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168FCAF4">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"_Toc100784618"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（二）存在的问题及原因分析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1F9AE3FB">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"_Toc100784619"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七、其他需要说明的问题</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3ECFE29B">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"_Toc100784620" </w:instrText>
          </w:r>
          <w:r>
            <w:rPr>
              <w:rFonts w:hint="default" w:ascii="Times New Roman" w:hAnsi="Times New Roman" w:cs="Times New Roman"/>
              <w:color w:val="auto"/>
              <w:highlight w:val="none"/>
            </w:rPr>
            <w:fldChar w:fldCharType="separate"/>
          </w:r>
          <w:r>
            <w:rPr>
              <w:rStyle w:val="19"/>
              <w:rFonts w:hint="default" w:ascii="Times New Roman" w:hAnsi="Times New Roman" w:eastAsia="仿宋" w:cs="Times New Roman"/>
              <w:color w:val="auto"/>
              <w:highlight w:val="none"/>
              <w:lang w:bidi="en-US"/>
            </w:rPr>
            <w:t>八、有关建议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_Toc100784620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14:paraId="47721197">
          <w:pPr>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14:paraId="5B6A43F7">
      <w:pPr>
        <w:ind w:firstLine="598" w:firstLineChars="187"/>
        <w:rPr>
          <w:rFonts w:hint="default"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14:paraId="392794A0">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0" w:name="_Toc67911601"/>
      <w:bookmarkStart w:id="1" w:name="_Toc100784583"/>
      <w:r>
        <w:rPr>
          <w:rFonts w:hint="default" w:ascii="Times New Roman" w:hAnsi="Times New Roman" w:eastAsia="仿宋" w:cs="Times New Roman"/>
          <w:color w:val="auto"/>
          <w:sz w:val="36"/>
          <w:szCs w:val="36"/>
          <w:highlight w:val="none"/>
          <w:lang w:bidi="en-US"/>
        </w:rPr>
        <w:t>一、基本情况</w:t>
      </w:r>
      <w:bookmarkEnd w:id="0"/>
      <w:bookmarkEnd w:id="1"/>
    </w:p>
    <w:p w14:paraId="7F8BBE88">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 w:name="_Toc67911602"/>
      <w:bookmarkStart w:id="3" w:name="_Toc100784584"/>
      <w:r>
        <w:rPr>
          <w:rFonts w:hint="default" w:ascii="Times New Roman" w:hAnsi="Times New Roman" w:eastAsia="仿宋" w:cs="Times New Roman"/>
          <w:color w:val="auto"/>
          <w:sz w:val="32"/>
          <w:szCs w:val="32"/>
          <w:highlight w:val="none"/>
          <w:lang w:val="en-US" w:eastAsia="zh-CN" w:bidi="en-US"/>
        </w:rPr>
        <w:t>（一）项目概况</w:t>
      </w:r>
      <w:bookmarkEnd w:id="2"/>
      <w:bookmarkEnd w:id="3"/>
    </w:p>
    <w:p w14:paraId="784C92B9">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根据《</w:t>
      </w:r>
      <w:r>
        <w:rPr>
          <w:rFonts w:hint="default" w:ascii="Times New Roman" w:hAnsi="Times New Roman" w:cs="Times New Roman"/>
          <w:color w:val="auto"/>
          <w:szCs w:val="28"/>
          <w:highlight w:val="none"/>
          <w:lang w:eastAsia="zh-CN"/>
        </w:rPr>
        <w:t>关于申请解决水西沟镇四季山庄评估补偿相关费用的请示</w:t>
      </w:r>
      <w:r>
        <w:rPr>
          <w:rFonts w:hint="default" w:ascii="Times New Roman" w:hAnsi="Times New Roman" w:cs="Times New Roman"/>
          <w:color w:val="auto"/>
          <w:szCs w:val="28"/>
          <w:highlight w:val="none"/>
        </w:rPr>
        <w:t>》</w:t>
      </w:r>
      <w:r>
        <w:rPr>
          <w:rFonts w:hint="default" w:ascii="Times New Roman" w:hAnsi="Times New Roman" w:cs="Times New Roman"/>
          <w:color w:val="auto"/>
          <w:szCs w:val="28"/>
          <w:highlight w:val="none"/>
          <w:lang w:eastAsia="zh-CN"/>
        </w:rPr>
        <w:t>（水镇党发【</w:t>
      </w:r>
      <w:r>
        <w:rPr>
          <w:rFonts w:hint="default" w:ascii="Times New Roman" w:hAnsi="Times New Roman" w:cs="Times New Roman"/>
          <w:color w:val="auto"/>
          <w:szCs w:val="28"/>
          <w:highlight w:val="none"/>
          <w:lang w:val="en-US" w:eastAsia="zh-CN"/>
        </w:rPr>
        <w:t>2021</w:t>
      </w:r>
      <w:r>
        <w:rPr>
          <w:rFonts w:hint="default"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lang w:val="en-US" w:eastAsia="zh-CN"/>
        </w:rPr>
        <w:t>14号</w:t>
      </w:r>
      <w:r>
        <w:rPr>
          <w:rFonts w:hint="default" w:ascii="Times New Roman" w:hAnsi="Times New Roman" w:cs="Times New Roman"/>
          <w:color w:val="auto"/>
          <w:szCs w:val="28"/>
          <w:highlight w:val="none"/>
          <w:lang w:eastAsia="zh-CN"/>
        </w:rPr>
        <w:t>）、县信访工作联席会议纪要（</w:t>
      </w:r>
      <w:r>
        <w:rPr>
          <w:rFonts w:hint="default" w:ascii="Times New Roman" w:hAnsi="Times New Roman" w:cs="Times New Roman"/>
          <w:color w:val="auto"/>
          <w:szCs w:val="28"/>
          <w:highlight w:val="none"/>
          <w:lang w:val="en-US" w:eastAsia="zh-CN"/>
        </w:rPr>
        <w:t>2021年5月8日印发</w:t>
      </w:r>
      <w:r>
        <w:rPr>
          <w:rFonts w:hint="default"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w:t>
      </w:r>
      <w:r>
        <w:rPr>
          <w:rFonts w:hint="default" w:ascii="Times New Roman" w:hAnsi="Times New Roman" w:cs="Times New Roman"/>
          <w:color w:val="auto"/>
          <w:szCs w:val="28"/>
          <w:highlight w:val="none"/>
          <w:lang w:eastAsia="zh-CN"/>
        </w:rPr>
        <w:t>水西沟镇刘梅四季山庄项目自</w:t>
      </w:r>
      <w:r>
        <w:rPr>
          <w:rFonts w:hint="default" w:ascii="Times New Roman" w:hAnsi="Times New Roman" w:cs="Times New Roman"/>
          <w:color w:val="auto"/>
          <w:szCs w:val="28"/>
          <w:highlight w:val="none"/>
          <w:lang w:val="en-US" w:eastAsia="zh-CN"/>
        </w:rPr>
        <w:t>2021年立项，2020年初，四季山庄度假村被认定为占用天山大峡谷国家森林公园（管理服务区），不符合土地利用规划，需要拆除，四季、山庄为1995年乌鲁木齐县通过招商引资建立的项目。经县委、县政府研究决定，将四季山庄位于闸滩村野鹿滩景区及庙尔沟景区旗杆沟口建筑评估补偿后进行拆除。</w:t>
      </w:r>
    </w:p>
    <w:p w14:paraId="4B4F1AB3">
      <w:pPr>
        <w:spacing w:line="360" w:lineRule="auto"/>
        <w:ind w:firstLine="560"/>
        <w:rPr>
          <w:rFonts w:hint="eastAsia" w:ascii="Times New Roman" w:hAnsi="Times New Roman" w:eastAsia="仿宋_GB2312" w:cs="Times New Roman"/>
          <w:color w:val="auto"/>
          <w:highlight w:val="none"/>
          <w:lang w:val="en-US" w:eastAsia="zh-CN"/>
        </w:rPr>
      </w:pPr>
      <w:r>
        <w:rPr>
          <w:rFonts w:hint="default" w:ascii="Times New Roman" w:hAnsi="Times New Roman" w:cs="Times New Roman"/>
          <w:color w:val="auto"/>
          <w:szCs w:val="28"/>
          <w:highlight w:val="none"/>
        </w:rPr>
        <w:t>经</w:t>
      </w:r>
      <w:r>
        <w:rPr>
          <w:rFonts w:hint="default" w:ascii="Times New Roman" w:hAnsi="Times New Roman" w:cs="Times New Roman"/>
          <w:color w:val="auto"/>
          <w:szCs w:val="28"/>
          <w:highlight w:val="none"/>
          <w:lang w:eastAsia="zh-CN"/>
        </w:rPr>
        <w:t>县信访工作联席会议纪要（</w:t>
      </w:r>
      <w:r>
        <w:rPr>
          <w:rFonts w:hint="default" w:ascii="Times New Roman" w:hAnsi="Times New Roman" w:cs="Times New Roman"/>
          <w:color w:val="auto"/>
          <w:szCs w:val="28"/>
          <w:highlight w:val="none"/>
          <w:lang w:val="en-US" w:eastAsia="zh-CN"/>
        </w:rPr>
        <w:t>2021年5月8日印发</w:t>
      </w:r>
      <w:r>
        <w:rPr>
          <w:rFonts w:hint="default"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文件批准，</w:t>
      </w:r>
      <w:r>
        <w:rPr>
          <w:rFonts w:hint="default" w:ascii="Times New Roman" w:hAnsi="Times New Roman" w:cs="Times New Roman"/>
          <w:color w:val="auto"/>
          <w:szCs w:val="28"/>
          <w:highlight w:val="none"/>
          <w:lang w:eastAsia="zh-CN"/>
        </w:rPr>
        <w:t>根据新疆维吾尔自治区乌鲁木齐市水磨沟区人民法院行政调解书【（</w:t>
      </w:r>
      <w:r>
        <w:rPr>
          <w:rFonts w:hint="default" w:ascii="Times New Roman" w:hAnsi="Times New Roman" w:cs="Times New Roman"/>
          <w:color w:val="auto"/>
          <w:szCs w:val="28"/>
          <w:highlight w:val="none"/>
          <w:lang w:val="en-US" w:eastAsia="zh-CN"/>
        </w:rPr>
        <w:t>2021</w:t>
      </w:r>
      <w:r>
        <w:rPr>
          <w:rFonts w:hint="default" w:ascii="Times New Roman" w:hAnsi="Times New Roman" w:cs="Times New Roman"/>
          <w:color w:val="auto"/>
          <w:szCs w:val="28"/>
          <w:highlight w:val="none"/>
          <w:lang w:eastAsia="zh-CN"/>
        </w:rPr>
        <w:t>）新</w:t>
      </w:r>
      <w:r>
        <w:rPr>
          <w:rFonts w:hint="default" w:ascii="Times New Roman" w:hAnsi="Times New Roman" w:cs="Times New Roman"/>
          <w:color w:val="auto"/>
          <w:szCs w:val="28"/>
          <w:highlight w:val="none"/>
          <w:lang w:val="en-US" w:eastAsia="zh-CN"/>
        </w:rPr>
        <w:t>0105行初163号</w:t>
      </w:r>
      <w:r>
        <w:rPr>
          <w:rFonts w:hint="default"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本项目属于经常性项目，</w:t>
      </w:r>
      <w:r>
        <w:rPr>
          <w:rFonts w:hint="default" w:ascii="Times New Roman" w:hAnsi="Times New Roman" w:cs="Times New Roman"/>
          <w:color w:val="auto"/>
          <w:szCs w:val="28"/>
          <w:highlight w:val="none"/>
          <w:lang w:val="en-US" w:eastAsia="zh-CN"/>
        </w:rPr>
        <w:t>2022</w:t>
      </w:r>
      <w:r>
        <w:rPr>
          <w:rFonts w:hint="default" w:ascii="Times New Roman" w:hAnsi="Times New Roman" w:cs="Times New Roman"/>
          <w:color w:val="auto"/>
          <w:szCs w:val="28"/>
          <w:highlight w:val="none"/>
        </w:rPr>
        <w:t>年县财政预算资金</w:t>
      </w:r>
      <w:r>
        <w:rPr>
          <w:rFonts w:hint="eastAsia" w:ascii="Times New Roman" w:hAnsi="Times New Roman" w:cs="Times New Roman"/>
          <w:color w:val="auto"/>
          <w:szCs w:val="28"/>
          <w:highlight w:val="none"/>
          <w:lang w:val="en-US" w:eastAsia="zh-CN"/>
        </w:rPr>
        <w:t>150</w:t>
      </w:r>
      <w:r>
        <w:rPr>
          <w:rFonts w:hint="default" w:ascii="Times New Roman" w:hAnsi="Times New Roman" w:cs="Times New Roman"/>
          <w:color w:val="auto"/>
          <w:szCs w:val="28"/>
          <w:highlight w:val="none"/>
        </w:rPr>
        <w:t>万元，起止时间自</w:t>
      </w:r>
      <w:r>
        <w:rPr>
          <w:rFonts w:hint="default" w:ascii="Times New Roman" w:hAnsi="Times New Roman" w:cs="Times New Roman"/>
          <w:color w:val="auto"/>
          <w:szCs w:val="28"/>
          <w:highlight w:val="none"/>
          <w:lang w:val="en-US" w:eastAsia="zh-CN"/>
        </w:rPr>
        <w:t>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年</w:t>
      </w:r>
      <w:r>
        <w:rPr>
          <w:rFonts w:hint="default" w:ascii="Times New Roman" w:hAnsi="Times New Roman" w:cs="Times New Roman"/>
          <w:color w:val="auto"/>
          <w:szCs w:val="28"/>
          <w:highlight w:val="none"/>
          <w:lang w:val="en-US" w:eastAsia="zh-CN"/>
        </w:rPr>
        <w:t>1</w:t>
      </w:r>
      <w:r>
        <w:rPr>
          <w:rFonts w:hint="default" w:ascii="Times New Roman" w:hAnsi="Times New Roman" w:cs="Times New Roman"/>
          <w:color w:val="auto"/>
          <w:szCs w:val="28"/>
          <w:highlight w:val="none"/>
        </w:rPr>
        <w:t>月至</w:t>
      </w:r>
      <w:r>
        <w:rPr>
          <w:rFonts w:hint="default" w:ascii="Times New Roman" w:hAnsi="Times New Roman" w:cs="Times New Roman"/>
          <w:color w:val="auto"/>
          <w:szCs w:val="28"/>
          <w:highlight w:val="none"/>
          <w:lang w:val="en-US" w:eastAsia="zh-CN"/>
        </w:rPr>
        <w:t>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年</w:t>
      </w:r>
      <w:r>
        <w:rPr>
          <w:rFonts w:hint="default" w:ascii="Times New Roman" w:hAnsi="Times New Roman" w:cs="Times New Roman"/>
          <w:color w:val="auto"/>
          <w:szCs w:val="28"/>
          <w:highlight w:val="none"/>
          <w:lang w:val="en-US" w:eastAsia="zh-CN"/>
        </w:rPr>
        <w:t>12</w:t>
      </w:r>
      <w:r>
        <w:rPr>
          <w:rFonts w:hint="default" w:ascii="Times New Roman" w:hAnsi="Times New Roman" w:cs="Times New Roman"/>
          <w:color w:val="auto"/>
          <w:szCs w:val="28"/>
          <w:highlight w:val="none"/>
        </w:rPr>
        <w:t>月。项目预计总投入资金</w:t>
      </w:r>
      <w:r>
        <w:rPr>
          <w:rFonts w:hint="eastAsia" w:ascii="Times New Roman" w:hAnsi="Times New Roman" w:cs="Times New Roman"/>
          <w:color w:val="auto"/>
          <w:szCs w:val="28"/>
          <w:highlight w:val="none"/>
          <w:lang w:val="en-US" w:eastAsia="zh-CN"/>
        </w:rPr>
        <w:t>150</w:t>
      </w:r>
      <w:r>
        <w:rPr>
          <w:rFonts w:hint="default" w:ascii="Times New Roman" w:hAnsi="Times New Roman" w:cs="Times New Roman"/>
          <w:color w:val="auto"/>
          <w:szCs w:val="28"/>
          <w:highlight w:val="none"/>
        </w:rPr>
        <w:t>万元，为财政拨款资金，</w:t>
      </w:r>
      <w:r>
        <w:rPr>
          <w:rFonts w:hint="eastAsia" w:ascii="Times New Roman" w:hAnsi="Times New Roman" w:cs="Times New Roman"/>
          <w:color w:val="auto"/>
          <w:szCs w:val="28"/>
          <w:highlight w:val="none"/>
        </w:rPr>
        <w:t>该项目</w:t>
      </w:r>
      <w:r>
        <w:rPr>
          <w:rFonts w:hint="eastAsia" w:ascii="仿宋_GB2312" w:hAnsi="仿宋_GB2312" w:cs="仿宋_GB2312"/>
          <w:color w:val="auto"/>
          <w:szCs w:val="28"/>
          <w:highlight w:val="none"/>
        </w:rPr>
        <w:t>实际到位资金</w:t>
      </w:r>
      <w:r>
        <w:rPr>
          <w:rFonts w:hint="eastAsia" w:ascii="Times New Roman" w:hAnsi="Times New Roman" w:cs="Times New Roman"/>
          <w:color w:val="auto"/>
          <w:szCs w:val="28"/>
          <w:highlight w:val="none"/>
          <w:lang w:val="en-US" w:eastAsia="zh-CN"/>
        </w:rPr>
        <w:t>150</w:t>
      </w:r>
      <w:r>
        <w:rPr>
          <w:rFonts w:hint="eastAsia" w:ascii="Times New Roman" w:hAnsi="Times New Roman" w:cs="Times New Roman"/>
          <w:color w:val="auto"/>
          <w:szCs w:val="28"/>
          <w:highlight w:val="none"/>
        </w:rPr>
        <w:t>万元</w:t>
      </w:r>
      <w:r>
        <w:rPr>
          <w:rFonts w:hint="eastAsia" w:ascii="仿宋_GB2312" w:hAnsi="仿宋_GB2312" w:cs="仿宋_GB2312"/>
          <w:color w:val="auto"/>
          <w:szCs w:val="28"/>
          <w:highlight w:val="none"/>
        </w:rPr>
        <w:t>，实际使用资金</w:t>
      </w:r>
      <w:r>
        <w:rPr>
          <w:rFonts w:hint="eastAsia" w:ascii="Times New Roman" w:hAnsi="Times New Roman" w:cs="Times New Roman"/>
          <w:color w:val="auto"/>
          <w:szCs w:val="28"/>
          <w:highlight w:val="none"/>
          <w:lang w:val="en-US" w:eastAsia="zh-CN"/>
        </w:rPr>
        <w:t>150</w:t>
      </w:r>
      <w:r>
        <w:rPr>
          <w:rFonts w:hint="eastAsia" w:ascii="Times New Roman" w:hAnsi="Times New Roman" w:cs="Times New Roman"/>
          <w:color w:val="auto"/>
          <w:szCs w:val="28"/>
          <w:highlight w:val="none"/>
        </w:rPr>
        <w:t>万元</w:t>
      </w:r>
      <w:r>
        <w:rPr>
          <w:rFonts w:hint="eastAsia" w:ascii="仿宋_GB2312" w:hAnsi="仿宋_GB2312" w:cs="仿宋_GB2312"/>
          <w:color w:val="auto"/>
          <w:szCs w:val="28"/>
          <w:highlight w:val="none"/>
        </w:rPr>
        <w:t>,</w:t>
      </w:r>
      <w:r>
        <w:rPr>
          <w:rFonts w:hint="eastAsia" w:ascii="仿宋_GB2312" w:hAnsi="仿宋_GB2312" w:cs="仿宋_GB2312"/>
          <w:color w:val="auto"/>
          <w:highlight w:val="none"/>
        </w:rPr>
        <w:t xml:space="preserve"> </w:t>
      </w:r>
      <w:r>
        <w:rPr>
          <w:rFonts w:hint="default" w:ascii="Times New Roman" w:hAnsi="Times New Roman" w:cs="Times New Roman"/>
          <w:color w:val="auto"/>
          <w:szCs w:val="28"/>
          <w:highlight w:val="none"/>
        </w:rPr>
        <w:t>结余</w:t>
      </w:r>
      <w:r>
        <w:rPr>
          <w:rFonts w:hint="default" w:ascii="Times New Roman" w:hAnsi="Times New Roman" w:cs="Times New Roman"/>
          <w:color w:val="auto"/>
          <w:szCs w:val="28"/>
          <w:highlight w:val="none"/>
          <w:lang w:val="en-US" w:eastAsia="zh-CN"/>
        </w:rPr>
        <w:t>0</w:t>
      </w:r>
      <w:r>
        <w:rPr>
          <w:rFonts w:hint="default" w:ascii="Times New Roman" w:hAnsi="Times New Roman" w:cs="Times New Roman"/>
          <w:color w:val="auto"/>
          <w:szCs w:val="28"/>
          <w:highlight w:val="none"/>
        </w:rPr>
        <w:t>万元，预算执行率为</w:t>
      </w:r>
      <w:r>
        <w:rPr>
          <w:rFonts w:hint="default"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 xml:space="preserve"> %</w:t>
      </w:r>
      <w:r>
        <w:rPr>
          <w:rFonts w:hint="eastAsia" w:ascii="Times New Roman" w:hAnsi="Times New Roman" w:cs="Times New Roman"/>
          <w:color w:val="auto"/>
          <w:szCs w:val="28"/>
          <w:highlight w:val="none"/>
          <w:lang w:eastAsia="zh-CN"/>
        </w:rPr>
        <w:t>，</w:t>
      </w:r>
      <w:r>
        <w:rPr>
          <w:rFonts w:hint="eastAsia" w:ascii="仿宋_GB2312" w:hAnsi="仿宋_GB2312" w:cs="仿宋_GB2312"/>
          <w:color w:val="auto"/>
          <w:szCs w:val="28"/>
          <w:highlight w:val="none"/>
        </w:rPr>
        <w:t>年中未经过项目资金调增、调减等情况。</w:t>
      </w:r>
    </w:p>
    <w:p w14:paraId="2BF3AEF3">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4" w:name="_Toc100784585"/>
      <w:bookmarkStart w:id="5" w:name="_Toc67911603"/>
      <w:r>
        <w:rPr>
          <w:rFonts w:hint="default" w:ascii="Times New Roman" w:hAnsi="Times New Roman" w:eastAsia="仿宋" w:cs="Times New Roman"/>
          <w:color w:val="auto"/>
          <w:sz w:val="32"/>
          <w:szCs w:val="32"/>
          <w:highlight w:val="none"/>
          <w:lang w:val="en-US" w:eastAsia="zh-CN" w:bidi="en-US"/>
        </w:rPr>
        <w:t>（二）项目绩效目标</w:t>
      </w:r>
      <w:bookmarkEnd w:id="4"/>
      <w:bookmarkEnd w:id="5"/>
    </w:p>
    <w:p w14:paraId="28F74131">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color w:val="auto"/>
          <w:szCs w:val="28"/>
          <w:highlight w:val="none"/>
        </w:rPr>
        <w:t>〔2018〕56号</w:t>
      </w:r>
      <w:bookmarkEnd w:id="6"/>
      <w:r>
        <w:rPr>
          <w:rFonts w:hint="default"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152C9E58">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szCs w:val="28"/>
          <w:highlight w:val="none"/>
        </w:rPr>
        <w:t>该项目绩效目标设置横跨项目期三年，为总体绩效目标，预计在三年</w:t>
      </w:r>
      <w:r>
        <w:rPr>
          <w:rFonts w:hint="eastAsia" w:ascii="Times New Roman" w:hAnsi="Times New Roman" w:cs="Times New Roman"/>
          <w:color w:val="auto"/>
          <w:szCs w:val="28"/>
          <w:highlight w:val="none"/>
          <w:lang w:eastAsia="zh-CN"/>
        </w:rPr>
        <w:t>对四季山庄的法人刘梅进行</w:t>
      </w:r>
      <w:r>
        <w:rPr>
          <w:rFonts w:hint="eastAsia" w:ascii="Times New Roman" w:hAnsi="Times New Roman" w:cs="Times New Roman"/>
          <w:color w:val="auto"/>
          <w:szCs w:val="28"/>
          <w:highlight w:val="none"/>
          <w:lang w:val="en-US" w:eastAsia="zh-CN"/>
        </w:rPr>
        <w:t>567.48万元的赔偿</w:t>
      </w:r>
      <w:r>
        <w:rPr>
          <w:rFonts w:hint="default" w:ascii="Times New Roman" w:hAnsi="Times New Roman" w:cs="Times New Roman"/>
          <w:color w:val="auto"/>
          <w:szCs w:val="28"/>
          <w:highlight w:val="none"/>
        </w:rPr>
        <w:t>，计划于2021年</w:t>
      </w:r>
      <w:r>
        <w:rPr>
          <w:rFonts w:hint="eastAsia" w:ascii="Times New Roman" w:hAnsi="Times New Roman" w:cs="Times New Roman"/>
          <w:color w:val="auto"/>
          <w:szCs w:val="28"/>
          <w:highlight w:val="none"/>
          <w:lang w:val="en-US" w:eastAsia="zh-CN"/>
        </w:rPr>
        <w:t>12</w:t>
      </w:r>
      <w:r>
        <w:rPr>
          <w:rFonts w:hint="default" w:ascii="Times New Roman" w:hAnsi="Times New Roman" w:cs="Times New Roman"/>
          <w:color w:val="auto"/>
          <w:szCs w:val="28"/>
          <w:highlight w:val="none"/>
        </w:rPr>
        <w:t>月30日前支付150万元，202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年12月30日前支付150万元，202</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年</w:t>
      </w:r>
      <w:r>
        <w:rPr>
          <w:rFonts w:hint="eastAsia" w:ascii="Times New Roman" w:hAnsi="Times New Roman" w:cs="Times New Roman"/>
          <w:color w:val="auto"/>
          <w:szCs w:val="28"/>
          <w:highlight w:val="none"/>
          <w:lang w:val="en-US" w:eastAsia="zh-CN"/>
        </w:rPr>
        <w:t>1</w:t>
      </w:r>
      <w:r>
        <w:rPr>
          <w:rFonts w:hint="default" w:ascii="Times New Roman" w:hAnsi="Times New Roman" w:cs="Times New Roman"/>
          <w:color w:val="auto"/>
          <w:szCs w:val="28"/>
          <w:highlight w:val="none"/>
        </w:rPr>
        <w:t>月30日前支付100万元，202</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年</w:t>
      </w:r>
      <w:r>
        <w:rPr>
          <w:rFonts w:hint="eastAsia" w:ascii="Times New Roman" w:hAnsi="Times New Roman" w:cs="Times New Roman"/>
          <w:color w:val="auto"/>
          <w:szCs w:val="28"/>
          <w:highlight w:val="none"/>
          <w:lang w:val="en-US" w:eastAsia="zh-CN"/>
        </w:rPr>
        <w:t>6</w:t>
      </w:r>
      <w:r>
        <w:rPr>
          <w:rFonts w:hint="default" w:ascii="Times New Roman" w:hAnsi="Times New Roman" w:cs="Times New Roman"/>
          <w:color w:val="auto"/>
          <w:szCs w:val="28"/>
          <w:highlight w:val="none"/>
        </w:rPr>
        <w:t>月30日前支付80万元，2023年</w:t>
      </w:r>
      <w:r>
        <w:rPr>
          <w:rFonts w:hint="eastAsia" w:ascii="Times New Roman" w:hAnsi="Times New Roman" w:cs="Times New Roman"/>
          <w:color w:val="auto"/>
          <w:szCs w:val="28"/>
          <w:highlight w:val="none"/>
          <w:lang w:val="en-US" w:eastAsia="zh-CN"/>
        </w:rPr>
        <w:t>12</w:t>
      </w:r>
      <w:r>
        <w:rPr>
          <w:rFonts w:hint="default" w:ascii="Times New Roman" w:hAnsi="Times New Roman" w:cs="Times New Roman"/>
          <w:color w:val="auto"/>
          <w:szCs w:val="28"/>
          <w:highlight w:val="none"/>
        </w:rPr>
        <w:t>月30日前支付87.48万元</w:t>
      </w:r>
      <w:r>
        <w:rPr>
          <w:rFonts w:hint="eastAsia" w:ascii="Times New Roman" w:hAnsi="Times New Roman" w:cs="Times New Roman"/>
          <w:color w:val="auto"/>
          <w:szCs w:val="28"/>
          <w:highlight w:val="none"/>
          <w:lang w:eastAsia="zh-CN"/>
        </w:rPr>
        <w:t>。</w:t>
      </w:r>
      <w:bookmarkStart w:id="7" w:name="_Toc67911604"/>
      <w:bookmarkStart w:id="8" w:name="_Toc100784586"/>
    </w:p>
    <w:p w14:paraId="50A3ED23">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二、绩效评价工作开展情况</w:t>
      </w:r>
      <w:bookmarkEnd w:id="7"/>
      <w:bookmarkEnd w:id="8"/>
    </w:p>
    <w:p w14:paraId="11E0BDB0">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color w:val="auto"/>
          <w:sz w:val="32"/>
          <w:szCs w:val="32"/>
          <w:highlight w:val="none"/>
          <w:lang w:val="en-US" w:eastAsia="zh-CN" w:bidi="en-US"/>
        </w:rPr>
        <w:t>（一）绩效评价目的、对象和范围</w:t>
      </w:r>
      <w:bookmarkEnd w:id="9"/>
      <w:bookmarkEnd w:id="10"/>
    </w:p>
    <w:p w14:paraId="4B81B553">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1" w:name="_Toc100784588"/>
      <w:r>
        <w:rPr>
          <w:rFonts w:hint="default" w:ascii="Times New Roman" w:hAnsi="Times New Roman" w:eastAsia="仿宋" w:cs="Times New Roman"/>
          <w:color w:val="auto"/>
          <w:sz w:val="32"/>
          <w:szCs w:val="32"/>
          <w:highlight w:val="none"/>
          <w:lang w:bidi="en-US"/>
        </w:rPr>
        <w:t>1.评价目的</w:t>
      </w:r>
      <w:bookmarkEnd w:id="11"/>
    </w:p>
    <w:p w14:paraId="204072DF">
      <w:pPr>
        <w:spacing w:line="360" w:lineRule="auto"/>
        <w:ind w:firstLine="560"/>
        <w:rPr>
          <w:rFonts w:hint="default" w:ascii="Times New Roman" w:hAnsi="Times New Roman" w:cs="Times New Roman"/>
          <w:b/>
          <w:bCs/>
          <w:color w:val="auto"/>
          <w:highlight w:val="none"/>
        </w:rPr>
      </w:pPr>
      <w:r>
        <w:rPr>
          <w:rFonts w:hint="default"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77948CEA">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2" w:name="_Toc100784589"/>
      <w:r>
        <w:rPr>
          <w:rFonts w:hint="default" w:ascii="Times New Roman" w:hAnsi="Times New Roman" w:eastAsia="仿宋" w:cs="Times New Roman"/>
          <w:color w:val="auto"/>
          <w:sz w:val="32"/>
          <w:szCs w:val="32"/>
          <w:highlight w:val="none"/>
          <w:lang w:bidi="en-US"/>
        </w:rPr>
        <w:t>2.评价对象和范围</w:t>
      </w:r>
      <w:bookmarkEnd w:id="12"/>
    </w:p>
    <w:p w14:paraId="66FCB0AE">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（1）绩效评价的对象：</w:t>
      </w:r>
      <w:r>
        <w:rPr>
          <w:rFonts w:hint="eastAsia" w:ascii="Times New Roman" w:hAnsi="Times New Roman" w:cs="Times New Roman"/>
          <w:color w:val="auto"/>
          <w:highlight w:val="none"/>
          <w:lang w:eastAsia="zh-CN"/>
        </w:rPr>
        <w:t>刘梅四季山庄度假村补偿赔偿费</w:t>
      </w:r>
      <w:r>
        <w:rPr>
          <w:rFonts w:hint="default" w:ascii="Times New Roman" w:hAnsi="Times New Roman" w:cs="Times New Roman"/>
          <w:color w:val="auto"/>
          <w:highlight w:val="none"/>
        </w:rPr>
        <w:t xml:space="preserve">项目 </w:t>
      </w:r>
    </w:p>
    <w:p w14:paraId="151ED0C5">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（2）绩效评价范围：</w:t>
      </w:r>
    </w:p>
    <w:p w14:paraId="013FAE0B">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1.项目范围：</w:t>
      </w:r>
      <w:r>
        <w:rPr>
          <w:rFonts w:hint="eastAsia" w:ascii="Times New Roman" w:hAnsi="Times New Roman" w:cs="Times New Roman"/>
          <w:color w:val="auto"/>
          <w:highlight w:val="none"/>
          <w:lang w:eastAsia="zh-CN"/>
        </w:rPr>
        <w:t>刘梅四季山庄度假村补偿赔偿费</w:t>
      </w:r>
      <w:r>
        <w:rPr>
          <w:rFonts w:hint="default" w:ascii="Times New Roman" w:hAnsi="Times New Roman" w:cs="Times New Roman"/>
          <w:color w:val="auto"/>
          <w:highlight w:val="none"/>
        </w:rPr>
        <w:t>项目的完成情况、资金投入的运行情况、项目实施后产生的绩效及影响效果。</w:t>
      </w:r>
    </w:p>
    <w:p w14:paraId="240897AC">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2.时间范围：2022年1月1日至2022年12月31日。</w:t>
      </w:r>
    </w:p>
    <w:p w14:paraId="6959B307">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13" w:name="_Toc67911606"/>
      <w:bookmarkStart w:id="14" w:name="_Toc100784590"/>
      <w:bookmarkStart w:id="15" w:name="_Hlk67586765"/>
      <w:r>
        <w:rPr>
          <w:rFonts w:hint="default" w:ascii="Times New Roman" w:hAnsi="Times New Roman" w:eastAsia="仿宋" w:cs="Times New Roman"/>
          <w:color w:val="auto"/>
          <w:sz w:val="32"/>
          <w:szCs w:val="32"/>
          <w:highlight w:val="none"/>
          <w:lang w:val="en-US" w:eastAsia="zh-CN" w:bidi="en-US"/>
        </w:rPr>
        <w:t>（二）绩效评价原则、指标体系、方法及标准</w:t>
      </w:r>
      <w:bookmarkEnd w:id="13"/>
      <w:bookmarkEnd w:id="14"/>
    </w:p>
    <w:bookmarkEnd w:id="15"/>
    <w:p w14:paraId="003B61FB">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6" w:name="_Toc100784591"/>
      <w:r>
        <w:rPr>
          <w:rFonts w:hint="default" w:ascii="Times New Roman" w:hAnsi="Times New Roman" w:eastAsia="仿宋" w:cs="Times New Roman"/>
          <w:color w:val="auto"/>
          <w:sz w:val="32"/>
          <w:szCs w:val="32"/>
          <w:highlight w:val="none"/>
          <w:lang w:bidi="en-US"/>
        </w:rPr>
        <w:t>1.评价原则</w:t>
      </w:r>
      <w:bookmarkEnd w:id="16"/>
    </w:p>
    <w:p w14:paraId="41A4E3FA">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（1）科学规范原则：绩效评价应当严格执行规定的程序，按照科学可行的要求，采用定量与定性分析相结合的方法。</w:t>
      </w:r>
    </w:p>
    <w:p w14:paraId="702C85B4">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（2）公正公开原则：绩效评价应当符合真实、客观、公正的要求，依法公开并接受监督。</w:t>
      </w:r>
    </w:p>
    <w:p w14:paraId="657F0DC6">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（3）分级分类原则：根据评价对象特点分类组织实施。</w:t>
      </w:r>
    </w:p>
    <w:p w14:paraId="3A803E92">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（4）绩效相关原则：绩效评价应当针对具体支出及其产出绩效进行，评价结果应当清晰反映支出和产出绩效之间的紧密对应关系。</w:t>
      </w:r>
    </w:p>
    <w:p w14:paraId="6AACB5D8">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根据以上原则，绩效评价应遵循如下要求：</w:t>
      </w:r>
    </w:p>
    <w:p w14:paraId="696D41AF">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（1）在数据收集时，采取客观数据，并结合问卷调查结果，以保证各项指标的真实性。</w:t>
      </w:r>
    </w:p>
    <w:p w14:paraId="35D9F0A6">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（2）保证评价结果的真实性、公正性，提高评价报告的公信力。</w:t>
      </w:r>
    </w:p>
    <w:p w14:paraId="436BFF0B">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（3）绩效评价报告应当简明扼要，除了对绩效评价的过程、结果描述外，还应总结经验，指出问题，并就项目实施过程中所存在的问题提出可操作性改进建议。</w:t>
      </w:r>
    </w:p>
    <w:p w14:paraId="4F769342">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7" w:name="_Toc100784592"/>
      <w:r>
        <w:rPr>
          <w:rFonts w:hint="default" w:ascii="Times New Roman" w:hAnsi="Times New Roman" w:eastAsia="仿宋" w:cs="Times New Roman"/>
          <w:color w:val="auto"/>
          <w:sz w:val="32"/>
          <w:szCs w:val="32"/>
          <w:highlight w:val="none"/>
          <w:lang w:bidi="en-US"/>
        </w:rPr>
        <w:t>2.评价指标体系</w:t>
      </w:r>
      <w:bookmarkEnd w:id="17"/>
    </w:p>
    <w:p w14:paraId="1DFBCE60">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绩效评价指标体系作为衡量绩效目标实现程度的考核工具，一般遵循以下原则：</w:t>
      </w:r>
    </w:p>
    <w:p w14:paraId="46FA268E">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14:paraId="0DF923ED">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14:paraId="5DAB9A90">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14:paraId="3FEA3DDB">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14:paraId="51854FE9">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14:paraId="243D6685">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本项目的评价指标体系建立如附件所示。</w:t>
      </w:r>
    </w:p>
    <w:p w14:paraId="3606605A">
      <w:pPr>
        <w:spacing w:line="360" w:lineRule="auto"/>
        <w:ind w:firstLine="560"/>
        <w:rPr>
          <w:rFonts w:hint="default" w:ascii="Times New Roman" w:hAnsi="Times New Roman" w:cs="Times New Roman"/>
          <w:color w:val="auto"/>
          <w:highlight w:val="none"/>
        </w:rPr>
      </w:pPr>
    </w:p>
    <w:p w14:paraId="6AF55DB2">
      <w:pPr>
        <w:tabs>
          <w:tab w:val="left" w:pos="621"/>
        </w:tabs>
        <w:bidi w:val="0"/>
        <w:ind w:left="0" w:leftChars="0" w:firstLine="0" w:firstLineChars="0"/>
        <w:jc w:val="left"/>
        <w:rPr>
          <w:rFonts w:hint="default"/>
          <w:color w:val="auto"/>
          <w:highlight w:val="none"/>
          <w:lang w:val="en-US" w:eastAsia="zh-C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23909B21">
      <w:pPr>
        <w:spacing w:line="360" w:lineRule="auto"/>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57D73D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10F1B658">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14:paraId="4EE20E54">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14:paraId="2676EC75">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14:paraId="05DAF642">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14:paraId="6666B1E6">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指标说明</w:t>
            </w:r>
          </w:p>
        </w:tc>
      </w:tr>
      <w:tr w14:paraId="7E704C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686ADB4F">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14:paraId="31F81BFC">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14:paraId="1D9D5883">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立项依据</w:t>
            </w:r>
          </w:p>
          <w:p w14:paraId="49B8A37B">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14:paraId="4901F2F8">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64ECB983">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①项目立项是否符合国家法律法规、国民经济发展规划和相关政策；</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②项目立项是否符合行业发展规划和政策要求；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③项目立项是否与部门职责范围相符，属于部门履职所需；</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④项目是否属于公共财政支持范围，是否符合中央、地方事权支出责任划分原则；</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⑤项目是否与相关部门同类项目或部门内部相关项目重复。</w:t>
            </w:r>
          </w:p>
        </w:tc>
      </w:tr>
      <w:tr w14:paraId="08CCC0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4C6ECF95">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14:paraId="7769EE54">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14:paraId="22B63B94">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立项程序</w:t>
            </w:r>
          </w:p>
          <w:p w14:paraId="7C2FD96F">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14:paraId="3FEE1BA1">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14:paraId="69D2A571">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①项目是否按照规定的程序申请设立；</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②审批文件、材料是否符合相关要求；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③事前是否已经过必要的可行性研究、专家论证、风险评估、绩效评估、集体决策。</w:t>
            </w:r>
          </w:p>
        </w:tc>
      </w:tr>
      <w:tr w14:paraId="13EA6B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51CED266">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14:paraId="11065890">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14:paraId="260F8F21">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p w14:paraId="21ADF5F8">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14:paraId="4A7E7B8F">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144F7918">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（如未设定预算绩效目标，也可考核其他工作任务目标）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①项目是否有绩效目标；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②项目绩效目标与实际工作内容是否具有相关性；</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③项目预期产出效益和效果是否符合正常的业绩水平；</w:t>
            </w:r>
          </w:p>
          <w:p w14:paraId="4AAAEFB8">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④是否与预算确定的项目投资额或资金量相匹配。</w:t>
            </w:r>
          </w:p>
        </w:tc>
      </w:tr>
      <w:tr w14:paraId="3BD72B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7CD39308">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14:paraId="01961BFF">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14:paraId="0EA71BC6">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绩效指标</w:t>
            </w:r>
          </w:p>
          <w:p w14:paraId="0950F434">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14:paraId="72BEE163">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13D1EF1C">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①是否将项目绩效目标细化分解为具体的绩效指标；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②是否通过清晰、可衡量的指标值予以体现；</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③是否与项目目标任务数或计划数相对应。</w:t>
            </w:r>
            <w:r>
              <w:rPr>
                <w:rFonts w:hint="default" w:ascii="Times New Roman" w:hAnsi="Times New Roman" w:eastAsia="宋体" w:cs="Times New Roman"/>
                <w:color w:val="auto"/>
                <w:kern w:val="0"/>
                <w:sz w:val="22"/>
                <w:highlight w:val="none"/>
              </w:rPr>
              <w:br w:type="textWrapping"/>
            </w:r>
          </w:p>
        </w:tc>
      </w:tr>
      <w:tr w14:paraId="6F694B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43E1EB31">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14:paraId="553EE0D5">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14:paraId="209D9228">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预算编制</w:t>
            </w:r>
          </w:p>
          <w:p w14:paraId="047082EB">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14:paraId="08E57CBF">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2364F8AE">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①预算编制是否经过科学论证；</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②预算内容与项目内容是否匹配；</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③预算额度测算依据是否充分，是否按照标准编制；</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④预算确定的项目投资额或资金量是否与工作任务相匹配。</w:t>
            </w:r>
          </w:p>
        </w:tc>
      </w:tr>
      <w:tr w14:paraId="60801C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4E06C4BD">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14:paraId="3CEFD844">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14:paraId="57367481">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资金分配</w:t>
            </w:r>
          </w:p>
          <w:p w14:paraId="73031592">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14:paraId="02FB0E8A">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79F7CB81">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①预算资金分配依据是否充分；</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②资金分配额度是否合理，与项目单位或地方实际是否相适应。</w:t>
            </w:r>
          </w:p>
        </w:tc>
      </w:tr>
      <w:tr w14:paraId="6654A2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363B1817">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14:paraId="5B092E00">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14:paraId="5C79BA44">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14:paraId="65886338">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2B5A728E">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资金到位率=（实际到位资金/预算资金）×100%。</w:t>
            </w:r>
          </w:p>
          <w:p w14:paraId="42C639D1">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实际到位资金：一定时期（本年度或项目期）内落实到具体项目的资金。</w:t>
            </w:r>
          </w:p>
          <w:p w14:paraId="4DF9B6AE">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预算资金：一定时期（本年度或项目期）内预算安排到具体项目的资金。</w:t>
            </w:r>
          </w:p>
        </w:tc>
      </w:tr>
      <w:tr w14:paraId="064B07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691462FA">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14:paraId="572C0F5A">
            <w:pPr>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14:paraId="0460633C">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14:paraId="5BC73CA3">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14:paraId="13B67EB1">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预算执行率=（实际支出资金/实际到位资金）×100%。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实际支出资金：一定时期（本年度或项目期）内项目实际拨付的资金。</w:t>
            </w:r>
          </w:p>
        </w:tc>
      </w:tr>
      <w:tr w14:paraId="6F6484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15A5FAED">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14:paraId="2DAD2D93">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14:paraId="6A30607C">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资金使用</w:t>
            </w:r>
          </w:p>
          <w:p w14:paraId="60C53E0E">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14:paraId="2291A344">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35F9F798">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①是否符合国家财经法规和财务管理制度以及有关专项资金管理办法的规定；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②资金的拨付是否有完整的审批程序和手续；</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③是否符合项目预算批复或合同规定的用途；</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④是否存在截留、挤占、挪用、虚列支出等情况。</w:t>
            </w:r>
          </w:p>
        </w:tc>
      </w:tr>
      <w:tr w14:paraId="3616DA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09E6A178">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14:paraId="75DE0CB4">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14:paraId="58FFB8C5">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管理制度</w:t>
            </w:r>
          </w:p>
          <w:p w14:paraId="4C422BB1">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14:paraId="7C29442B">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03A6A7D9">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①是否已制定或具有相应的财务和业务管理制度；</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②财务和业务管理制度是否合法、合规、完整。</w:t>
            </w:r>
          </w:p>
        </w:tc>
      </w:tr>
      <w:tr w14:paraId="5875D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7CC1FE7A">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14:paraId="5F295C98">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14:paraId="228F23F4">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制度执行</w:t>
            </w:r>
          </w:p>
          <w:p w14:paraId="774491D9">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14:paraId="11E873F2">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1D67BBF1">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①是否遵守相关法律法规和相关管理规定；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②项目调整及支出调整手续是否完备；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③项目合同书、验收报告、技术鉴定等资料是否齐全并及时归档；</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④项目实施的人员条件、场地设备、信息支撑等是否落实到位。</w:t>
            </w:r>
          </w:p>
        </w:tc>
      </w:tr>
      <w:tr w14:paraId="370B7F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tcBorders>
              <w:tl2br w:val="nil"/>
              <w:tr2bl w:val="nil"/>
            </w:tcBorders>
            <w:shd w:val="clear" w:color="auto" w:fill="FFFFFF"/>
            <w:vAlign w:val="center"/>
          </w:tcPr>
          <w:p w14:paraId="609FFD5C">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14:paraId="139914BD">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vAlign w:val="center"/>
          </w:tcPr>
          <w:p w14:paraId="12B30337">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补偿次数</w:t>
            </w:r>
          </w:p>
        </w:tc>
        <w:tc>
          <w:tcPr>
            <w:tcW w:w="2789" w:type="dxa"/>
            <w:tcBorders>
              <w:tl2br w:val="nil"/>
              <w:tr2bl w:val="nil"/>
            </w:tcBorders>
            <w:shd w:val="clear" w:color="000000" w:fill="FFFFFF"/>
            <w:vAlign w:val="center"/>
          </w:tcPr>
          <w:p w14:paraId="750158F4">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5E624FFE">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实际完成率=（实际产出数/计划产出数）×100%。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14:paraId="7F88A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053B5D60">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14:paraId="54D057F0">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14:paraId="657D5688">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信访工作解决率</w:t>
            </w:r>
          </w:p>
        </w:tc>
        <w:tc>
          <w:tcPr>
            <w:tcW w:w="2789" w:type="dxa"/>
            <w:tcBorders>
              <w:tl2br w:val="nil"/>
              <w:tr2bl w:val="nil"/>
            </w:tcBorders>
            <w:shd w:val="clear" w:color="000000" w:fill="FFFFFF"/>
            <w:vAlign w:val="center"/>
          </w:tcPr>
          <w:p w14:paraId="7C8E907E">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679DE95A">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14:paraId="31830F7A">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FAA78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5258E01E">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14:paraId="596DD47E">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产出时效</w:t>
            </w:r>
          </w:p>
        </w:tc>
        <w:tc>
          <w:tcPr>
            <w:tcW w:w="1411" w:type="dxa"/>
            <w:tcBorders>
              <w:tl2br w:val="nil"/>
              <w:tr2bl w:val="nil"/>
            </w:tcBorders>
            <w:shd w:val="clear" w:color="auto" w:fill="FFFFFF"/>
            <w:vAlign w:val="center"/>
          </w:tcPr>
          <w:p w14:paraId="5D8ABA45">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补偿款支付及时率</w:t>
            </w:r>
          </w:p>
        </w:tc>
        <w:tc>
          <w:tcPr>
            <w:tcW w:w="2789" w:type="dxa"/>
            <w:tcBorders>
              <w:tl2br w:val="nil"/>
              <w:tr2bl w:val="nil"/>
            </w:tcBorders>
            <w:shd w:val="clear" w:color="000000" w:fill="FFFFFF"/>
            <w:vAlign w:val="center"/>
          </w:tcPr>
          <w:p w14:paraId="1380F5AA">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5B952CB8">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实际完成时间：项目实施单位完成该项目实际所耗用的时间。</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计划完成时间：按照项目实施计划或相关规定完成该项目所需的时间。</w:t>
            </w:r>
          </w:p>
        </w:tc>
      </w:tr>
      <w:tr w14:paraId="7DB6FF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14:paraId="590BAC00">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14:paraId="2E1C5D80">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14:paraId="446CCDAB">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第一次补偿金额</w:t>
            </w:r>
          </w:p>
        </w:tc>
        <w:tc>
          <w:tcPr>
            <w:tcW w:w="2789" w:type="dxa"/>
            <w:tcBorders>
              <w:tl2br w:val="nil"/>
              <w:tr2bl w:val="nil"/>
            </w:tcBorders>
            <w:shd w:val="clear" w:color="000000" w:fill="FFFFFF"/>
            <w:vAlign w:val="center"/>
          </w:tcPr>
          <w:p w14:paraId="5CEA29D5">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5BA75A92">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成本节约率=[（计划成本-实际成本）/计划成本]×100%。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实际成本：项目实施单位如期、保质、保量完成既定工作目标实际所耗费的支出。</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计划成本：项目实施单位为完成工作目标计划安排的支出，一般以项目预算为参考。</w:t>
            </w:r>
          </w:p>
        </w:tc>
      </w:tr>
      <w:tr w14:paraId="442B68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14:paraId="066C5A0D">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14:paraId="2942AF52">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14:paraId="6994AB32">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提高基层信访工作质量</w:t>
            </w:r>
          </w:p>
        </w:tc>
        <w:tc>
          <w:tcPr>
            <w:tcW w:w="2789" w:type="dxa"/>
            <w:vMerge w:val="restart"/>
            <w:tcBorders>
              <w:tl2br w:val="nil"/>
              <w:tr2bl w:val="nil"/>
            </w:tcBorders>
            <w:shd w:val="clear" w:color="auto" w:fill="FFFFFF"/>
            <w:vAlign w:val="center"/>
          </w:tcPr>
          <w:p w14:paraId="2D9F83C0">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14:paraId="093599E8">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14:paraId="6C7FAF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14:paraId="307E4DA7">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14:paraId="02EADC42">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可持续影响指标</w:t>
            </w:r>
          </w:p>
        </w:tc>
        <w:tc>
          <w:tcPr>
            <w:tcW w:w="1411" w:type="dxa"/>
            <w:tcBorders>
              <w:tl2br w:val="nil"/>
              <w:tr2bl w:val="nil"/>
            </w:tcBorders>
            <w:shd w:val="clear" w:color="auto" w:fill="FFFFFF"/>
            <w:vAlign w:val="center"/>
          </w:tcPr>
          <w:p w14:paraId="045637A5">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保障人民群众利益，信访工作正常开展</w:t>
            </w:r>
          </w:p>
        </w:tc>
        <w:tc>
          <w:tcPr>
            <w:tcW w:w="2789" w:type="dxa"/>
            <w:vMerge w:val="continue"/>
            <w:tcBorders>
              <w:tl2br w:val="nil"/>
              <w:tr2bl w:val="nil"/>
            </w:tcBorders>
            <w:shd w:val="clear" w:color="000000" w:fill="FFFFFF"/>
            <w:vAlign w:val="center"/>
          </w:tcPr>
          <w:p w14:paraId="45D87F13">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14:paraId="4E9193B2">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r w14:paraId="249982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3E47F449">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满意度指标完成情况分析</w:t>
            </w:r>
          </w:p>
        </w:tc>
        <w:tc>
          <w:tcPr>
            <w:tcW w:w="1199" w:type="dxa"/>
            <w:tcBorders>
              <w:tl2br w:val="nil"/>
              <w:tr2bl w:val="nil"/>
            </w:tcBorders>
            <w:shd w:val="clear" w:color="auto" w:fill="FFFFFF"/>
            <w:vAlign w:val="center"/>
          </w:tcPr>
          <w:p w14:paraId="06E6FF29">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w:t>
            </w:r>
          </w:p>
        </w:tc>
        <w:tc>
          <w:tcPr>
            <w:tcW w:w="1411" w:type="dxa"/>
            <w:tcBorders>
              <w:tl2br w:val="nil"/>
              <w:tr2bl w:val="nil"/>
            </w:tcBorders>
            <w:shd w:val="clear" w:color="auto" w:fill="FFFFFF"/>
            <w:vAlign w:val="center"/>
          </w:tcPr>
          <w:p w14:paraId="595E0F61">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受益人员满意度</w:t>
            </w:r>
          </w:p>
        </w:tc>
        <w:tc>
          <w:tcPr>
            <w:tcW w:w="2789" w:type="dxa"/>
            <w:tcBorders>
              <w:tl2br w:val="nil"/>
              <w:tr2bl w:val="nil"/>
            </w:tcBorders>
            <w:shd w:val="clear" w:color="000000" w:fill="FFFFFF"/>
            <w:vAlign w:val="center"/>
          </w:tcPr>
          <w:p w14:paraId="0DF75FBD">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14:paraId="5D7E168A">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14:paraId="59FDB52C">
      <w:pPr>
        <w:ind w:firstLine="0" w:firstLineChars="0"/>
        <w:jc w:val="center"/>
        <w:rPr>
          <w:rFonts w:hint="default" w:ascii="Times New Roman" w:hAnsi="Times New Roman" w:cs="Times New Roman"/>
          <w:color w:val="auto"/>
          <w:highlight w:val="none"/>
        </w:rPr>
      </w:pPr>
    </w:p>
    <w:p w14:paraId="53D1778E">
      <w:pPr>
        <w:ind w:firstLine="0" w:firstLineChars="0"/>
        <w:jc w:val="center"/>
        <w:rPr>
          <w:rFonts w:hint="default" w:ascii="Times New Roman" w:hAnsi="Times New Roman" w:cs="Times New Roman"/>
          <w:color w:val="auto"/>
          <w:highlight w:val="none"/>
        </w:rPr>
      </w:pPr>
    </w:p>
    <w:p w14:paraId="13606F3F">
      <w:pPr>
        <w:ind w:firstLine="0" w:firstLineChars="0"/>
        <w:jc w:val="center"/>
        <w:rPr>
          <w:rFonts w:hint="default" w:ascii="Times New Roman" w:hAnsi="Times New Roman" w:cs="Times New Roman"/>
          <w:color w:val="auto"/>
          <w:highlight w:val="none"/>
        </w:rPr>
      </w:pPr>
    </w:p>
    <w:p w14:paraId="0E4FB6CB">
      <w:pPr>
        <w:ind w:firstLine="0" w:firstLineChars="0"/>
        <w:jc w:val="center"/>
        <w:rPr>
          <w:rFonts w:hint="default"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01E517F7">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8" w:name="_Toc100784593"/>
      <w:bookmarkStart w:id="19" w:name="_Hlk67586038"/>
      <w:r>
        <w:rPr>
          <w:rFonts w:hint="default" w:ascii="Times New Roman" w:hAnsi="Times New Roman" w:eastAsia="仿宋" w:cs="Times New Roman"/>
          <w:color w:val="auto"/>
          <w:sz w:val="32"/>
          <w:szCs w:val="32"/>
          <w:highlight w:val="none"/>
          <w:lang w:bidi="en-US"/>
        </w:rPr>
        <w:t>3.评价方法</w:t>
      </w:r>
      <w:bookmarkEnd w:id="18"/>
    </w:p>
    <w:bookmarkEnd w:id="19"/>
    <w:p w14:paraId="5E4D6B5D">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14:paraId="3A9B23B6">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（1）成本效益分析法。是指将投入与产出、效益进行关联性分析的方法。</w:t>
      </w:r>
    </w:p>
    <w:p w14:paraId="65B9AE2C">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（2）比较法。是指将实施情况与绩效目标、历史情况、不同部门和地区同类支出情况进行比较的方法。</w:t>
      </w:r>
    </w:p>
    <w:p w14:paraId="316EDEE5">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（3）因素分析法。是指综合分析影响绩效目标实现、实施效果的内外部因素的方法。</w:t>
      </w:r>
    </w:p>
    <w:p w14:paraId="0F1A0F52">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（4）最低成本法。是指在绩效目标确定的前提下，成本最小者为优的方法。</w:t>
      </w:r>
    </w:p>
    <w:p w14:paraId="5F5808EA">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（5）公众评判法。是指通过专家评估、公众问卷及抽样调查等方式进行评判的方法。</w:t>
      </w:r>
    </w:p>
    <w:p w14:paraId="63E064AB">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（6）标杆管理法。是指以国内外同行业中较高的绩效水平为标杆进行评判的方法。</w:t>
      </w:r>
    </w:p>
    <w:p w14:paraId="10A5C6A2">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（7）其他评价方法。</w:t>
      </w:r>
    </w:p>
    <w:p w14:paraId="29C2C690">
      <w:pPr>
        <w:spacing w:line="360" w:lineRule="auto"/>
        <w:ind w:firstLine="548" w:firstLineChars="196"/>
        <w:rPr>
          <w:rFonts w:hint="default" w:ascii="Times New Roman" w:hAnsi="Times New Roman" w:cs="Times New Roman"/>
          <w:color w:val="auto"/>
          <w:highlight w:val="none"/>
        </w:rPr>
      </w:pPr>
      <w:r>
        <w:rPr>
          <w:rFonts w:hint="default" w:ascii="Times New Roman" w:hAnsi="Times New Roman" w:cs="Times New Roman"/>
          <w:color w:val="auto"/>
          <w:highlight w:val="none"/>
        </w:rPr>
        <w:t>根据</w:t>
      </w:r>
      <w:r>
        <w:rPr>
          <w:rFonts w:hint="eastAsia" w:ascii="Times New Roman" w:hAnsi="Times New Roman" w:cs="Times New Roman"/>
          <w:color w:val="auto"/>
          <w:highlight w:val="none"/>
          <w:lang w:eastAsia="zh-CN"/>
        </w:rPr>
        <w:t>刘梅四季山庄度假村补偿赔偿费</w:t>
      </w:r>
      <w:r>
        <w:rPr>
          <w:rFonts w:hint="default" w:ascii="Times New Roman" w:hAnsi="Times New Roman" w:cs="Times New Roman"/>
          <w:color w:val="auto"/>
          <w:highlight w:val="none"/>
        </w:rPr>
        <w:t>项目的特点，本次评价主要采用比较法</w:t>
      </w:r>
      <w:r>
        <w:rPr>
          <w:rFonts w:hint="eastAsia" w:ascii="Times New Roman" w:hAnsi="Times New Roman" w:cs="Times New Roman"/>
          <w:color w:val="auto"/>
          <w:highlight w:val="none"/>
          <w:lang w:eastAsia="zh-CN"/>
        </w:rPr>
        <w:t>，根据《</w:t>
      </w:r>
      <w:r>
        <w:rPr>
          <w:rFonts w:hint="default" w:ascii="Times New Roman" w:hAnsi="Times New Roman" w:cs="Times New Roman"/>
          <w:color w:val="auto"/>
          <w:szCs w:val="28"/>
          <w:highlight w:val="none"/>
          <w:lang w:eastAsia="zh-CN"/>
        </w:rPr>
        <w:t>新疆维吾尔自治区乌鲁木齐市水磨沟区人民法院行政调解书</w:t>
      </w:r>
      <w:r>
        <w:rPr>
          <w:rFonts w:hint="eastAsia" w:ascii="Times New Roman" w:hAnsi="Times New Roman" w:cs="Times New Roman"/>
          <w:color w:val="auto"/>
          <w:highlight w:val="none"/>
          <w:lang w:eastAsia="zh-CN"/>
        </w:rPr>
        <w:t>》</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default" w:ascii="Times New Roman" w:hAnsi="Times New Roman" w:cs="Times New Roman"/>
          <w:color w:val="auto"/>
          <w:szCs w:val="28"/>
          <w:highlight w:val="none"/>
          <w:lang w:eastAsia="zh-CN"/>
        </w:rPr>
        <w:t>）新</w:t>
      </w:r>
      <w:r>
        <w:rPr>
          <w:rFonts w:hint="default" w:ascii="Times New Roman" w:hAnsi="Times New Roman" w:cs="Times New Roman"/>
          <w:color w:val="auto"/>
          <w:szCs w:val="28"/>
          <w:highlight w:val="none"/>
          <w:lang w:val="en-US" w:eastAsia="zh-CN"/>
        </w:rPr>
        <w:t>0105行初163号</w:t>
      </w:r>
      <w:r>
        <w:rPr>
          <w:rFonts w:hint="eastAsia" w:ascii="Times New Roman" w:hAnsi="Times New Roman" w:cs="Times New Roman"/>
          <w:color w:val="auto"/>
          <w:szCs w:val="28"/>
          <w:highlight w:val="none"/>
          <w:lang w:eastAsia="zh-CN"/>
        </w:rPr>
        <w:t>），水西沟镇人民政府分批对四季山庄法人进行赔偿，</w:t>
      </w:r>
      <w:r>
        <w:rPr>
          <w:rFonts w:hint="eastAsia" w:ascii="Times New Roman" w:hAnsi="Times New Roman" w:cs="Times New Roman"/>
          <w:color w:val="auto"/>
          <w:szCs w:val="28"/>
          <w:highlight w:val="none"/>
          <w:lang w:val="en-US" w:eastAsia="zh-CN"/>
        </w:rPr>
        <w:t>2021年已进行第一次赔偿，赔偿金额为150万元，2022年赔偿预算为150万元，2022年4月进行第二次赔偿，赔偿金额为150万元，赔偿款支付后，</w:t>
      </w:r>
      <w:r>
        <w:rPr>
          <w:rFonts w:hint="eastAsia" w:ascii="Times New Roman" w:hAnsi="Times New Roman" w:cs="Times New Roman"/>
          <w:bCs/>
          <w:color w:val="auto"/>
          <w:szCs w:val="28"/>
          <w:highlight w:val="none"/>
          <w:lang w:val="en-US" w:eastAsia="zh-CN"/>
        </w:rPr>
        <w:t>有效杜绝了越级访和个人极端事件的发生，提高了基层信访的工作质量，有效保障了基层信访工作的顺利开展。</w:t>
      </w:r>
      <w:r>
        <w:rPr>
          <w:rFonts w:hint="default" w:ascii="Times New Roman" w:hAnsi="Times New Roman" w:cs="Times New Roman"/>
          <w:color w:val="auto"/>
          <w:highlight w:val="none"/>
        </w:rPr>
        <w:t>项目</w:t>
      </w:r>
      <w:r>
        <w:rPr>
          <w:rFonts w:hint="eastAsia" w:ascii="Times New Roman" w:hAnsi="Times New Roman" w:cs="Times New Roman"/>
          <w:color w:val="auto"/>
          <w:highlight w:val="none"/>
          <w:lang w:eastAsia="zh-CN"/>
        </w:rPr>
        <w:t>总体达到了预期效果</w:t>
      </w:r>
      <w:r>
        <w:rPr>
          <w:rFonts w:hint="default" w:ascii="Times New Roman" w:hAnsi="Times New Roman" w:cs="Times New Roman"/>
          <w:color w:val="auto"/>
          <w:highlight w:val="none"/>
        </w:rPr>
        <w:t>。</w:t>
      </w:r>
    </w:p>
    <w:p w14:paraId="1E1C36F0">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20" w:name="_Toc100784594"/>
      <w:r>
        <w:rPr>
          <w:rFonts w:hint="default" w:ascii="Times New Roman" w:hAnsi="Times New Roman" w:eastAsia="仿宋" w:cs="Times New Roman"/>
          <w:color w:val="auto"/>
          <w:sz w:val="32"/>
          <w:szCs w:val="32"/>
          <w:highlight w:val="none"/>
          <w:lang w:bidi="en-US"/>
        </w:rPr>
        <w:t>4.评价标准</w:t>
      </w:r>
      <w:bookmarkEnd w:id="20"/>
    </w:p>
    <w:p w14:paraId="658C9E33">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绩效评价标准主要包括计划标准、行业标准、历史标准等，用于对绩效指标完成情况进行比较。</w:t>
      </w:r>
    </w:p>
    <w:p w14:paraId="7FB3F3B0">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14:paraId="569448B3">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14:paraId="3EBA9849">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14:paraId="1AF80EED">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在上述评价标准的基础上，本次评价依据以下文件为重要指导和准绳：</w:t>
      </w:r>
    </w:p>
    <w:p w14:paraId="051777B4">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《中共中央国务院关于全面实施预算绩效管理的意见》（中发〔2018〕34号）</w:t>
      </w:r>
    </w:p>
    <w:p w14:paraId="6019CA6C">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《关于印发&lt;乌鲁木齐市本级部门预算绩效目标管理暂行办法&gt;的通知》（乌财预〔2018〕56号）</w:t>
      </w:r>
    </w:p>
    <w:p w14:paraId="498F9247">
      <w:pPr>
        <w:spacing w:line="360" w:lineRule="auto"/>
        <w:ind w:firstLine="560" w:firstLineChars="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《关于做好2019年部门预算项目支出绩效目标管理有关事宜的通知》（乌财预〔2018〕76号）</w:t>
      </w:r>
    </w:p>
    <w:p w14:paraId="19BBA7EA">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《项目支出绩效评价管理办法》（财预〔2020〕10号）</w:t>
      </w:r>
    </w:p>
    <w:p w14:paraId="75E3C7A9">
      <w:pPr>
        <w:spacing w:line="360" w:lineRule="auto"/>
        <w:ind w:firstLine="560"/>
        <w:rPr>
          <w:rFonts w:hint="default" w:ascii="Times New Roman" w:hAnsi="Times New Roman" w:cs="Times New Roman"/>
          <w:color w:val="auto"/>
          <w:szCs w:val="28"/>
          <w:highlight w:val="none"/>
          <w:lang w:eastAsia="zh-CN"/>
        </w:rPr>
      </w:pPr>
      <w:r>
        <w:rPr>
          <w:rFonts w:hint="default" w:ascii="Times New Roman" w:hAnsi="Times New Roman" w:cs="Times New Roman"/>
          <w:color w:val="auto"/>
          <w:szCs w:val="28"/>
          <w:highlight w:val="none"/>
        </w:rPr>
        <w:t>《</w:t>
      </w:r>
      <w:r>
        <w:rPr>
          <w:rFonts w:hint="default" w:ascii="Times New Roman" w:hAnsi="Times New Roman" w:cs="Times New Roman"/>
          <w:color w:val="auto"/>
          <w:szCs w:val="28"/>
          <w:highlight w:val="none"/>
          <w:lang w:eastAsia="zh-CN"/>
        </w:rPr>
        <w:t>关于申请解决水西沟镇四季山庄评估补偿相关费用的请示</w:t>
      </w:r>
      <w:r>
        <w:rPr>
          <w:rFonts w:hint="default" w:ascii="Times New Roman" w:hAnsi="Times New Roman" w:cs="Times New Roman"/>
          <w:color w:val="auto"/>
          <w:szCs w:val="28"/>
          <w:highlight w:val="none"/>
        </w:rPr>
        <w:t>》</w:t>
      </w:r>
      <w:r>
        <w:rPr>
          <w:rFonts w:hint="default" w:ascii="Times New Roman" w:hAnsi="Times New Roman" w:cs="Times New Roman"/>
          <w:color w:val="auto"/>
          <w:szCs w:val="28"/>
          <w:highlight w:val="none"/>
          <w:lang w:eastAsia="zh-CN"/>
        </w:rPr>
        <w:t>（水镇党发</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default" w:ascii="Times New Roman" w:hAnsi="Times New Roman" w:cs="Times New Roman"/>
          <w:color w:val="auto"/>
          <w:szCs w:val="28"/>
          <w:highlight w:val="none"/>
          <w:lang w:val="en-US" w:eastAsia="zh-CN"/>
        </w:rPr>
        <w:t>14号</w:t>
      </w:r>
      <w:r>
        <w:rPr>
          <w:rFonts w:hint="default" w:ascii="Times New Roman" w:hAnsi="Times New Roman" w:cs="Times New Roman"/>
          <w:color w:val="auto"/>
          <w:szCs w:val="28"/>
          <w:highlight w:val="none"/>
          <w:lang w:eastAsia="zh-CN"/>
        </w:rPr>
        <w:t>）</w:t>
      </w:r>
    </w:p>
    <w:p w14:paraId="76307C44">
      <w:pPr>
        <w:spacing w:line="360" w:lineRule="auto"/>
        <w:ind w:firstLine="560"/>
        <w:rPr>
          <w:rFonts w:hint="default" w:ascii="Times New Roman" w:hAnsi="Times New Roman" w:cs="Times New Roman"/>
          <w:color w:val="auto"/>
          <w:szCs w:val="28"/>
          <w:highlight w:val="none"/>
          <w:lang w:eastAsia="zh-CN"/>
        </w:rPr>
      </w:pPr>
      <w:r>
        <w:rPr>
          <w:rFonts w:hint="default" w:ascii="Times New Roman" w:hAnsi="Times New Roman" w:cs="Times New Roman"/>
          <w:color w:val="auto"/>
          <w:szCs w:val="28"/>
          <w:highlight w:val="none"/>
          <w:lang w:eastAsia="zh-CN"/>
        </w:rPr>
        <w:t>县信访工作联席会议纪要（</w:t>
      </w:r>
      <w:r>
        <w:rPr>
          <w:rFonts w:hint="default" w:ascii="Times New Roman" w:hAnsi="Times New Roman" w:cs="Times New Roman"/>
          <w:color w:val="auto"/>
          <w:szCs w:val="28"/>
          <w:highlight w:val="none"/>
          <w:lang w:val="en-US" w:eastAsia="zh-CN"/>
        </w:rPr>
        <w:t>2021年5月8日印发</w:t>
      </w:r>
      <w:r>
        <w:rPr>
          <w:rFonts w:hint="default" w:ascii="Times New Roman" w:hAnsi="Times New Roman" w:cs="Times New Roman"/>
          <w:color w:val="auto"/>
          <w:szCs w:val="28"/>
          <w:highlight w:val="none"/>
          <w:lang w:eastAsia="zh-CN"/>
        </w:rPr>
        <w:t>）</w:t>
      </w:r>
    </w:p>
    <w:p w14:paraId="7F2BF81E">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szCs w:val="28"/>
          <w:highlight w:val="none"/>
          <w:lang w:eastAsia="zh-CN"/>
        </w:rPr>
        <w:t>新疆维吾尔自治区乌鲁木齐市水磨沟区人民法院行政调解书</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default" w:ascii="Times New Roman" w:hAnsi="Times New Roman" w:cs="Times New Roman"/>
          <w:color w:val="auto"/>
          <w:szCs w:val="28"/>
          <w:highlight w:val="none"/>
          <w:lang w:eastAsia="zh-CN"/>
        </w:rPr>
        <w:t>）新</w:t>
      </w:r>
      <w:r>
        <w:rPr>
          <w:rFonts w:hint="default" w:ascii="Times New Roman" w:hAnsi="Times New Roman" w:cs="Times New Roman"/>
          <w:color w:val="auto"/>
          <w:szCs w:val="28"/>
          <w:highlight w:val="none"/>
          <w:lang w:val="en-US" w:eastAsia="zh-CN"/>
        </w:rPr>
        <w:t>0105行初163号</w:t>
      </w:r>
      <w:r>
        <w:rPr>
          <w:rFonts w:hint="eastAsia" w:ascii="Times New Roman" w:hAnsi="Times New Roman" w:cs="Times New Roman"/>
          <w:color w:val="auto"/>
          <w:szCs w:val="28"/>
          <w:highlight w:val="none"/>
          <w:lang w:eastAsia="zh-CN"/>
        </w:rPr>
        <w:t>）</w:t>
      </w:r>
    </w:p>
    <w:p w14:paraId="098E925D">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 xml:space="preserve"> </w:t>
      </w:r>
      <w:bookmarkStart w:id="21" w:name="_Toc100784595"/>
      <w:bookmarkStart w:id="22" w:name="_Toc67911607"/>
      <w:r>
        <w:rPr>
          <w:rFonts w:hint="default" w:ascii="Times New Roman" w:hAnsi="Times New Roman" w:eastAsia="仿宋" w:cs="Times New Roman"/>
          <w:color w:val="auto"/>
          <w:sz w:val="32"/>
          <w:szCs w:val="32"/>
          <w:highlight w:val="none"/>
          <w:lang w:val="en-US" w:eastAsia="zh-CN" w:bidi="en-US"/>
        </w:rPr>
        <w:t>（三）绩效评价工作过程</w:t>
      </w:r>
      <w:bookmarkEnd w:id="21"/>
      <w:bookmarkEnd w:id="22"/>
    </w:p>
    <w:p w14:paraId="09056CAC">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color w:val="auto"/>
          <w:highlight w:val="none"/>
        </w:rPr>
        <w:footnoteReference w:id="0"/>
      </w:r>
      <w:r>
        <w:rPr>
          <w:rFonts w:hint="default" w:ascii="Times New Roman" w:hAnsi="Times New Roman" w:cs="Times New Roman"/>
          <w:color w:val="auto"/>
          <w:highlight w:val="none"/>
        </w:rPr>
        <w:t>、材料审核分析、现场核查评价、综合分析评价及报告撰写，评价项目实施情况，展现资金使用效益。</w:t>
      </w:r>
      <w:bookmarkStart w:id="23" w:name="_Toc67911608"/>
      <w:bookmarkStart w:id="24" w:name="_Toc100784596"/>
    </w:p>
    <w:p w14:paraId="22473367">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三、综合评价情况及评价结论</w:t>
      </w:r>
      <w:bookmarkEnd w:id="23"/>
      <w:bookmarkEnd w:id="24"/>
    </w:p>
    <w:p w14:paraId="079B18F7">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5" w:name="_Toc67911609"/>
      <w:bookmarkStart w:id="26" w:name="_Toc100784597"/>
      <w:r>
        <w:rPr>
          <w:rFonts w:hint="default" w:ascii="Times New Roman" w:hAnsi="Times New Roman" w:eastAsia="仿宋" w:cs="Times New Roman"/>
          <w:color w:val="auto"/>
          <w:sz w:val="32"/>
          <w:szCs w:val="32"/>
          <w:highlight w:val="none"/>
          <w:lang w:val="en-US" w:eastAsia="zh-CN" w:bidi="en-US"/>
        </w:rPr>
        <w:t>（一）评价结论</w:t>
      </w:r>
      <w:bookmarkEnd w:id="25"/>
      <w:bookmarkEnd w:id="26"/>
    </w:p>
    <w:p w14:paraId="5AEF4394">
      <w:pPr>
        <w:spacing w:line="360" w:lineRule="auto"/>
        <w:ind w:firstLine="56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结合项目特点，制定符合项目实际的绩效评价指标体系及评分标准，通过数据采集、问卷调查及访谈等形式，对202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lang w:eastAsia="zh-CN"/>
        </w:rPr>
        <w:t>年</w:t>
      </w:r>
      <w:r>
        <w:rPr>
          <w:rFonts w:hint="eastAsia" w:ascii="Times New Roman" w:hAnsi="Times New Roman" w:cs="Times New Roman"/>
          <w:color w:val="auto"/>
          <w:highlight w:val="none"/>
          <w:lang w:val="en-US" w:eastAsia="zh-CN"/>
        </w:rPr>
        <w:t>刘梅四季山庄度假村补偿赔偿费项目</w:t>
      </w:r>
      <w:r>
        <w:rPr>
          <w:rFonts w:hint="default" w:ascii="Times New Roman" w:hAnsi="Times New Roman" w:cs="Times New Roman"/>
          <w:color w:val="auto"/>
          <w:highlight w:val="none"/>
          <w:lang w:eastAsia="zh-CN"/>
        </w:rPr>
        <w:t>进行客观评价，最终评分结果为：总分为</w:t>
      </w:r>
      <w:r>
        <w:rPr>
          <w:rFonts w:hint="eastAsia" w:ascii="Times New Roman" w:hAnsi="Times New Roman" w:cs="Times New Roman"/>
          <w:color w:val="auto"/>
          <w:highlight w:val="none"/>
          <w:lang w:val="en-US" w:eastAsia="zh-CN"/>
        </w:rPr>
        <w:t>100</w:t>
      </w:r>
      <w:r>
        <w:rPr>
          <w:rFonts w:hint="default" w:ascii="Times New Roman" w:hAnsi="Times New Roman" w:cs="Times New Roman"/>
          <w:color w:val="auto"/>
          <w:highlight w:val="none"/>
          <w:lang w:eastAsia="zh-CN"/>
        </w:rPr>
        <w:t>分，绩效评级为“优”，</w:t>
      </w:r>
    </w:p>
    <w:p w14:paraId="24E47FAB">
      <w:pPr>
        <w:spacing w:line="360" w:lineRule="auto"/>
        <w:ind w:firstLine="560"/>
        <w:rPr>
          <w:rFonts w:hint="default" w:ascii="Times New Roman" w:hAnsi="Times New Roman" w:cs="Times New Roman"/>
          <w:color w:val="auto"/>
          <w:szCs w:val="28"/>
          <w:highlight w:val="none"/>
        </w:rPr>
      </w:pPr>
      <w:r>
        <w:rPr>
          <w:rFonts w:hint="eastAsia" w:ascii="Times New Roman" w:hAnsi="Times New Roman" w:cs="Times New Roman"/>
          <w:color w:val="auto"/>
          <w:highlight w:val="none"/>
          <w:lang w:eastAsia="zh-CN"/>
        </w:rPr>
        <w:t>刘梅四季山庄度假村补偿赔偿费</w:t>
      </w:r>
      <w:r>
        <w:rPr>
          <w:rFonts w:hint="default" w:ascii="Times New Roman" w:hAnsi="Times New Roman" w:cs="Times New Roman"/>
          <w:color w:val="auto"/>
          <w:highlight w:val="none"/>
        </w:rPr>
        <w:t>项目</w:t>
      </w:r>
      <w:r>
        <w:rPr>
          <w:rFonts w:hint="default" w:ascii="Times New Roman" w:hAnsi="Times New Roman" w:cs="Times New Roman"/>
          <w:color w:val="auto"/>
          <w:szCs w:val="28"/>
          <w:highlight w:val="none"/>
        </w:rPr>
        <w:t>各部分权重和绩效分值如附表所示：</w:t>
      </w:r>
    </w:p>
    <w:p w14:paraId="6FCAAFD0">
      <w:pPr>
        <w:spacing w:line="360" w:lineRule="auto"/>
        <w:ind w:firstLine="0" w:firstLineChars="0"/>
        <w:jc w:val="center"/>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14:paraId="0274C8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14:paraId="2302A4F2">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一级指标</w:t>
            </w:r>
          </w:p>
        </w:tc>
        <w:tc>
          <w:tcPr>
            <w:tcW w:w="1757" w:type="dxa"/>
            <w:tcBorders>
              <w:tl2br w:val="nil"/>
              <w:tr2bl w:val="nil"/>
            </w:tcBorders>
            <w:shd w:val="clear" w:color="auto" w:fill="D0CECE" w:themeFill="background2" w:themeFillShade="E6"/>
            <w:vAlign w:val="center"/>
          </w:tcPr>
          <w:p w14:paraId="1EF86132">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14:paraId="1AF14702">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14:paraId="02843CBB">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14:paraId="4BF3D671">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14:paraId="3591543D">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得分率</w:t>
            </w:r>
          </w:p>
        </w:tc>
      </w:tr>
      <w:tr w14:paraId="48F329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777" w:type="dxa"/>
            <w:vMerge w:val="restart"/>
            <w:tcBorders>
              <w:tl2br w:val="nil"/>
              <w:tr2bl w:val="nil"/>
            </w:tcBorders>
            <w:shd w:val="clear" w:color="auto" w:fill="FFFFFF"/>
            <w:vAlign w:val="center"/>
          </w:tcPr>
          <w:p w14:paraId="310D142C">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决策</w:t>
            </w:r>
          </w:p>
        </w:tc>
        <w:tc>
          <w:tcPr>
            <w:tcW w:w="1757" w:type="dxa"/>
            <w:vMerge w:val="restart"/>
            <w:tcBorders>
              <w:tl2br w:val="nil"/>
              <w:tr2bl w:val="nil"/>
            </w:tcBorders>
            <w:shd w:val="clear" w:color="auto" w:fill="FFFFFF"/>
            <w:vAlign w:val="center"/>
          </w:tcPr>
          <w:p w14:paraId="04AB92E0">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项目立项</w:t>
            </w:r>
          </w:p>
        </w:tc>
        <w:tc>
          <w:tcPr>
            <w:tcW w:w="2693" w:type="dxa"/>
            <w:tcBorders>
              <w:tl2br w:val="nil"/>
              <w:tr2bl w:val="nil"/>
            </w:tcBorders>
            <w:shd w:val="clear" w:color="auto" w:fill="FFFFFF"/>
            <w:vAlign w:val="center"/>
          </w:tcPr>
          <w:p w14:paraId="3A32BE61">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14:paraId="524D843C">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14:paraId="069102E3">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4</w:t>
            </w:r>
          </w:p>
        </w:tc>
        <w:tc>
          <w:tcPr>
            <w:tcW w:w="1039" w:type="dxa"/>
            <w:tcBorders>
              <w:tl2br w:val="nil"/>
              <w:tr2bl w:val="nil"/>
            </w:tcBorders>
            <w:shd w:val="clear" w:color="auto" w:fill="FFFFFF"/>
            <w:vAlign w:val="center"/>
          </w:tcPr>
          <w:p w14:paraId="79DA85F3">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14:paraId="3E4C7C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1695C4F4">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14:paraId="7B3B5793">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14:paraId="4FCE8D75">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14:paraId="185522F2">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14:paraId="17724892">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4</w:t>
            </w:r>
          </w:p>
        </w:tc>
        <w:tc>
          <w:tcPr>
            <w:tcW w:w="1039" w:type="dxa"/>
            <w:tcBorders>
              <w:tl2br w:val="nil"/>
              <w:tr2bl w:val="nil"/>
            </w:tcBorders>
            <w:shd w:val="clear" w:color="auto" w:fill="FFFFFF"/>
            <w:vAlign w:val="center"/>
          </w:tcPr>
          <w:p w14:paraId="698B104E">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525DD5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6DC588DA">
            <w:pPr>
              <w:ind w:firstLine="48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14:paraId="09C4F037">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w:t>
            </w:r>
          </w:p>
        </w:tc>
        <w:tc>
          <w:tcPr>
            <w:tcW w:w="2693" w:type="dxa"/>
            <w:tcBorders>
              <w:tl2br w:val="nil"/>
              <w:tr2bl w:val="nil"/>
            </w:tcBorders>
            <w:shd w:val="clear" w:color="auto" w:fill="FFFFFF"/>
            <w:vAlign w:val="center"/>
          </w:tcPr>
          <w:p w14:paraId="5821B58B">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14:paraId="4452B504">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14:paraId="46B4B1E3">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14:paraId="685D4541">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203FAE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41588CE3">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14:paraId="7FABB676">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14:paraId="0C730A7B">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14:paraId="6F87EFE5">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14:paraId="26D14D23">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14:paraId="694BD11B">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5F725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7AA7A843">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14:paraId="4A750A22">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资金投入</w:t>
            </w:r>
          </w:p>
        </w:tc>
        <w:tc>
          <w:tcPr>
            <w:tcW w:w="2693" w:type="dxa"/>
            <w:tcBorders>
              <w:tl2br w:val="nil"/>
              <w:tr2bl w:val="nil"/>
            </w:tcBorders>
            <w:shd w:val="clear" w:color="auto" w:fill="FFFFFF"/>
            <w:vAlign w:val="center"/>
          </w:tcPr>
          <w:p w14:paraId="2EA2C287">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14:paraId="79320895">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14:paraId="1EC21230">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auto" w:fill="FFFFFF"/>
            <w:vAlign w:val="center"/>
          </w:tcPr>
          <w:p w14:paraId="3BD05C3E">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4B641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351E6181">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14:paraId="19BC8099">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14:paraId="07D1491E">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14:paraId="100B9012">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14:paraId="1F1910E4">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auto" w:fill="FFFFFF"/>
            <w:vAlign w:val="center"/>
          </w:tcPr>
          <w:p w14:paraId="65C49852">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27C1E6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14:paraId="1F8E3665">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过程</w:t>
            </w:r>
          </w:p>
        </w:tc>
        <w:tc>
          <w:tcPr>
            <w:tcW w:w="1757" w:type="dxa"/>
            <w:vMerge w:val="restart"/>
            <w:tcBorders>
              <w:tl2br w:val="nil"/>
              <w:tr2bl w:val="nil"/>
            </w:tcBorders>
            <w:shd w:val="clear" w:color="auto" w:fill="FFFFFF"/>
            <w:vAlign w:val="center"/>
          </w:tcPr>
          <w:p w14:paraId="3D16AD7E">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资金管理</w:t>
            </w:r>
          </w:p>
        </w:tc>
        <w:tc>
          <w:tcPr>
            <w:tcW w:w="2693" w:type="dxa"/>
            <w:tcBorders>
              <w:tl2br w:val="nil"/>
              <w:tr2bl w:val="nil"/>
            </w:tcBorders>
            <w:shd w:val="clear" w:color="auto" w:fill="FFFFFF"/>
            <w:vAlign w:val="center"/>
          </w:tcPr>
          <w:p w14:paraId="40DBFB59">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14:paraId="446A309E">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14:paraId="72E71333">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5</w:t>
            </w:r>
          </w:p>
        </w:tc>
        <w:tc>
          <w:tcPr>
            <w:tcW w:w="1039" w:type="dxa"/>
            <w:tcBorders>
              <w:tl2br w:val="nil"/>
              <w:tr2bl w:val="nil"/>
            </w:tcBorders>
            <w:shd w:val="clear" w:color="000000" w:fill="FFFFFF"/>
            <w:vAlign w:val="center"/>
          </w:tcPr>
          <w:p w14:paraId="77962E6B">
            <w:pPr>
              <w:widowControl/>
              <w:ind w:left="0" w:leftChars="0"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6E5883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3DD6EC8E">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14:paraId="43C8348D">
            <w:pPr>
              <w:ind w:firstLine="48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14:paraId="005BACCF">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14:paraId="3453FAB2">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14:paraId="6D19BB9E">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5</w:t>
            </w:r>
          </w:p>
        </w:tc>
        <w:tc>
          <w:tcPr>
            <w:tcW w:w="1039" w:type="dxa"/>
            <w:tcBorders>
              <w:tl2br w:val="nil"/>
              <w:tr2bl w:val="nil"/>
            </w:tcBorders>
            <w:shd w:val="clear" w:color="auto" w:fill="FFFFFF"/>
            <w:vAlign w:val="center"/>
          </w:tcPr>
          <w:p w14:paraId="3EF08B1B">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00C42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63D99D12">
            <w:pPr>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14:paraId="372D4F4F">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14:paraId="4D1512ED">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14:paraId="18F13181">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14:paraId="42A82F16">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14:paraId="3961B6B1">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17D81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59B8F053">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14:paraId="4C7F5721">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组织实施</w:t>
            </w:r>
          </w:p>
        </w:tc>
        <w:tc>
          <w:tcPr>
            <w:tcW w:w="2693" w:type="dxa"/>
            <w:tcBorders>
              <w:tl2br w:val="nil"/>
              <w:tr2bl w:val="nil"/>
            </w:tcBorders>
            <w:shd w:val="clear" w:color="auto" w:fill="FFFFFF"/>
            <w:vAlign w:val="center"/>
          </w:tcPr>
          <w:p w14:paraId="76FE97BC">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管理制度健全性</w:t>
            </w:r>
          </w:p>
        </w:tc>
        <w:tc>
          <w:tcPr>
            <w:tcW w:w="898" w:type="dxa"/>
            <w:tcBorders>
              <w:tl2br w:val="nil"/>
              <w:tr2bl w:val="nil"/>
            </w:tcBorders>
            <w:shd w:val="clear" w:color="000000" w:fill="FFFFFF"/>
            <w:vAlign w:val="center"/>
          </w:tcPr>
          <w:p w14:paraId="1C7E4A37">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14:paraId="3D6D4FAA">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14:paraId="6A98F4CC">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32EE5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58B95606">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14:paraId="4E9801F1">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14:paraId="4E4FAB5F">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14:paraId="74ECF28F">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14:paraId="482C06A1">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cs="Times New Roman"/>
                <w:color w:val="auto"/>
                <w:kern w:val="0"/>
                <w:sz w:val="24"/>
                <w:szCs w:val="24"/>
                <w:highlight w:val="none"/>
              </w:rPr>
              <w:t>4</w:t>
            </w:r>
          </w:p>
        </w:tc>
        <w:tc>
          <w:tcPr>
            <w:tcW w:w="1039" w:type="dxa"/>
            <w:tcBorders>
              <w:tl2br w:val="nil"/>
              <w:tr2bl w:val="nil"/>
            </w:tcBorders>
            <w:shd w:val="clear" w:color="000000" w:fill="FFFFFF"/>
            <w:vAlign w:val="center"/>
          </w:tcPr>
          <w:p w14:paraId="6F16F64E">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210F6F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14:paraId="5D996AFC">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w:t>
            </w:r>
          </w:p>
        </w:tc>
        <w:tc>
          <w:tcPr>
            <w:tcW w:w="1757" w:type="dxa"/>
            <w:tcBorders>
              <w:tl2br w:val="nil"/>
              <w:tr2bl w:val="nil"/>
            </w:tcBorders>
            <w:shd w:val="clear" w:color="auto" w:fill="FFFFFF"/>
            <w:vAlign w:val="center"/>
          </w:tcPr>
          <w:p w14:paraId="1995C1DF">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产出数量</w:t>
            </w:r>
          </w:p>
        </w:tc>
        <w:tc>
          <w:tcPr>
            <w:tcW w:w="2693" w:type="dxa"/>
            <w:tcBorders>
              <w:tl2br w:val="nil"/>
              <w:tr2bl w:val="nil"/>
            </w:tcBorders>
            <w:shd w:val="clear" w:color="auto" w:fill="FFFFFF"/>
          </w:tcPr>
          <w:p w14:paraId="580C571D">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补偿次数</w:t>
            </w:r>
          </w:p>
        </w:tc>
        <w:tc>
          <w:tcPr>
            <w:tcW w:w="898" w:type="dxa"/>
            <w:tcBorders>
              <w:tl2br w:val="nil"/>
              <w:tr2bl w:val="nil"/>
            </w:tcBorders>
            <w:shd w:val="clear" w:color="000000" w:fill="FFFFFF"/>
            <w:vAlign w:val="center"/>
          </w:tcPr>
          <w:p w14:paraId="63D4BF80">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14:paraId="62FA0DE9">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14:paraId="46EE0DF1">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1CBFE6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3EBC9173">
            <w:pPr>
              <w:widowControl/>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14:paraId="41250AFF">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产出质量</w:t>
            </w:r>
          </w:p>
        </w:tc>
        <w:tc>
          <w:tcPr>
            <w:tcW w:w="2693" w:type="dxa"/>
            <w:tcBorders>
              <w:tl2br w:val="nil"/>
              <w:tr2bl w:val="nil"/>
            </w:tcBorders>
            <w:shd w:val="clear" w:color="auto" w:fill="FFFFFF"/>
            <w:vAlign w:val="center"/>
          </w:tcPr>
          <w:p w14:paraId="5EA74606">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信访工作解决率</w:t>
            </w:r>
          </w:p>
        </w:tc>
        <w:tc>
          <w:tcPr>
            <w:tcW w:w="898" w:type="dxa"/>
            <w:tcBorders>
              <w:tl2br w:val="nil"/>
              <w:tr2bl w:val="nil"/>
            </w:tcBorders>
            <w:shd w:val="clear" w:color="000000" w:fill="FFFFFF"/>
            <w:vAlign w:val="center"/>
          </w:tcPr>
          <w:p w14:paraId="452BF689">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14:paraId="52DA2226">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1039" w:type="dxa"/>
            <w:tcBorders>
              <w:tl2br w:val="nil"/>
              <w:tr2bl w:val="nil"/>
            </w:tcBorders>
            <w:shd w:val="clear" w:color="000000" w:fill="FFFFFF"/>
            <w:vAlign w:val="center"/>
          </w:tcPr>
          <w:p w14:paraId="31958CAA">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7229B0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14:paraId="52669292">
            <w:pPr>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14:paraId="7281A81A">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产出时效</w:t>
            </w:r>
          </w:p>
        </w:tc>
        <w:tc>
          <w:tcPr>
            <w:tcW w:w="2693" w:type="dxa"/>
            <w:tcBorders>
              <w:tl2br w:val="nil"/>
              <w:tr2bl w:val="nil"/>
            </w:tcBorders>
            <w:shd w:val="clear" w:color="auto" w:fill="FFFFFF"/>
            <w:vAlign w:val="center"/>
          </w:tcPr>
          <w:p w14:paraId="053FEDAA">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补偿款支付及时率</w:t>
            </w:r>
          </w:p>
        </w:tc>
        <w:tc>
          <w:tcPr>
            <w:tcW w:w="898" w:type="dxa"/>
            <w:tcBorders>
              <w:tl2br w:val="nil"/>
              <w:tr2bl w:val="nil"/>
            </w:tcBorders>
            <w:shd w:val="clear" w:color="000000" w:fill="FFFFFF"/>
            <w:vAlign w:val="center"/>
          </w:tcPr>
          <w:p w14:paraId="4237F4D1">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14:paraId="55B6DB88">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14:paraId="4B1C5ABF">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1BA5F2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01E8DC41">
            <w:pPr>
              <w:widowControl/>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14:paraId="4DFA4AFF">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产出成本</w:t>
            </w:r>
          </w:p>
        </w:tc>
        <w:tc>
          <w:tcPr>
            <w:tcW w:w="2693" w:type="dxa"/>
            <w:tcBorders>
              <w:tl2br w:val="nil"/>
              <w:tr2bl w:val="nil"/>
            </w:tcBorders>
            <w:shd w:val="clear" w:color="auto" w:fill="FFFFFF"/>
            <w:vAlign w:val="center"/>
          </w:tcPr>
          <w:p w14:paraId="79916178">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第一次补偿金额</w:t>
            </w:r>
          </w:p>
        </w:tc>
        <w:tc>
          <w:tcPr>
            <w:tcW w:w="898" w:type="dxa"/>
            <w:tcBorders>
              <w:tl2br w:val="nil"/>
              <w:tr2bl w:val="nil"/>
            </w:tcBorders>
            <w:shd w:val="clear" w:color="000000" w:fill="FFFFFF"/>
            <w:vAlign w:val="center"/>
          </w:tcPr>
          <w:p w14:paraId="33A91E7F">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14:paraId="0E44C16F">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rPr>
              <w:t>10</w:t>
            </w:r>
          </w:p>
        </w:tc>
        <w:tc>
          <w:tcPr>
            <w:tcW w:w="1039" w:type="dxa"/>
            <w:tcBorders>
              <w:tl2br w:val="nil"/>
              <w:tr2bl w:val="nil"/>
            </w:tcBorders>
            <w:shd w:val="clear" w:color="000000" w:fill="FFFFFF"/>
            <w:vAlign w:val="center"/>
          </w:tcPr>
          <w:p w14:paraId="512EE391">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2F8DC2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14:paraId="337B2B1C">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效益</w:t>
            </w:r>
          </w:p>
        </w:tc>
        <w:tc>
          <w:tcPr>
            <w:tcW w:w="1757" w:type="dxa"/>
            <w:vMerge w:val="restart"/>
            <w:tcBorders>
              <w:tl2br w:val="nil"/>
              <w:tr2bl w:val="nil"/>
            </w:tcBorders>
            <w:shd w:val="clear" w:color="auto" w:fill="FFFFFF"/>
            <w:vAlign w:val="center"/>
          </w:tcPr>
          <w:p w14:paraId="42B19653">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项目效益</w:t>
            </w:r>
          </w:p>
        </w:tc>
        <w:tc>
          <w:tcPr>
            <w:tcW w:w="2693" w:type="dxa"/>
            <w:tcBorders>
              <w:tl2br w:val="nil"/>
              <w:tr2bl w:val="nil"/>
            </w:tcBorders>
            <w:shd w:val="clear" w:color="auto" w:fill="FFFFFF"/>
            <w:vAlign w:val="center"/>
          </w:tcPr>
          <w:p w14:paraId="49611C6C">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社会效益指标</w:t>
            </w:r>
          </w:p>
        </w:tc>
        <w:tc>
          <w:tcPr>
            <w:tcW w:w="898" w:type="dxa"/>
            <w:tcBorders>
              <w:tl2br w:val="nil"/>
              <w:tr2bl w:val="nil"/>
            </w:tcBorders>
            <w:shd w:val="clear" w:color="auto" w:fill="FFFFFF"/>
            <w:vAlign w:val="center"/>
          </w:tcPr>
          <w:p w14:paraId="426FC61E">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15</w:t>
            </w:r>
          </w:p>
        </w:tc>
        <w:tc>
          <w:tcPr>
            <w:tcW w:w="898" w:type="dxa"/>
            <w:tcBorders>
              <w:tl2br w:val="nil"/>
              <w:tr2bl w:val="nil"/>
            </w:tcBorders>
            <w:shd w:val="clear" w:color="auto" w:fill="FFFFFF"/>
            <w:vAlign w:val="center"/>
          </w:tcPr>
          <w:p w14:paraId="3C726262">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15</w:t>
            </w:r>
          </w:p>
        </w:tc>
        <w:tc>
          <w:tcPr>
            <w:tcW w:w="1039" w:type="dxa"/>
            <w:tcBorders>
              <w:tl2br w:val="nil"/>
              <w:tr2bl w:val="nil"/>
            </w:tcBorders>
            <w:shd w:val="clear" w:color="auto" w:fill="FFFFFF"/>
            <w:vAlign w:val="center"/>
          </w:tcPr>
          <w:p w14:paraId="5A51035F">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74BE2D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14:paraId="1452BD01">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14:paraId="09A5CBFC">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14:paraId="7E36DD22">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cs="Times New Roman"/>
                <w:color w:val="auto"/>
                <w:kern w:val="0"/>
                <w:sz w:val="24"/>
                <w:szCs w:val="24"/>
                <w:highlight w:val="none"/>
                <w:lang w:eastAsia="zh-CN"/>
              </w:rPr>
              <w:t>可持续</w:t>
            </w:r>
            <w:r>
              <w:rPr>
                <w:rFonts w:hint="default" w:ascii="Times New Roman" w:hAnsi="Times New Roman" w:cs="Times New Roman"/>
                <w:color w:val="auto"/>
                <w:kern w:val="0"/>
                <w:sz w:val="24"/>
                <w:szCs w:val="24"/>
                <w:highlight w:val="none"/>
              </w:rPr>
              <w:t>效益指标</w:t>
            </w:r>
          </w:p>
        </w:tc>
        <w:tc>
          <w:tcPr>
            <w:tcW w:w="898" w:type="dxa"/>
            <w:tcBorders>
              <w:tl2br w:val="nil"/>
              <w:tr2bl w:val="nil"/>
            </w:tcBorders>
            <w:shd w:val="clear" w:color="auto" w:fill="FFFFFF"/>
            <w:vAlign w:val="center"/>
          </w:tcPr>
          <w:p w14:paraId="19819CA9">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auto" w:fill="FFFFFF"/>
            <w:vAlign w:val="center"/>
          </w:tcPr>
          <w:p w14:paraId="275740D5">
            <w:pPr>
              <w:widowControl/>
              <w:ind w:firstLine="0" w:firstLineChars="0"/>
              <w:jc w:val="center"/>
              <w:rPr>
                <w:rFonts w:hint="eastAsia"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14:paraId="41BFFEC6">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14:paraId="48C5AF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14:paraId="0809E72A">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满意度指标完成情况分析</w:t>
            </w:r>
          </w:p>
        </w:tc>
        <w:tc>
          <w:tcPr>
            <w:tcW w:w="1757" w:type="dxa"/>
            <w:tcBorders>
              <w:tl2br w:val="nil"/>
              <w:tr2bl w:val="nil"/>
            </w:tcBorders>
            <w:shd w:val="clear" w:color="auto" w:fill="FFFFFF"/>
            <w:vAlign w:val="center"/>
          </w:tcPr>
          <w:p w14:paraId="279D4407">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w:t>
            </w:r>
          </w:p>
        </w:tc>
        <w:tc>
          <w:tcPr>
            <w:tcW w:w="2693" w:type="dxa"/>
            <w:tcBorders>
              <w:tl2br w:val="nil"/>
              <w:tr2bl w:val="nil"/>
            </w:tcBorders>
            <w:shd w:val="clear" w:color="auto" w:fill="FFFFFF"/>
            <w:vAlign w:val="center"/>
          </w:tcPr>
          <w:p w14:paraId="1411639C">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cs="Times New Roman"/>
                <w:color w:val="auto"/>
                <w:kern w:val="0"/>
                <w:sz w:val="24"/>
                <w:szCs w:val="24"/>
                <w:highlight w:val="none"/>
              </w:rPr>
              <w:t>群众满意度</w:t>
            </w:r>
          </w:p>
        </w:tc>
        <w:tc>
          <w:tcPr>
            <w:tcW w:w="898" w:type="dxa"/>
            <w:tcBorders>
              <w:tl2br w:val="nil"/>
              <w:tr2bl w:val="nil"/>
            </w:tcBorders>
            <w:shd w:val="clear" w:color="000000" w:fill="FFFFFF"/>
            <w:vAlign w:val="center"/>
          </w:tcPr>
          <w:p w14:paraId="224BFDCB">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14:paraId="57291DD7">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14:paraId="775B7EAE">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14:paraId="615E05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14:paraId="31AADF61">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bookmarkStart w:id="27" w:name="_Toc100784598"/>
            <w:bookmarkStart w:id="28" w:name="_Toc67911610"/>
            <w:r>
              <w:rPr>
                <w:rFonts w:hint="eastAsia" w:ascii="Times New Roman" w:hAnsi="Times New Roman" w:cs="Times New Roman"/>
                <w:b/>
                <w:bCs/>
                <w:color w:val="auto"/>
                <w:kern w:val="0"/>
                <w:sz w:val="24"/>
                <w:szCs w:val="24"/>
                <w:highlight w:val="none"/>
                <w:lang w:eastAsia="zh-CN"/>
              </w:rPr>
              <w:t>合计</w:t>
            </w:r>
          </w:p>
        </w:tc>
        <w:tc>
          <w:tcPr>
            <w:tcW w:w="1757" w:type="dxa"/>
            <w:tcBorders>
              <w:tl2br w:val="nil"/>
              <w:tr2bl w:val="nil"/>
            </w:tcBorders>
            <w:shd w:val="clear" w:color="auto" w:fill="FFFFFF"/>
            <w:vAlign w:val="center"/>
          </w:tcPr>
          <w:p w14:paraId="568CE065">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14:paraId="4B2DFA9B">
            <w:pPr>
              <w:widowControl/>
              <w:ind w:firstLine="0" w:firstLineChars="0"/>
              <w:jc w:val="center"/>
              <w:rPr>
                <w:rFonts w:hint="default" w:ascii="Times New Roman" w:hAnsi="Times New Roman" w:eastAsia="宋体" w:cs="Times New Roman"/>
                <w:color w:val="auto"/>
                <w:kern w:val="0"/>
                <w:sz w:val="22"/>
                <w:highlight w:val="none"/>
              </w:rPr>
            </w:pPr>
          </w:p>
        </w:tc>
        <w:tc>
          <w:tcPr>
            <w:tcW w:w="898" w:type="dxa"/>
            <w:tcBorders>
              <w:tl2br w:val="nil"/>
              <w:tr2bl w:val="nil"/>
            </w:tcBorders>
            <w:shd w:val="clear" w:color="000000" w:fill="FFFFFF"/>
            <w:vAlign w:val="center"/>
          </w:tcPr>
          <w:p w14:paraId="2D94CAA3">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898" w:type="dxa"/>
            <w:tcBorders>
              <w:tl2br w:val="nil"/>
              <w:tr2bl w:val="nil"/>
            </w:tcBorders>
            <w:shd w:val="clear" w:color="000000" w:fill="FFFFFF"/>
            <w:vAlign w:val="center"/>
          </w:tcPr>
          <w:p w14:paraId="295DFED8">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039" w:type="dxa"/>
            <w:tcBorders>
              <w:tl2br w:val="nil"/>
              <w:tr2bl w:val="nil"/>
            </w:tcBorders>
            <w:shd w:val="clear" w:color="000000" w:fill="FFFFFF"/>
            <w:vAlign w:val="center"/>
          </w:tcPr>
          <w:p w14:paraId="67053DCC">
            <w:pPr>
              <w:widowControl/>
              <w:ind w:firstLine="0" w:firstLineChars="0"/>
              <w:jc w:val="center"/>
              <w:rPr>
                <w:rFonts w:hint="default" w:ascii="Times New Roman" w:hAnsi="Times New Roman" w:cs="Times New Roman"/>
                <w:color w:val="auto"/>
                <w:kern w:val="0"/>
                <w:sz w:val="24"/>
                <w:szCs w:val="24"/>
                <w:highlight w:val="none"/>
              </w:rPr>
            </w:pPr>
          </w:p>
        </w:tc>
      </w:tr>
    </w:tbl>
    <w:p w14:paraId="4AD6EF6C">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val="en-US" w:eastAsia="zh-CN" w:bidi="en-US"/>
        </w:rPr>
      </w:pPr>
    </w:p>
    <w:p w14:paraId="7993CB73">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（二）主要绩效</w:t>
      </w:r>
      <w:bookmarkEnd w:id="27"/>
      <w:bookmarkEnd w:id="28"/>
    </w:p>
    <w:p w14:paraId="1F6ED662">
      <w:pPr>
        <w:spacing w:line="360" w:lineRule="auto"/>
        <w:ind w:firstLine="548" w:firstLineChars="196"/>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bCs/>
          <w:color w:val="auto"/>
          <w:szCs w:val="28"/>
          <w:highlight w:val="none"/>
        </w:rPr>
        <w:t>该项目资金财政及时拨付，单位在此次评价期间内，</w:t>
      </w:r>
      <w:r>
        <w:rPr>
          <w:rFonts w:hint="eastAsia" w:ascii="Times New Roman" w:hAnsi="Times New Roman" w:cs="Times New Roman"/>
          <w:bCs/>
          <w:color w:val="auto"/>
          <w:szCs w:val="28"/>
          <w:highlight w:val="none"/>
          <w:lang w:eastAsia="zh-CN"/>
        </w:rPr>
        <w:t>已对四季山庄法人刘梅进行</w:t>
      </w:r>
      <w:r>
        <w:rPr>
          <w:rFonts w:hint="eastAsia" w:ascii="Times New Roman" w:hAnsi="Times New Roman" w:cs="Times New Roman"/>
          <w:bCs/>
          <w:color w:val="auto"/>
          <w:szCs w:val="28"/>
          <w:highlight w:val="none"/>
          <w:lang w:val="en-US" w:eastAsia="zh-CN"/>
        </w:rPr>
        <w:t>150万元的赔偿，有效杜绝了越级访和个人极端事件的发生，提高了基层信访的工作质量，有效保障了基层信访工作的顺利开展。</w:t>
      </w:r>
      <w:bookmarkStart w:id="29" w:name="_Toc100784599"/>
      <w:bookmarkStart w:id="30" w:name="_Toc67911611"/>
    </w:p>
    <w:p w14:paraId="556A709F">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四、绩效评价指标分析</w:t>
      </w:r>
      <w:bookmarkEnd w:id="29"/>
      <w:bookmarkEnd w:id="30"/>
    </w:p>
    <w:p w14:paraId="65732FB2">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1" w:name="_Toc100784600"/>
      <w:bookmarkStart w:id="32" w:name="_Toc67911612"/>
      <w:r>
        <w:rPr>
          <w:rFonts w:hint="default" w:ascii="Times New Roman" w:hAnsi="Times New Roman" w:eastAsia="仿宋" w:cs="Times New Roman"/>
          <w:color w:val="auto"/>
          <w:sz w:val="32"/>
          <w:szCs w:val="32"/>
          <w:highlight w:val="none"/>
          <w:lang w:bidi="en-US"/>
        </w:rPr>
        <w:t>（一）项目决策情况</w:t>
      </w:r>
      <w:bookmarkEnd w:id="31"/>
      <w:bookmarkEnd w:id="32"/>
    </w:p>
    <w:p w14:paraId="64D9558B">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项目决算指标由3个二级指标和6个三级指标构成，权重为20分，实际得分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14:paraId="7194439B">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3" w:name="_Toc100784601"/>
      <w:r>
        <w:rPr>
          <w:rFonts w:hint="default" w:ascii="Times New Roman" w:hAnsi="Times New Roman" w:eastAsia="仿宋" w:cs="Times New Roman"/>
          <w:color w:val="auto"/>
          <w:sz w:val="32"/>
          <w:szCs w:val="32"/>
          <w:highlight w:val="none"/>
          <w:lang w:bidi="en-US"/>
        </w:rPr>
        <w:t>1.项目立项</w:t>
      </w:r>
      <w:bookmarkEnd w:id="33"/>
    </w:p>
    <w:p w14:paraId="624628A1">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立项依据充分性：</w:t>
      </w:r>
      <w:r>
        <w:rPr>
          <w:rFonts w:hint="eastAsia" w:ascii="Times New Roman" w:hAnsi="Times New Roman" w:cs="Times New Roman"/>
          <w:color w:val="auto"/>
          <w:szCs w:val="28"/>
          <w:highlight w:val="none"/>
          <w:lang w:val="en-US" w:eastAsia="zh-CN"/>
        </w:rPr>
        <w:t>根据</w:t>
      </w:r>
      <w:r>
        <w:rPr>
          <w:rFonts w:hint="default" w:ascii="Times New Roman" w:hAnsi="Times New Roman" w:cs="Times New Roman"/>
          <w:color w:val="auto"/>
          <w:szCs w:val="28"/>
          <w:highlight w:val="none"/>
          <w:lang w:val="en-US" w:eastAsia="zh-CN"/>
        </w:rPr>
        <w:t>《</w:t>
      </w:r>
      <w:r>
        <w:rPr>
          <w:rFonts w:hint="default" w:ascii="Times New Roman" w:hAnsi="Times New Roman" w:cs="Times New Roman"/>
          <w:color w:val="auto"/>
          <w:szCs w:val="28"/>
          <w:highlight w:val="none"/>
          <w:lang w:eastAsia="zh-CN"/>
        </w:rPr>
        <w:t>关于申请解决水西沟镇四季山庄评估补偿相关费用的请示</w:t>
      </w:r>
      <w:r>
        <w:rPr>
          <w:rFonts w:hint="default" w:ascii="Times New Roman" w:hAnsi="Times New Roman" w:cs="Times New Roman"/>
          <w:color w:val="auto"/>
          <w:szCs w:val="28"/>
          <w:highlight w:val="none"/>
        </w:rPr>
        <w:t>》</w:t>
      </w:r>
      <w:r>
        <w:rPr>
          <w:rFonts w:hint="default" w:ascii="Times New Roman" w:hAnsi="Times New Roman" w:cs="Times New Roman"/>
          <w:color w:val="auto"/>
          <w:szCs w:val="28"/>
          <w:highlight w:val="none"/>
          <w:lang w:eastAsia="zh-CN"/>
        </w:rPr>
        <w:t>（水镇党发</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default" w:ascii="Times New Roman" w:hAnsi="Times New Roman" w:cs="Times New Roman"/>
          <w:color w:val="auto"/>
          <w:szCs w:val="28"/>
          <w:highlight w:val="none"/>
          <w:lang w:val="en-US" w:eastAsia="zh-CN"/>
        </w:rPr>
        <w:t>14号</w:t>
      </w:r>
      <w:r>
        <w:rPr>
          <w:rFonts w:hint="default"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lang w:eastAsia="zh-CN"/>
        </w:rPr>
        <w:t>县信访工作联席会议纪要（</w:t>
      </w:r>
      <w:r>
        <w:rPr>
          <w:rFonts w:hint="default" w:ascii="Times New Roman" w:hAnsi="Times New Roman" w:cs="Times New Roman"/>
          <w:color w:val="auto"/>
          <w:szCs w:val="28"/>
          <w:highlight w:val="none"/>
          <w:lang w:val="en-US" w:eastAsia="zh-CN"/>
        </w:rPr>
        <w:t>2021年5月8日印发</w:t>
      </w:r>
      <w:r>
        <w:rPr>
          <w:rFonts w:hint="default"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lang w:eastAsia="zh-CN"/>
        </w:rPr>
        <w:t>新疆维吾尔自治区乌鲁木齐市水磨沟区人民法院行政调解书</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default" w:ascii="Times New Roman" w:hAnsi="Times New Roman" w:cs="Times New Roman"/>
          <w:color w:val="auto"/>
          <w:szCs w:val="28"/>
          <w:highlight w:val="none"/>
          <w:lang w:eastAsia="zh-CN"/>
        </w:rPr>
        <w:t>）新</w:t>
      </w:r>
      <w:r>
        <w:rPr>
          <w:rFonts w:hint="default" w:ascii="Times New Roman" w:hAnsi="Times New Roman" w:cs="Times New Roman"/>
          <w:color w:val="auto"/>
          <w:szCs w:val="28"/>
          <w:highlight w:val="none"/>
          <w:lang w:val="en-US" w:eastAsia="zh-CN"/>
        </w:rPr>
        <w:t>0105行初163号</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highlight w:val="none"/>
          <w:lang w:val="en-US" w:eastAsia="zh-CN"/>
        </w:rPr>
        <w:t>文件要求，</w:t>
      </w:r>
      <w:r>
        <w:rPr>
          <w:rFonts w:hint="default" w:ascii="Times New Roman" w:hAnsi="Times New Roman" w:cs="Times New Roman"/>
          <w:color w:val="auto"/>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14:paraId="605C4C0E">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立项程序规范性:</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项目按照规定的程序申请设立，审批文件、材料符合相关要求，故立项程序规范，得4分。</w:t>
      </w:r>
    </w:p>
    <w:p w14:paraId="20B483FF">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综上，该指标满分8分，得分8分。</w:t>
      </w:r>
    </w:p>
    <w:p w14:paraId="4012D2DA">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4" w:name="_Toc100784602"/>
      <w:r>
        <w:rPr>
          <w:rFonts w:hint="default" w:ascii="Times New Roman" w:hAnsi="Times New Roman" w:eastAsia="仿宋" w:cs="Times New Roman"/>
          <w:color w:val="auto"/>
          <w:sz w:val="32"/>
          <w:szCs w:val="32"/>
          <w:highlight w:val="none"/>
          <w:lang w:bidi="en-US"/>
        </w:rPr>
        <w:t>2.绩效目标</w:t>
      </w:r>
      <w:bookmarkEnd w:id="34"/>
    </w:p>
    <w:p w14:paraId="068A1240">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绩效目标合理性：</w:t>
      </w:r>
      <w:r>
        <w:rPr>
          <w:rFonts w:hint="default" w:ascii="Times New Roman" w:hAnsi="Times New Roman" w:cs="Times New Roman"/>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14:paraId="4DA04CA0">
      <w:pPr>
        <w:autoSpaceDE w:val="0"/>
        <w:spacing w:line="600" w:lineRule="exact"/>
        <w:ind w:firstLine="562"/>
        <w:rPr>
          <w:rFonts w:hint="default" w:ascii="Times New Roman" w:hAnsi="Times New Roman" w:cs="Times New Roman"/>
          <w:color w:val="auto"/>
          <w:kern w:val="0"/>
          <w:szCs w:val="28"/>
          <w:highlight w:val="none"/>
        </w:rPr>
      </w:pPr>
      <w:r>
        <w:rPr>
          <w:rFonts w:hint="default" w:ascii="Times New Roman" w:hAnsi="Times New Roman" w:cs="Times New Roman"/>
          <w:b/>
          <w:color w:val="auto"/>
          <w:kern w:val="0"/>
          <w:szCs w:val="28"/>
          <w:highlight w:val="none"/>
        </w:rPr>
        <w:t>绩效目标明确性：</w:t>
      </w:r>
      <w:r>
        <w:rPr>
          <w:rFonts w:hint="eastAsia" w:ascii="Times New Roman" w:hAnsi="Times New Roman" w:cs="Times New Roman"/>
          <w:color w:val="auto"/>
          <w:kern w:val="0"/>
          <w:szCs w:val="28"/>
          <w:highlight w:val="none"/>
          <w:lang w:eastAsia="zh-CN"/>
        </w:rPr>
        <w:t>按时进行四季山庄的补偿，明确每次赔偿金额，杜绝了我镇越级访和个人极端事件的发生，确保了信访工作的顺利开展</w:t>
      </w:r>
      <w:r>
        <w:rPr>
          <w:rFonts w:hint="default" w:ascii="Times New Roman" w:hAnsi="Times New Roman" w:cs="Times New Roman"/>
          <w:color w:val="auto"/>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14:paraId="1DF0E82D">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综上，该指标满分6分，得分6分。</w:t>
      </w:r>
    </w:p>
    <w:p w14:paraId="044C59FC">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5" w:name="_Toc100784603"/>
      <w:r>
        <w:rPr>
          <w:rFonts w:hint="default" w:ascii="Times New Roman" w:hAnsi="Times New Roman" w:eastAsia="仿宋" w:cs="Times New Roman"/>
          <w:color w:val="auto"/>
          <w:sz w:val="32"/>
          <w:szCs w:val="32"/>
          <w:highlight w:val="none"/>
          <w:lang w:bidi="en-US"/>
        </w:rPr>
        <w:t>3.资金投入</w:t>
      </w:r>
      <w:bookmarkEnd w:id="35"/>
    </w:p>
    <w:p w14:paraId="3BFC0329">
      <w:pPr>
        <w:spacing w:line="360" w:lineRule="auto"/>
        <w:ind w:firstLine="560"/>
        <w:rPr>
          <w:rFonts w:hint="default" w:ascii="Times New Roman" w:hAnsi="Times New Roman" w:cs="Times New Roman"/>
          <w:bCs/>
          <w:color w:val="auto"/>
          <w:kern w:val="0"/>
          <w:szCs w:val="28"/>
          <w:highlight w:val="none"/>
        </w:rPr>
      </w:pPr>
      <w:r>
        <w:rPr>
          <w:rFonts w:hint="default" w:ascii="Times New Roman" w:hAnsi="Times New Roman" w:cs="Times New Roman"/>
          <w:b/>
          <w:color w:val="auto"/>
          <w:kern w:val="0"/>
          <w:szCs w:val="28"/>
          <w:highlight w:val="none"/>
        </w:rPr>
        <w:t>预算编制科学性：</w:t>
      </w:r>
      <w:r>
        <w:rPr>
          <w:rFonts w:hint="eastAsia" w:ascii="Times New Roman" w:hAnsi="Times New Roman" w:cs="Times New Roman"/>
          <w:color w:val="auto"/>
          <w:kern w:val="0"/>
          <w:szCs w:val="28"/>
          <w:highlight w:val="none"/>
          <w:lang w:eastAsia="zh-CN"/>
        </w:rPr>
        <w:t>根据《</w:t>
      </w:r>
      <w:r>
        <w:rPr>
          <w:rFonts w:hint="default" w:ascii="Times New Roman" w:hAnsi="Times New Roman" w:cs="Times New Roman"/>
          <w:color w:val="auto"/>
          <w:kern w:val="0"/>
          <w:szCs w:val="28"/>
          <w:highlight w:val="none"/>
          <w:lang w:eastAsia="zh-CN"/>
        </w:rPr>
        <w:t>新疆维吾尔自治区乌鲁木齐市水磨沟区人民法院行政调解书</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default" w:ascii="Times New Roman" w:hAnsi="Times New Roman" w:cs="Times New Roman"/>
          <w:color w:val="auto"/>
          <w:szCs w:val="28"/>
          <w:highlight w:val="none"/>
          <w:lang w:eastAsia="zh-CN"/>
        </w:rPr>
        <w:t>）新</w:t>
      </w:r>
      <w:r>
        <w:rPr>
          <w:rFonts w:hint="default" w:ascii="Times New Roman" w:hAnsi="Times New Roman" w:cs="Times New Roman"/>
          <w:color w:val="auto"/>
          <w:szCs w:val="28"/>
          <w:highlight w:val="none"/>
          <w:lang w:val="en-US" w:eastAsia="zh-CN"/>
        </w:rPr>
        <w:t>0105行初163号</w:t>
      </w:r>
      <w:r>
        <w:rPr>
          <w:rFonts w:hint="eastAsia" w:ascii="Times New Roman" w:hAnsi="Times New Roman" w:cs="Times New Roman"/>
          <w:color w:val="auto"/>
          <w:szCs w:val="28"/>
          <w:highlight w:val="none"/>
          <w:lang w:eastAsia="zh-CN"/>
        </w:rPr>
        <w:t>），对刘梅四季山庄的补偿金额进行规定，赔偿总金额为</w:t>
      </w:r>
      <w:r>
        <w:rPr>
          <w:rFonts w:hint="eastAsia" w:ascii="Times New Roman" w:hAnsi="Times New Roman" w:cs="Times New Roman"/>
          <w:color w:val="auto"/>
          <w:szCs w:val="28"/>
          <w:highlight w:val="none"/>
          <w:lang w:val="en-US" w:eastAsia="zh-CN"/>
        </w:rPr>
        <w:t>567.48万元，第一次支付150万元，第二次（本次）支付150万元，预计2023年支付267.48万元。</w:t>
      </w:r>
      <w:r>
        <w:rPr>
          <w:rFonts w:hint="default" w:ascii="Times New Roman" w:hAnsi="Times New Roman" w:cs="Times New Roman"/>
          <w:color w:val="auto"/>
          <w:kern w:val="0"/>
          <w:szCs w:val="28"/>
          <w:highlight w:val="none"/>
          <w:lang w:eastAsia="zh-CN"/>
        </w:rPr>
        <w:t>项目绩效目标申报</w:t>
      </w:r>
      <w:r>
        <w:rPr>
          <w:rFonts w:hint="default" w:ascii="Times New Roman" w:hAnsi="Times New Roman" w:cs="Times New Roman"/>
          <w:color w:val="auto"/>
          <w:kern w:val="0"/>
          <w:szCs w:val="28"/>
          <w:highlight w:val="none"/>
        </w:rPr>
        <w:t>编制清晰，有明确标准、预算内容和项目内容相匹配</w:t>
      </w:r>
      <w:r>
        <w:rPr>
          <w:rFonts w:hint="default" w:ascii="Times New Roman" w:hAnsi="Times New Roman" w:cs="Times New Roman"/>
          <w:b/>
          <w:color w:val="auto"/>
          <w:kern w:val="0"/>
          <w:szCs w:val="28"/>
          <w:highlight w:val="none"/>
        </w:rPr>
        <w:t>。</w:t>
      </w:r>
      <w:r>
        <w:rPr>
          <w:rFonts w:hint="default" w:ascii="Times New Roman" w:hAnsi="Times New Roman" w:cs="Times New Roman"/>
          <w:color w:val="auto"/>
          <w:kern w:val="0"/>
          <w:szCs w:val="28"/>
          <w:highlight w:val="none"/>
        </w:rPr>
        <w:t>故预算编制科学性指标得分3分。</w:t>
      </w:r>
    </w:p>
    <w:p w14:paraId="710C5B9D">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cs="Times New Roman"/>
          <w:color w:val="auto"/>
          <w:kern w:val="0"/>
          <w:szCs w:val="28"/>
          <w:highlight w:val="none"/>
          <w:lang w:eastAsia="zh-CN"/>
        </w:rPr>
      </w:pPr>
      <w:r>
        <w:rPr>
          <w:rFonts w:hint="default" w:ascii="Times New Roman" w:hAnsi="Times New Roman" w:cs="Times New Roman"/>
          <w:b/>
          <w:bCs/>
          <w:color w:val="auto"/>
          <w:highlight w:val="none"/>
        </w:rPr>
        <w:t>资金分配合理性</w:t>
      </w:r>
      <w:r>
        <w:rPr>
          <w:rFonts w:hint="default" w:ascii="Times New Roman" w:hAnsi="Times New Roman" w:cs="Times New Roman"/>
          <w:color w:val="auto"/>
          <w:highlight w:val="none"/>
        </w:rPr>
        <w:t>：</w:t>
      </w:r>
      <w:r>
        <w:rPr>
          <w:rFonts w:hint="eastAsia" w:ascii="Times New Roman" w:hAnsi="Times New Roman" w:cs="Times New Roman"/>
          <w:color w:val="auto"/>
          <w:kern w:val="0"/>
          <w:szCs w:val="28"/>
          <w:highlight w:val="none"/>
          <w:lang w:eastAsia="zh-CN"/>
        </w:rPr>
        <w:t>根据《</w:t>
      </w:r>
      <w:r>
        <w:rPr>
          <w:rFonts w:hint="default" w:ascii="Times New Roman" w:hAnsi="Times New Roman" w:cs="Times New Roman"/>
          <w:color w:val="auto"/>
          <w:kern w:val="0"/>
          <w:szCs w:val="28"/>
          <w:highlight w:val="none"/>
          <w:lang w:eastAsia="zh-CN"/>
        </w:rPr>
        <w:t>新疆维吾尔自治区乌鲁木齐市水磨沟区人民法院行政调解书</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default" w:ascii="Times New Roman" w:hAnsi="Times New Roman" w:cs="Times New Roman"/>
          <w:color w:val="auto"/>
          <w:szCs w:val="28"/>
          <w:highlight w:val="none"/>
          <w:lang w:eastAsia="zh-CN"/>
        </w:rPr>
        <w:t>）新</w:t>
      </w:r>
      <w:r>
        <w:rPr>
          <w:rFonts w:hint="default" w:ascii="Times New Roman" w:hAnsi="Times New Roman" w:cs="Times New Roman"/>
          <w:color w:val="auto"/>
          <w:szCs w:val="28"/>
          <w:highlight w:val="none"/>
          <w:lang w:val="en-US" w:eastAsia="zh-CN"/>
        </w:rPr>
        <w:t>0105行初163号</w:t>
      </w:r>
      <w:r>
        <w:rPr>
          <w:rFonts w:hint="eastAsia" w:ascii="Times New Roman" w:hAnsi="Times New Roman" w:cs="Times New Roman"/>
          <w:color w:val="auto"/>
          <w:szCs w:val="28"/>
          <w:highlight w:val="none"/>
          <w:lang w:eastAsia="zh-CN"/>
        </w:rPr>
        <w:t>），对刘梅四季山庄的补偿金额进行规定，赔偿总金额为</w:t>
      </w:r>
      <w:r>
        <w:rPr>
          <w:rFonts w:hint="eastAsia" w:ascii="Times New Roman" w:hAnsi="Times New Roman" w:cs="Times New Roman"/>
          <w:color w:val="auto"/>
          <w:szCs w:val="28"/>
          <w:highlight w:val="none"/>
          <w:lang w:val="en-US" w:eastAsia="zh-CN"/>
        </w:rPr>
        <w:t>567.48万元，2021年支付150万元，2022年已做预算资金150万元，年底已全部支付完毕，2023年计划支付267.48万元。</w:t>
      </w:r>
      <w:r>
        <w:rPr>
          <w:rFonts w:hint="default" w:ascii="Times New Roman" w:hAnsi="Times New Roman" w:cs="Times New Roman"/>
          <w:color w:val="auto"/>
          <w:kern w:val="0"/>
          <w:szCs w:val="28"/>
          <w:highlight w:val="none"/>
          <w:lang w:eastAsia="zh-CN"/>
        </w:rPr>
        <w:t>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故资金分配合理性指标得分3分。</w:t>
      </w:r>
    </w:p>
    <w:p w14:paraId="6F9AB381">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val="en-US" w:eastAsia="zh-CN"/>
        </w:rPr>
        <w:t>6</w:t>
      </w:r>
      <w:r>
        <w:rPr>
          <w:rFonts w:hint="default" w:ascii="Times New Roman" w:hAnsi="Times New Roman" w:cs="Times New Roman"/>
          <w:b/>
          <w:color w:val="auto"/>
          <w:kern w:val="0"/>
          <w:szCs w:val="28"/>
          <w:highlight w:val="none"/>
        </w:rPr>
        <w:t>分。</w:t>
      </w:r>
    </w:p>
    <w:p w14:paraId="0D497CF0">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6" w:name="_Toc67911613"/>
      <w:bookmarkStart w:id="37" w:name="_Toc100784604"/>
      <w:r>
        <w:rPr>
          <w:rFonts w:hint="default" w:ascii="Times New Roman" w:hAnsi="Times New Roman" w:eastAsia="仿宋" w:cs="Times New Roman"/>
          <w:color w:val="auto"/>
          <w:sz w:val="32"/>
          <w:szCs w:val="32"/>
          <w:highlight w:val="none"/>
          <w:lang w:bidi="en-US"/>
        </w:rPr>
        <w:t>（二）项目过程情况</w:t>
      </w:r>
      <w:bookmarkEnd w:id="36"/>
      <w:bookmarkEnd w:id="37"/>
    </w:p>
    <w:p w14:paraId="7C35FD08">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14:paraId="1BD27FAC">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8" w:name="_Toc100784605"/>
      <w:r>
        <w:rPr>
          <w:rFonts w:hint="default" w:ascii="Times New Roman" w:hAnsi="Times New Roman" w:eastAsia="仿宋" w:cs="Times New Roman"/>
          <w:color w:val="auto"/>
          <w:sz w:val="32"/>
          <w:szCs w:val="32"/>
          <w:highlight w:val="none"/>
          <w:lang w:bidi="en-US"/>
        </w:rPr>
        <w:t>1.资金管理</w:t>
      </w:r>
      <w:bookmarkEnd w:id="38"/>
    </w:p>
    <w:p w14:paraId="4E033133">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资金到位率：</w:t>
      </w:r>
      <w:r>
        <w:rPr>
          <w:rFonts w:hint="default" w:ascii="Times New Roman" w:hAnsi="Times New Roman" w:cs="Times New Roman"/>
          <w:color w:val="auto"/>
          <w:szCs w:val="28"/>
          <w:highlight w:val="none"/>
          <w:lang w:eastAsia="zh-CN"/>
        </w:rPr>
        <w:t>预算资金</w:t>
      </w:r>
      <w:r>
        <w:rPr>
          <w:rFonts w:hint="eastAsia" w:ascii="Times New Roman" w:hAnsi="Times New Roman" w:cs="Times New Roman"/>
          <w:color w:val="auto"/>
          <w:szCs w:val="28"/>
          <w:highlight w:val="none"/>
          <w:lang w:val="en-US" w:eastAsia="zh-CN"/>
        </w:rPr>
        <w:t>150</w:t>
      </w:r>
      <w:r>
        <w:rPr>
          <w:rFonts w:hint="default" w:ascii="Times New Roman" w:hAnsi="Times New Roman" w:cs="Times New Roman"/>
          <w:color w:val="auto"/>
          <w:szCs w:val="28"/>
          <w:highlight w:val="none"/>
          <w:lang w:eastAsia="zh-CN"/>
        </w:rPr>
        <w:t>万元，</w:t>
      </w:r>
      <w:r>
        <w:rPr>
          <w:rFonts w:hint="default" w:ascii="Times New Roman" w:hAnsi="Times New Roman" w:cs="Times New Roman"/>
          <w:color w:val="auto"/>
          <w:szCs w:val="28"/>
          <w:highlight w:val="none"/>
          <w:lang w:val="en-US" w:eastAsia="zh-CN"/>
        </w:rPr>
        <w:t>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lang w:val="en-US" w:eastAsia="zh-CN"/>
        </w:rPr>
        <w:t>年</w:t>
      </w:r>
      <w:r>
        <w:rPr>
          <w:rFonts w:hint="eastAsia" w:ascii="Times New Roman" w:hAnsi="Times New Roman" w:cs="Times New Roman"/>
          <w:color w:val="auto"/>
          <w:szCs w:val="28"/>
          <w:highlight w:val="none"/>
          <w:lang w:val="en-US" w:eastAsia="zh-CN"/>
        </w:rPr>
        <w:t>4</w:t>
      </w:r>
      <w:r>
        <w:rPr>
          <w:rFonts w:hint="default" w:ascii="Times New Roman" w:hAnsi="Times New Roman" w:cs="Times New Roman"/>
          <w:color w:val="auto"/>
          <w:szCs w:val="28"/>
          <w:highlight w:val="none"/>
          <w:lang w:val="en-US" w:eastAsia="zh-CN"/>
        </w:rPr>
        <w:t>月份</w:t>
      </w:r>
      <w:r>
        <w:rPr>
          <w:rFonts w:hint="default" w:ascii="Times New Roman" w:hAnsi="Times New Roman" w:cs="Times New Roman"/>
          <w:color w:val="auto"/>
          <w:szCs w:val="28"/>
          <w:highlight w:val="none"/>
          <w:lang w:eastAsia="zh-CN"/>
        </w:rPr>
        <w:t>拨付资金</w:t>
      </w:r>
      <w:r>
        <w:rPr>
          <w:rFonts w:hint="eastAsia" w:ascii="Times New Roman" w:hAnsi="Times New Roman" w:cs="Times New Roman"/>
          <w:color w:val="auto"/>
          <w:szCs w:val="28"/>
          <w:highlight w:val="none"/>
          <w:lang w:val="en-US" w:eastAsia="zh-CN"/>
        </w:rPr>
        <w:t>150</w:t>
      </w:r>
      <w:r>
        <w:rPr>
          <w:rFonts w:hint="default" w:ascii="Times New Roman" w:hAnsi="Times New Roman" w:cs="Times New Roman"/>
          <w:color w:val="auto"/>
          <w:szCs w:val="28"/>
          <w:highlight w:val="none"/>
          <w:lang w:eastAsia="zh-CN"/>
        </w:rPr>
        <w:t>万元及时到位，资金与实际到位资金相符，资金到位率100%。故资金到位率指标得分</w:t>
      </w:r>
      <w:r>
        <w:rPr>
          <w:rFonts w:hint="default" w:ascii="Times New Roman" w:hAnsi="Times New Roman" w:cs="Times New Roman"/>
          <w:color w:val="auto"/>
          <w:szCs w:val="28"/>
          <w:highlight w:val="none"/>
          <w:lang w:val="en-US" w:eastAsia="zh-CN"/>
        </w:rPr>
        <w:t>5</w:t>
      </w:r>
      <w:r>
        <w:rPr>
          <w:rFonts w:hint="default" w:ascii="Times New Roman" w:hAnsi="Times New Roman" w:cs="Times New Roman"/>
          <w:color w:val="auto"/>
          <w:szCs w:val="28"/>
          <w:highlight w:val="none"/>
          <w:lang w:eastAsia="zh-CN"/>
        </w:rPr>
        <w:t>分。</w:t>
      </w:r>
    </w:p>
    <w:p w14:paraId="7488FD74">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预算执行率：</w:t>
      </w:r>
      <w:r>
        <w:rPr>
          <w:rFonts w:hint="eastAsia" w:ascii="Times New Roman" w:hAnsi="Times New Roman" w:cs="Times New Roman"/>
          <w:b w:val="0"/>
          <w:bCs w:val="0"/>
          <w:color w:val="auto"/>
          <w:szCs w:val="28"/>
          <w:highlight w:val="none"/>
          <w:lang w:eastAsia="zh-CN"/>
        </w:rPr>
        <w:t>该项目使用的资金为</w:t>
      </w:r>
      <w:r>
        <w:rPr>
          <w:rFonts w:hint="eastAsia" w:ascii="Times New Roman" w:hAnsi="Times New Roman" w:cs="Times New Roman"/>
          <w:b w:val="0"/>
          <w:bCs w:val="0"/>
          <w:color w:val="auto"/>
          <w:szCs w:val="28"/>
          <w:highlight w:val="none"/>
          <w:lang w:val="en-US" w:eastAsia="zh-CN"/>
        </w:rPr>
        <w:t>2022年4月8日财政直接支付给四季山庄度假村法人刘梅的资金，作为四季山庄第2笔赔偿款，截止2022年12月已赔偿300万元（赔偿总金额为567.48万元），剩余资金预计2023年全部支付完毕。</w:t>
      </w:r>
      <w:r>
        <w:rPr>
          <w:rFonts w:hint="default" w:ascii="Times New Roman" w:hAnsi="Times New Roman" w:cs="Times New Roman"/>
          <w:color w:val="auto"/>
          <w:szCs w:val="28"/>
          <w:highlight w:val="none"/>
          <w:lang w:val="en-US" w:eastAsia="zh-CN"/>
        </w:rPr>
        <w:t>项目正常开展，202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lang w:val="en-US" w:eastAsia="zh-CN"/>
        </w:rPr>
        <w:t>年1月1日-202</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lang w:val="en-US" w:eastAsia="zh-CN"/>
        </w:rPr>
        <w:t>年12月31日共计支出经费</w:t>
      </w:r>
      <w:r>
        <w:rPr>
          <w:rFonts w:hint="eastAsia" w:ascii="Times New Roman" w:hAnsi="Times New Roman" w:cs="Times New Roman"/>
          <w:color w:val="auto"/>
          <w:szCs w:val="28"/>
          <w:highlight w:val="none"/>
          <w:lang w:val="en-US" w:eastAsia="zh-CN"/>
        </w:rPr>
        <w:t>150</w:t>
      </w:r>
      <w:r>
        <w:rPr>
          <w:rFonts w:hint="default" w:ascii="Times New Roman" w:hAnsi="Times New Roman" w:cs="Times New Roman"/>
          <w:color w:val="auto"/>
          <w:szCs w:val="28"/>
          <w:highlight w:val="none"/>
          <w:lang w:val="en-US" w:eastAsia="zh-CN"/>
        </w:rPr>
        <w:t>万元，</w:t>
      </w:r>
      <w:r>
        <w:rPr>
          <w:rFonts w:hint="eastAsia" w:ascii="Times New Roman" w:hAnsi="Times New Roman" w:cs="Times New Roman"/>
          <w:color w:val="auto"/>
          <w:szCs w:val="28"/>
          <w:highlight w:val="none"/>
          <w:lang w:val="en-US" w:eastAsia="zh-CN"/>
        </w:rPr>
        <w:t>预算执行率为100%。</w:t>
      </w:r>
      <w:r>
        <w:rPr>
          <w:rFonts w:hint="default" w:ascii="Times New Roman" w:hAnsi="Times New Roman" w:cs="Times New Roman"/>
          <w:color w:val="auto"/>
          <w:szCs w:val="28"/>
          <w:highlight w:val="none"/>
          <w:lang w:eastAsia="zh-CN"/>
        </w:rPr>
        <w:t>故预算执行率得分为</w:t>
      </w:r>
      <w:r>
        <w:rPr>
          <w:rFonts w:hint="default" w:ascii="Times New Roman" w:hAnsi="Times New Roman" w:cs="Times New Roman"/>
          <w:color w:val="auto"/>
          <w:szCs w:val="28"/>
          <w:highlight w:val="none"/>
          <w:lang w:val="en-US" w:eastAsia="zh-CN"/>
        </w:rPr>
        <w:t>4</w:t>
      </w:r>
      <w:r>
        <w:rPr>
          <w:rFonts w:hint="default" w:ascii="Times New Roman" w:hAnsi="Times New Roman" w:cs="Times New Roman"/>
          <w:color w:val="auto"/>
          <w:szCs w:val="28"/>
          <w:highlight w:val="none"/>
          <w:lang w:eastAsia="zh-CN"/>
        </w:rPr>
        <w:t>分。</w:t>
      </w:r>
    </w:p>
    <w:p w14:paraId="12AA7C81">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资金使用合规性：</w:t>
      </w:r>
      <w:r>
        <w:rPr>
          <w:rFonts w:hint="default" w:ascii="Times New Roman" w:hAnsi="Times New Roman" w:cs="Times New Roman"/>
          <w:color w:val="auto"/>
          <w:szCs w:val="28"/>
          <w:highlight w:val="none"/>
          <w:lang w:val="en-US" w:eastAsia="zh-CN"/>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14:paraId="2035F394">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lang w:val="en-US" w:eastAsia="zh-CN"/>
        </w:rPr>
        <w:t>13</w:t>
      </w:r>
      <w:r>
        <w:rPr>
          <w:rFonts w:hint="default" w:ascii="Times New Roman" w:hAnsi="Times New Roman" w:cs="Times New Roman"/>
          <w:b/>
          <w:color w:val="auto"/>
          <w:kern w:val="0"/>
          <w:szCs w:val="28"/>
          <w:highlight w:val="none"/>
        </w:rPr>
        <w:t>分。</w:t>
      </w:r>
    </w:p>
    <w:p w14:paraId="3B47EC2D">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9" w:name="_Toc100784606"/>
      <w:r>
        <w:rPr>
          <w:rFonts w:hint="default" w:ascii="Times New Roman" w:hAnsi="Times New Roman" w:eastAsia="仿宋" w:cs="Times New Roman"/>
          <w:color w:val="auto"/>
          <w:sz w:val="32"/>
          <w:szCs w:val="32"/>
          <w:highlight w:val="none"/>
          <w:lang w:bidi="en-US"/>
        </w:rPr>
        <w:t>2.组织实施</w:t>
      </w:r>
      <w:bookmarkEnd w:id="39"/>
    </w:p>
    <w:p w14:paraId="579CEEC8">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管理制度健全性</w:t>
      </w:r>
      <w:r>
        <w:rPr>
          <w:rFonts w:hint="default" w:ascii="Times New Roman" w:hAnsi="Times New Roman" w:cs="Times New Roman"/>
          <w:color w:val="auto"/>
          <w:szCs w:val="28"/>
          <w:highlight w:val="none"/>
        </w:rPr>
        <w:t>：</w:t>
      </w:r>
      <w:r>
        <w:rPr>
          <w:rFonts w:hint="eastAsia" w:ascii="Times New Roman" w:hAnsi="Times New Roman" w:cs="Times New Roman"/>
          <w:color w:val="auto"/>
          <w:szCs w:val="28"/>
          <w:highlight w:val="none"/>
          <w:lang w:eastAsia="zh-CN"/>
        </w:rPr>
        <w:t>乌鲁木齐县水西沟镇人民政府</w:t>
      </w:r>
      <w:r>
        <w:rPr>
          <w:rFonts w:hint="default" w:ascii="Times New Roman" w:hAnsi="Times New Roman" w:cs="Times New Roman"/>
          <w:color w:val="auto"/>
          <w:szCs w:val="28"/>
          <w:highlight w:val="none"/>
        </w:rPr>
        <w:t>已制定相应的财务和业务管理制度，且制度合法、合规、完整，为项目顺利实施提供重要保障。故管理制度健全性得分为3分。</w:t>
      </w:r>
    </w:p>
    <w:p w14:paraId="372D799A">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cs="Times New Roman"/>
          <w:color w:val="auto"/>
          <w:szCs w:val="28"/>
          <w:highlight w:val="none"/>
          <w:lang w:eastAsia="zh-CN"/>
        </w:rPr>
      </w:pPr>
      <w:r>
        <w:rPr>
          <w:rFonts w:hint="default" w:ascii="Times New Roman" w:hAnsi="Times New Roman" w:cs="Times New Roman"/>
          <w:b/>
          <w:bCs/>
          <w:color w:val="auto"/>
          <w:szCs w:val="28"/>
          <w:highlight w:val="none"/>
        </w:rPr>
        <w:t>制度执行有效性：</w:t>
      </w:r>
      <w:r>
        <w:rPr>
          <w:rFonts w:hint="default" w:ascii="Times New Roman" w:hAnsi="Times New Roman" w:cs="Times New Roman"/>
          <w:color w:val="auto"/>
          <w:szCs w:val="28"/>
          <w:highlight w:val="none"/>
          <w:lang w:eastAsia="zh-CN"/>
        </w:rPr>
        <w:t>根据现场调研和资料抽查情况，</w:t>
      </w:r>
      <w:r>
        <w:rPr>
          <w:rFonts w:hint="eastAsia" w:ascii="Times New Roman" w:hAnsi="Times New Roman" w:cs="Times New Roman"/>
          <w:color w:val="auto"/>
          <w:szCs w:val="28"/>
          <w:highlight w:val="none"/>
          <w:lang w:val="en-US" w:eastAsia="zh-CN"/>
        </w:rPr>
        <w:t>项目</w:t>
      </w:r>
      <w:r>
        <w:rPr>
          <w:rFonts w:hint="default" w:ascii="Times New Roman" w:hAnsi="Times New Roman" w:cs="Times New Roman"/>
          <w:color w:val="auto"/>
          <w:szCs w:val="28"/>
          <w:highlight w:val="none"/>
          <w:lang w:eastAsia="zh-CN"/>
        </w:rPr>
        <w:t>严格遵守相关法律法规和相关管理规定，项目调整及支出调整手续完备，整体管理合理有序，项目完成后，及时将会计凭证、固定资产入库单等相关资料分类归档，制度执行有效。故制度执行有效性指标得分4分。</w:t>
      </w:r>
    </w:p>
    <w:p w14:paraId="08122F56">
      <w:pPr>
        <w:autoSpaceDE w:val="0"/>
        <w:spacing w:line="600" w:lineRule="exact"/>
        <w:ind w:firstLine="562"/>
        <w:rPr>
          <w:rFonts w:hint="default" w:ascii="Times New Roman" w:hAnsi="Times New Roman" w:cs="Times New Roman"/>
          <w:b/>
          <w:color w:val="auto"/>
          <w:kern w:val="0"/>
          <w:szCs w:val="28"/>
          <w:highlight w:val="none"/>
        </w:rPr>
      </w:pPr>
      <w:bookmarkStart w:id="40" w:name="_Hlk67670213"/>
      <w:r>
        <w:rPr>
          <w:rFonts w:hint="default" w:ascii="Times New Roman" w:hAnsi="Times New Roman" w:cs="Times New Roman"/>
          <w:b/>
          <w:color w:val="auto"/>
          <w:kern w:val="0"/>
          <w:szCs w:val="28"/>
          <w:highlight w:val="none"/>
        </w:rPr>
        <w:t>综上，该指标满分7分，得分7分。</w:t>
      </w:r>
    </w:p>
    <w:bookmarkEnd w:id="40"/>
    <w:p w14:paraId="57165C75">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1" w:name="_Toc100784607"/>
      <w:bookmarkStart w:id="42" w:name="_Toc67911614"/>
      <w:r>
        <w:rPr>
          <w:rFonts w:hint="default" w:ascii="Times New Roman" w:hAnsi="Times New Roman" w:eastAsia="仿宋" w:cs="Times New Roman"/>
          <w:color w:val="auto"/>
          <w:sz w:val="32"/>
          <w:szCs w:val="32"/>
          <w:highlight w:val="none"/>
          <w:lang w:bidi="en-US"/>
        </w:rPr>
        <w:t>（三）项目产出情况</w:t>
      </w:r>
      <w:bookmarkEnd w:id="41"/>
      <w:bookmarkEnd w:id="42"/>
    </w:p>
    <w:p w14:paraId="0F2B3A24">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项目产出指标由4个二级指标和4个三级指标构成，权重为40分，实际得分</w:t>
      </w:r>
      <w:r>
        <w:rPr>
          <w:rFonts w:hint="eastAsia" w:ascii="Times New Roman" w:hAnsi="Times New Roman" w:cs="Times New Roman"/>
          <w:color w:val="auto"/>
          <w:szCs w:val="28"/>
          <w:highlight w:val="none"/>
          <w:lang w:val="en-US" w:eastAsia="zh-CN"/>
        </w:rPr>
        <w:t>40</w:t>
      </w:r>
      <w:r>
        <w:rPr>
          <w:rFonts w:hint="default" w:ascii="Times New Roman" w:hAnsi="Times New Roman" w:cs="Times New Roman"/>
          <w:color w:val="auto"/>
          <w:szCs w:val="28"/>
          <w:highlight w:val="none"/>
        </w:rPr>
        <w:t>分。</w:t>
      </w:r>
    </w:p>
    <w:p w14:paraId="38AC8FA7">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3" w:name="_Toc100784608"/>
      <w:r>
        <w:rPr>
          <w:rFonts w:hint="default" w:ascii="Times New Roman" w:hAnsi="Times New Roman" w:eastAsia="仿宋" w:cs="Times New Roman"/>
          <w:color w:val="auto"/>
          <w:sz w:val="32"/>
          <w:szCs w:val="32"/>
          <w:highlight w:val="none"/>
          <w:lang w:bidi="en-US"/>
        </w:rPr>
        <w:t>1.产出数量</w:t>
      </w:r>
      <w:bookmarkEnd w:id="43"/>
    </w:p>
    <w:p w14:paraId="01CE9A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cs="Times New Roman"/>
          <w:color w:val="auto"/>
          <w:szCs w:val="28"/>
          <w:highlight w:val="none"/>
        </w:rPr>
      </w:pPr>
      <w:r>
        <w:rPr>
          <w:rFonts w:hint="default" w:ascii="Times New Roman" w:hAnsi="Times New Roman" w:cs="Times New Roman"/>
          <w:bCs/>
          <w:color w:val="auto"/>
          <w:szCs w:val="28"/>
          <w:highlight w:val="none"/>
        </w:rPr>
        <w:t>数量指标“</w:t>
      </w:r>
      <w:r>
        <w:rPr>
          <w:rFonts w:hint="default" w:ascii="Times New Roman" w:hAnsi="Times New Roman" w:cs="Times New Roman"/>
          <w:color w:val="auto"/>
          <w:szCs w:val="28"/>
          <w:highlight w:val="none"/>
        </w:rPr>
        <w:t>补偿次数”</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2</w:t>
      </w:r>
      <w:r>
        <w:rPr>
          <w:rFonts w:hint="default" w:ascii="Times New Roman" w:hAnsi="Times New Roman" w:cs="Times New Roman"/>
          <w:bCs/>
          <w:color w:val="auto"/>
          <w:szCs w:val="28"/>
          <w:highlight w:val="none"/>
        </w:rPr>
        <w:t>个，2022年度我单位实际完成</w:t>
      </w:r>
      <w:r>
        <w:rPr>
          <w:rFonts w:hint="eastAsia" w:ascii="Times New Roman" w:hAnsi="Times New Roman" w:cs="Times New Roman"/>
          <w:bCs/>
          <w:color w:val="auto"/>
          <w:szCs w:val="28"/>
          <w:highlight w:val="none"/>
          <w:lang w:val="en-US" w:eastAsia="zh-CN"/>
        </w:rPr>
        <w:t>1</w:t>
      </w:r>
      <w:r>
        <w:rPr>
          <w:rFonts w:hint="eastAsia" w:ascii="Times New Roman" w:hAnsi="Times New Roman" w:cs="Times New Roman"/>
          <w:bCs/>
          <w:color w:val="auto"/>
          <w:szCs w:val="28"/>
          <w:highlight w:val="none"/>
          <w:lang w:eastAsia="zh-CN"/>
        </w:rPr>
        <w:t>次</w:t>
      </w:r>
      <w:r>
        <w:rPr>
          <w:rFonts w:hint="default" w:ascii="Times New Roman" w:hAnsi="Times New Roman" w:cs="Times New Roman"/>
          <w:bCs/>
          <w:color w:val="auto"/>
          <w:szCs w:val="28"/>
          <w:highlight w:val="none"/>
        </w:rPr>
        <w:t>，原因是</w:t>
      </w:r>
      <w:r>
        <w:rPr>
          <w:rFonts w:hint="eastAsia" w:ascii="Times New Roman" w:hAnsi="Times New Roman" w:cs="Times New Roman"/>
          <w:bCs/>
          <w:color w:val="auto"/>
          <w:szCs w:val="28"/>
          <w:highlight w:val="none"/>
          <w:lang w:val="en-US" w:eastAsia="zh-CN"/>
        </w:rPr>
        <w:t>补偿金额未发生变化，将</w:t>
      </w:r>
      <w:r>
        <w:rPr>
          <w:rFonts w:hint="eastAsia" w:ascii="Times New Roman" w:hAnsi="Times New Roman" w:cs="Times New Roman"/>
          <w:bCs/>
          <w:color w:val="auto"/>
          <w:szCs w:val="28"/>
          <w:highlight w:val="none"/>
          <w:lang w:eastAsia="zh-CN"/>
        </w:rPr>
        <w:t>补偿次数变为</w:t>
      </w:r>
      <w:r>
        <w:rPr>
          <w:rFonts w:hint="eastAsia" w:ascii="Times New Roman" w:hAnsi="Times New Roman" w:cs="Times New Roman"/>
          <w:bCs/>
          <w:color w:val="auto"/>
          <w:szCs w:val="28"/>
          <w:highlight w:val="none"/>
          <w:lang w:val="en-US" w:eastAsia="zh-CN"/>
        </w:rPr>
        <w:t>1次。</w:t>
      </w:r>
      <w:r>
        <w:rPr>
          <w:rFonts w:hint="default" w:ascii="Times New Roman" w:hAnsi="Times New Roman" w:cs="Times New Roman"/>
          <w:color w:val="auto"/>
          <w:szCs w:val="28"/>
          <w:highlight w:val="none"/>
          <w:lang w:eastAsia="zh-CN"/>
        </w:rPr>
        <w:t>实际完成率：</w:t>
      </w:r>
      <w:r>
        <w:rPr>
          <w:rFonts w:hint="eastAsia" w:eastAsia="仿宋" w:cs="Times New Roman"/>
          <w:b w:val="0"/>
          <w:bCs w:val="0"/>
          <w:color w:val="auto"/>
          <w:sz w:val="30"/>
          <w:szCs w:val="30"/>
          <w:highlight w:val="none"/>
          <w:lang w:val="en-US" w:eastAsia="zh-CN"/>
        </w:rPr>
        <w:t>100%</w:t>
      </w:r>
      <w:r>
        <w:rPr>
          <w:rFonts w:hint="default" w:ascii="Times New Roman" w:hAnsi="Times New Roman" w:eastAsia="仿宋" w:cs="Times New Roman"/>
          <w:b w:val="0"/>
          <w:bCs w:val="0"/>
          <w:color w:val="auto"/>
          <w:sz w:val="30"/>
          <w:szCs w:val="30"/>
          <w:highlight w:val="none"/>
          <w:lang w:eastAsia="zh-CN"/>
        </w:rPr>
        <w:t>，</w:t>
      </w:r>
      <w:r>
        <w:rPr>
          <w:rFonts w:hint="default"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14:paraId="351BAED8">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4" w:name="_Toc100784609"/>
      <w:r>
        <w:rPr>
          <w:rFonts w:hint="default" w:ascii="Times New Roman" w:hAnsi="Times New Roman" w:eastAsia="仿宋" w:cs="Times New Roman"/>
          <w:color w:val="auto"/>
          <w:sz w:val="32"/>
          <w:szCs w:val="32"/>
          <w:highlight w:val="none"/>
          <w:lang w:bidi="en-US"/>
        </w:rPr>
        <w:t>2.产出质量</w:t>
      </w:r>
      <w:bookmarkEnd w:id="44"/>
    </w:p>
    <w:p w14:paraId="6F94B50C">
      <w:pPr>
        <w:spacing w:line="360" w:lineRule="auto"/>
        <w:ind w:firstLine="562"/>
        <w:rPr>
          <w:rFonts w:hint="default" w:ascii="Times New Roman" w:hAnsi="Times New Roman" w:cs="Times New Roman"/>
          <w:color w:val="auto"/>
          <w:szCs w:val="28"/>
          <w:highlight w:val="none"/>
        </w:rPr>
      </w:pPr>
      <w:r>
        <w:rPr>
          <w:rFonts w:hint="eastAsia" w:ascii="Times New Roman" w:hAnsi="Times New Roman" w:cs="Times New Roman"/>
          <w:bCs/>
          <w:color w:val="auto"/>
          <w:szCs w:val="28"/>
          <w:highlight w:val="none"/>
          <w:lang w:eastAsia="zh-CN"/>
        </w:rPr>
        <w:t>质量指标“</w:t>
      </w:r>
      <w:r>
        <w:rPr>
          <w:rFonts w:hint="default" w:ascii="Times New Roman" w:hAnsi="Times New Roman" w:cs="Times New Roman"/>
          <w:bCs/>
          <w:color w:val="auto"/>
          <w:szCs w:val="28"/>
          <w:highlight w:val="none"/>
          <w:lang w:eastAsia="zh-CN"/>
        </w:rPr>
        <w:t>信访工作解决率</w:t>
      </w:r>
      <w:r>
        <w:rPr>
          <w:rFonts w:hint="eastAsia" w:ascii="Times New Roman" w:hAnsi="Times New Roman" w:cs="Times New Roman"/>
          <w:bCs/>
          <w:color w:val="auto"/>
          <w:szCs w:val="28"/>
          <w:highlight w:val="none"/>
          <w:lang w:eastAsia="zh-CN"/>
        </w:rPr>
        <w:t>”</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100</w:t>
      </w:r>
      <w:r>
        <w:rPr>
          <w:rFonts w:hint="default" w:ascii="Times New Roman" w:hAnsi="Times New Roman" w:cs="Times New Roman"/>
          <w:bCs/>
          <w:color w:val="auto"/>
          <w:szCs w:val="28"/>
          <w:highlight w:val="none"/>
          <w:lang w:val="en-US" w:eastAsia="zh-CN"/>
        </w:rPr>
        <w:t>%，</w:t>
      </w:r>
      <w:r>
        <w:rPr>
          <w:rFonts w:hint="default" w:ascii="Times New Roman" w:hAnsi="Times New Roman" w:cs="Times New Roman"/>
          <w:bCs/>
          <w:color w:val="auto"/>
          <w:szCs w:val="28"/>
          <w:highlight w:val="none"/>
        </w:rPr>
        <w:t>2022年度我单位实际完成</w:t>
      </w:r>
      <w:r>
        <w:rPr>
          <w:rFonts w:hint="default" w:ascii="Times New Roman" w:hAnsi="Times New Roman" w:cs="Times New Roman"/>
          <w:bCs/>
          <w:color w:val="auto"/>
          <w:szCs w:val="28"/>
          <w:highlight w:val="none"/>
          <w:lang w:eastAsia="zh-CN"/>
        </w:rPr>
        <w:t>率</w:t>
      </w:r>
      <w:r>
        <w:rPr>
          <w:rFonts w:hint="eastAsia" w:ascii="Times New Roman" w:hAnsi="Times New Roman" w:cs="Times New Roman"/>
          <w:bCs/>
          <w:color w:val="auto"/>
          <w:szCs w:val="28"/>
          <w:highlight w:val="none"/>
          <w:lang w:val="en-US" w:eastAsia="zh-CN"/>
        </w:rPr>
        <w:t>100</w:t>
      </w:r>
      <w:r>
        <w:rPr>
          <w:rFonts w:hint="default" w:ascii="Times New Roman" w:hAnsi="Times New Roman" w:cs="Times New Roman"/>
          <w:bCs/>
          <w:color w:val="auto"/>
          <w:szCs w:val="28"/>
          <w:highlight w:val="none"/>
          <w:lang w:val="en-US" w:eastAsia="zh-CN"/>
        </w:rPr>
        <w:t>%</w:t>
      </w:r>
      <w:r>
        <w:rPr>
          <w:rFonts w:hint="eastAsia" w:ascii="Times New Roman" w:hAnsi="Times New Roman" w:cs="Times New Roman"/>
          <w:bCs/>
          <w:color w:val="auto"/>
          <w:szCs w:val="28"/>
          <w:highlight w:val="none"/>
          <w:lang w:val="en-US" w:eastAsia="zh-CN"/>
        </w:rPr>
        <w:t>，</w:t>
      </w:r>
      <w:r>
        <w:rPr>
          <w:rFonts w:hint="default"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14:paraId="70506685">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5" w:name="_Toc100784610"/>
      <w:r>
        <w:rPr>
          <w:rFonts w:hint="default" w:ascii="Times New Roman" w:hAnsi="Times New Roman" w:eastAsia="仿宋" w:cs="Times New Roman"/>
          <w:color w:val="auto"/>
          <w:sz w:val="32"/>
          <w:szCs w:val="32"/>
          <w:highlight w:val="none"/>
          <w:lang w:bidi="en-US"/>
        </w:rPr>
        <w:t>3.产出时效</w:t>
      </w:r>
      <w:bookmarkEnd w:id="45"/>
    </w:p>
    <w:p w14:paraId="29BE6B88">
      <w:pPr>
        <w:spacing w:line="360" w:lineRule="auto"/>
        <w:ind w:firstLine="562"/>
        <w:rPr>
          <w:rFonts w:hint="default" w:ascii="Times New Roman" w:hAnsi="Times New Roman" w:cs="Times New Roman"/>
          <w:bCs/>
          <w:color w:val="auto"/>
          <w:szCs w:val="28"/>
          <w:highlight w:val="none"/>
        </w:rPr>
      </w:pPr>
      <w:r>
        <w:rPr>
          <w:rFonts w:hint="eastAsia" w:ascii="Times New Roman" w:hAnsi="Times New Roman" w:cs="Times New Roman"/>
          <w:bCs/>
          <w:color w:val="auto"/>
          <w:szCs w:val="28"/>
          <w:highlight w:val="none"/>
          <w:lang w:eastAsia="zh-CN"/>
        </w:rPr>
        <w:t>时效指标“</w:t>
      </w:r>
      <w:r>
        <w:rPr>
          <w:rFonts w:hint="default" w:ascii="Times New Roman" w:hAnsi="Times New Roman" w:cs="Times New Roman"/>
          <w:bCs/>
          <w:color w:val="auto"/>
          <w:szCs w:val="28"/>
          <w:highlight w:val="none"/>
        </w:rPr>
        <w:t>补偿款支付及时率</w:t>
      </w:r>
      <w:r>
        <w:rPr>
          <w:rFonts w:hint="eastAsia" w:ascii="Times New Roman" w:hAnsi="Times New Roman" w:cs="Times New Roman"/>
          <w:bCs/>
          <w:color w:val="auto"/>
          <w:szCs w:val="28"/>
          <w:highlight w:val="none"/>
          <w:lang w:eastAsia="zh-CN"/>
        </w:rPr>
        <w:t>”的目标值为</w:t>
      </w:r>
      <w:r>
        <w:rPr>
          <w:rFonts w:hint="eastAsia" w:ascii="Times New Roman" w:hAnsi="Times New Roman" w:cs="Times New Roman"/>
          <w:bCs/>
          <w:color w:val="auto"/>
          <w:szCs w:val="28"/>
          <w:highlight w:val="none"/>
          <w:lang w:val="en-US" w:eastAsia="zh-CN"/>
        </w:rPr>
        <w:t>100%，</w:t>
      </w:r>
      <w:r>
        <w:rPr>
          <w:rFonts w:hint="default" w:ascii="Times New Roman" w:hAnsi="Times New Roman" w:cs="Times New Roman"/>
          <w:bCs/>
          <w:color w:val="auto"/>
          <w:szCs w:val="28"/>
          <w:highlight w:val="none"/>
        </w:rPr>
        <w:t>2022年度我单位实际完成</w:t>
      </w:r>
      <w:r>
        <w:rPr>
          <w:rFonts w:hint="default" w:ascii="Times New Roman" w:hAnsi="Times New Roman" w:cs="Times New Roman"/>
          <w:bCs/>
          <w:color w:val="auto"/>
          <w:szCs w:val="28"/>
          <w:highlight w:val="none"/>
          <w:lang w:eastAsia="zh-CN"/>
        </w:rPr>
        <w:t>率</w:t>
      </w:r>
      <w:r>
        <w:rPr>
          <w:rFonts w:hint="eastAsia" w:ascii="Times New Roman" w:hAnsi="Times New Roman" w:cs="Times New Roman"/>
          <w:bCs/>
          <w:color w:val="auto"/>
          <w:szCs w:val="28"/>
          <w:highlight w:val="none"/>
          <w:lang w:val="en-US" w:eastAsia="zh-CN"/>
        </w:rPr>
        <w:t>100</w:t>
      </w:r>
      <w:r>
        <w:rPr>
          <w:rFonts w:hint="default" w:ascii="Times New Roman" w:hAnsi="Times New Roman" w:cs="Times New Roman"/>
          <w:bCs/>
          <w:color w:val="auto"/>
          <w:szCs w:val="28"/>
          <w:highlight w:val="none"/>
          <w:lang w:val="en-US" w:eastAsia="zh-CN"/>
        </w:rPr>
        <w:t>%</w:t>
      </w:r>
      <w:r>
        <w:rPr>
          <w:rFonts w:hint="eastAsia" w:ascii="Times New Roman" w:hAnsi="Times New Roman" w:cs="Times New Roman"/>
          <w:bCs/>
          <w:color w:val="auto"/>
          <w:szCs w:val="28"/>
          <w:highlight w:val="none"/>
          <w:lang w:val="en-US" w:eastAsia="zh-CN"/>
        </w:rPr>
        <w:t>，</w:t>
      </w:r>
      <w:r>
        <w:rPr>
          <w:rFonts w:hint="default"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14:paraId="30B63AD8">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6" w:name="_Toc100784611"/>
      <w:r>
        <w:rPr>
          <w:rFonts w:hint="default" w:ascii="Times New Roman" w:hAnsi="Times New Roman" w:eastAsia="仿宋" w:cs="Times New Roman"/>
          <w:color w:val="auto"/>
          <w:sz w:val="32"/>
          <w:szCs w:val="32"/>
          <w:highlight w:val="none"/>
          <w:lang w:bidi="en-US"/>
        </w:rPr>
        <w:t>4.产出成本</w:t>
      </w:r>
      <w:bookmarkEnd w:id="46"/>
    </w:p>
    <w:p w14:paraId="0AEF6C45">
      <w:pPr>
        <w:spacing w:line="360" w:lineRule="auto"/>
        <w:ind w:firstLine="562"/>
        <w:rPr>
          <w:rFonts w:hint="default" w:ascii="Times New Roman" w:hAnsi="Times New Roman" w:cs="Times New Roman"/>
          <w:bCs/>
          <w:color w:val="auto"/>
          <w:szCs w:val="28"/>
          <w:highlight w:val="none"/>
        </w:rPr>
      </w:pPr>
      <w:r>
        <w:rPr>
          <w:rFonts w:hint="eastAsia" w:ascii="Times New Roman" w:hAnsi="Times New Roman" w:cs="Times New Roman"/>
          <w:bCs/>
          <w:color w:val="auto"/>
          <w:szCs w:val="28"/>
          <w:highlight w:val="none"/>
          <w:lang w:eastAsia="zh-CN"/>
        </w:rPr>
        <w:t>成本指标“</w:t>
      </w:r>
      <w:r>
        <w:rPr>
          <w:rFonts w:hint="default" w:ascii="Times New Roman" w:hAnsi="Times New Roman" w:cs="Times New Roman"/>
          <w:bCs/>
          <w:color w:val="auto"/>
          <w:szCs w:val="28"/>
          <w:highlight w:val="none"/>
        </w:rPr>
        <w:t>第一次补偿金额</w:t>
      </w:r>
      <w:r>
        <w:rPr>
          <w:rFonts w:hint="eastAsia" w:ascii="Times New Roman" w:hAnsi="Times New Roman" w:cs="Times New Roman"/>
          <w:bCs/>
          <w:color w:val="auto"/>
          <w:szCs w:val="28"/>
          <w:highlight w:val="none"/>
          <w:lang w:eastAsia="zh-CN"/>
        </w:rPr>
        <w:t>”的目标值为</w:t>
      </w:r>
      <w:r>
        <w:rPr>
          <w:rFonts w:hint="eastAsia" w:ascii="Times New Roman" w:hAnsi="Times New Roman" w:cs="Times New Roman"/>
          <w:bCs/>
          <w:color w:val="auto"/>
          <w:szCs w:val="28"/>
          <w:highlight w:val="none"/>
          <w:lang w:val="en-US" w:eastAsia="zh-CN"/>
        </w:rPr>
        <w:t>150万元，</w:t>
      </w:r>
      <w:r>
        <w:rPr>
          <w:rFonts w:hint="default" w:ascii="Times New Roman" w:hAnsi="Times New Roman" w:cs="Times New Roman"/>
          <w:bCs/>
          <w:color w:val="auto"/>
          <w:szCs w:val="28"/>
          <w:highlight w:val="none"/>
        </w:rPr>
        <w:t>2022年度我单位实际完成</w:t>
      </w:r>
      <w:r>
        <w:rPr>
          <w:rFonts w:hint="default" w:ascii="Times New Roman" w:hAnsi="Times New Roman" w:cs="Times New Roman"/>
          <w:bCs/>
          <w:color w:val="auto"/>
          <w:szCs w:val="28"/>
          <w:highlight w:val="none"/>
          <w:lang w:eastAsia="zh-CN"/>
        </w:rPr>
        <w:t>率</w:t>
      </w:r>
      <w:r>
        <w:rPr>
          <w:rFonts w:hint="eastAsia" w:ascii="Times New Roman" w:hAnsi="Times New Roman" w:cs="Times New Roman"/>
          <w:bCs/>
          <w:color w:val="auto"/>
          <w:szCs w:val="28"/>
          <w:highlight w:val="none"/>
          <w:lang w:val="en-US" w:eastAsia="zh-CN"/>
        </w:rPr>
        <w:t>100</w:t>
      </w:r>
      <w:r>
        <w:rPr>
          <w:rFonts w:hint="default" w:ascii="Times New Roman" w:hAnsi="Times New Roman" w:cs="Times New Roman"/>
          <w:bCs/>
          <w:color w:val="auto"/>
          <w:szCs w:val="28"/>
          <w:highlight w:val="none"/>
          <w:lang w:val="en-US" w:eastAsia="zh-CN"/>
        </w:rPr>
        <w:t>%</w:t>
      </w:r>
      <w:r>
        <w:rPr>
          <w:rFonts w:hint="eastAsia" w:ascii="Times New Roman" w:hAnsi="Times New Roman" w:cs="Times New Roman"/>
          <w:bCs/>
          <w:color w:val="auto"/>
          <w:szCs w:val="28"/>
          <w:highlight w:val="none"/>
          <w:lang w:val="en-US" w:eastAsia="zh-CN"/>
        </w:rPr>
        <w:t>，</w:t>
      </w:r>
      <w:r>
        <w:rPr>
          <w:rFonts w:hint="default"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14:paraId="6BE8C0C5">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综上，该指标满分40分，得分</w:t>
      </w:r>
      <w:r>
        <w:rPr>
          <w:rFonts w:hint="eastAsia" w:ascii="Times New Roman" w:hAnsi="Times New Roman" w:cs="Times New Roman"/>
          <w:b/>
          <w:color w:val="auto"/>
          <w:kern w:val="0"/>
          <w:szCs w:val="28"/>
          <w:highlight w:val="none"/>
          <w:lang w:val="en-US" w:eastAsia="zh-CN"/>
        </w:rPr>
        <w:t>40</w:t>
      </w:r>
      <w:r>
        <w:rPr>
          <w:rFonts w:hint="default" w:ascii="Times New Roman" w:hAnsi="Times New Roman" w:cs="Times New Roman"/>
          <w:b/>
          <w:color w:val="auto"/>
          <w:kern w:val="0"/>
          <w:szCs w:val="28"/>
          <w:highlight w:val="none"/>
        </w:rPr>
        <w:t>分。</w:t>
      </w:r>
    </w:p>
    <w:p w14:paraId="52F754F2">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7" w:name="_Toc67911615"/>
      <w:bookmarkStart w:id="48" w:name="_Toc100784612"/>
      <w:r>
        <w:rPr>
          <w:rFonts w:hint="default" w:ascii="Times New Roman" w:hAnsi="Times New Roman" w:eastAsia="仿宋" w:cs="Times New Roman"/>
          <w:color w:val="auto"/>
          <w:sz w:val="32"/>
          <w:szCs w:val="32"/>
          <w:highlight w:val="none"/>
          <w:lang w:bidi="en-US"/>
        </w:rPr>
        <w:t>（四）项目效益情况</w:t>
      </w:r>
      <w:bookmarkEnd w:id="47"/>
      <w:bookmarkEnd w:id="48"/>
    </w:p>
    <w:p w14:paraId="3AFDDE9B">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项目效益指标由</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个二级指标和</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个三级指标构成，权重为</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 xml:space="preserve">分。 </w:t>
      </w:r>
    </w:p>
    <w:p w14:paraId="366464E9">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9" w:name="_Toc100784613"/>
      <w:r>
        <w:rPr>
          <w:rFonts w:hint="default" w:ascii="Times New Roman" w:hAnsi="Times New Roman" w:eastAsia="仿宋" w:cs="Times New Roman"/>
          <w:color w:val="auto"/>
          <w:sz w:val="32"/>
          <w:szCs w:val="32"/>
          <w:highlight w:val="none"/>
          <w:lang w:bidi="en-US"/>
        </w:rPr>
        <w:t>1.项目效益</w:t>
      </w:r>
      <w:bookmarkEnd w:id="49"/>
    </w:p>
    <w:p w14:paraId="7EE54FB3">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（1）实施效益</w:t>
      </w:r>
    </w:p>
    <w:p w14:paraId="3C0A09DD">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经济效益指标：</w:t>
      </w:r>
      <w:r>
        <w:rPr>
          <w:rFonts w:hint="default" w:ascii="Times New Roman" w:hAnsi="Times New Roman" w:cs="Times New Roman"/>
          <w:color w:val="auto"/>
          <w:szCs w:val="28"/>
          <w:highlight w:val="none"/>
        </w:rPr>
        <w:t xml:space="preserve">不适用。 </w:t>
      </w:r>
    </w:p>
    <w:p w14:paraId="0D05E00E">
      <w:pPr>
        <w:spacing w:line="360" w:lineRule="auto"/>
        <w:ind w:firstLine="551" w:firstLineChars="196"/>
        <w:rPr>
          <w:rFonts w:hint="default" w:ascii="Times New Roman" w:hAnsi="Times New Roman" w:cs="Times New Roman"/>
          <w:color w:val="auto"/>
          <w:szCs w:val="28"/>
          <w:highlight w:val="none"/>
          <w:lang w:val="en-US"/>
        </w:rPr>
      </w:pPr>
      <w:r>
        <w:rPr>
          <w:rFonts w:hint="default" w:ascii="Times New Roman" w:hAnsi="Times New Roman" w:cs="Times New Roman"/>
          <w:b/>
          <w:bCs/>
          <w:color w:val="auto"/>
          <w:szCs w:val="28"/>
          <w:highlight w:val="none"/>
        </w:rPr>
        <w:t>社会效益指标</w:t>
      </w:r>
      <w:r>
        <w:rPr>
          <w:rFonts w:hint="default" w:ascii="Times New Roman" w:hAnsi="Times New Roman" w:cs="Times New Roman"/>
          <w:color w:val="auto"/>
          <w:szCs w:val="28"/>
          <w:highlight w:val="none"/>
        </w:rPr>
        <w:t>：</w:t>
      </w:r>
      <w:r>
        <w:rPr>
          <w:rFonts w:hint="default" w:ascii="Times New Roman" w:hAnsi="Times New Roman" w:eastAsia="仿宋_GB2312" w:cs="Times New Roman"/>
          <w:color w:val="auto"/>
          <w:kern w:val="2"/>
          <w:sz w:val="28"/>
          <w:szCs w:val="28"/>
          <w:highlight w:val="none"/>
          <w:lang w:val="en-US" w:eastAsia="zh-CN" w:bidi="ar-SA"/>
        </w:rPr>
        <w:t>提高基层信访工作质量</w:t>
      </w:r>
      <w:r>
        <w:rPr>
          <w:rFonts w:hint="eastAsia" w:ascii="Times New Roman" w:hAnsi="Times New Roman" w:eastAsia="仿宋_GB2312" w:cs="Times New Roman"/>
          <w:color w:val="auto"/>
          <w:kern w:val="2"/>
          <w:sz w:val="28"/>
          <w:szCs w:val="28"/>
          <w:highlight w:val="none"/>
          <w:lang w:val="en-US" w:eastAsia="zh-CN" w:bidi="ar-SA"/>
        </w:rPr>
        <w:t>，</w:t>
      </w:r>
      <w:r>
        <w:rPr>
          <w:rFonts w:hint="default" w:ascii="Times New Roman" w:hAnsi="Times New Roman" w:eastAsia="仿宋_GB2312" w:cs="Times New Roman"/>
          <w:color w:val="auto"/>
          <w:kern w:val="2"/>
          <w:sz w:val="28"/>
          <w:szCs w:val="28"/>
          <w:highlight w:val="none"/>
          <w:lang w:val="en-US" w:eastAsia="zh-CN" w:bidi="ar-SA"/>
        </w:rPr>
        <w:t>预期指标值</w:t>
      </w:r>
      <w:r>
        <w:rPr>
          <w:rFonts w:hint="eastAsia" w:ascii="Times New Roman" w:hAnsi="Times New Roman" w:eastAsia="仿宋_GB2312" w:cs="Times New Roman"/>
          <w:color w:val="auto"/>
          <w:kern w:val="2"/>
          <w:sz w:val="28"/>
          <w:szCs w:val="28"/>
          <w:highlight w:val="none"/>
          <w:lang w:val="en-US" w:eastAsia="zh-CN" w:bidi="ar-SA"/>
        </w:rPr>
        <w:t>显著提高</w:t>
      </w:r>
      <w:r>
        <w:rPr>
          <w:rFonts w:hint="default" w:ascii="Times New Roman" w:hAnsi="Times New Roman" w:eastAsia="仿宋_GB2312" w:cs="Times New Roman"/>
          <w:color w:val="auto"/>
          <w:kern w:val="2"/>
          <w:sz w:val="28"/>
          <w:szCs w:val="28"/>
          <w:highlight w:val="none"/>
          <w:lang w:val="en-US" w:eastAsia="zh-CN" w:bidi="ar-SA"/>
        </w:rPr>
        <w:t>，指标完成值</w:t>
      </w:r>
      <w:r>
        <w:rPr>
          <w:rFonts w:hint="eastAsia" w:ascii="Times New Roman" w:hAnsi="Times New Roman" w:eastAsia="仿宋_GB2312" w:cs="Times New Roman"/>
          <w:color w:val="auto"/>
          <w:kern w:val="2"/>
          <w:sz w:val="28"/>
          <w:szCs w:val="28"/>
          <w:highlight w:val="none"/>
          <w:lang w:val="en-US" w:eastAsia="zh-CN" w:bidi="ar-SA"/>
        </w:rPr>
        <w:t>完全达到预期效果，</w:t>
      </w:r>
      <w:r>
        <w:rPr>
          <w:rFonts w:hint="default" w:ascii="Times New Roman" w:hAnsi="Times New Roman" w:eastAsia="仿宋_GB2312" w:cs="Times New Roman"/>
          <w:color w:val="auto"/>
          <w:kern w:val="2"/>
          <w:sz w:val="28"/>
          <w:szCs w:val="28"/>
          <w:highlight w:val="none"/>
          <w:lang w:val="en-US" w:eastAsia="zh-CN" w:bidi="ar-SA"/>
        </w:rPr>
        <w:t>指标完成率100%；</w:t>
      </w:r>
      <w:r>
        <w:rPr>
          <w:rFonts w:hint="eastAsia" w:ascii="Times New Roman" w:hAnsi="Times New Roman" w:eastAsia="仿宋_GB2312" w:cs="Times New Roman"/>
          <w:color w:val="auto"/>
          <w:kern w:val="2"/>
          <w:sz w:val="28"/>
          <w:szCs w:val="28"/>
          <w:highlight w:val="none"/>
          <w:lang w:val="en-US" w:eastAsia="zh-CN" w:bidi="ar-SA"/>
        </w:rPr>
        <w:t>项目的实施</w:t>
      </w:r>
      <w:r>
        <w:rPr>
          <w:rFonts w:hint="eastAsia" w:ascii="Times New Roman" w:hAnsi="Times New Roman" w:cs="Times New Roman"/>
          <w:bCs/>
          <w:color w:val="auto"/>
          <w:szCs w:val="28"/>
          <w:highlight w:val="none"/>
          <w:lang w:val="en-US" w:eastAsia="zh-CN"/>
        </w:rPr>
        <w:t>有效杜绝了越级访和个人极端事件的发生，提高了基层信访的工作质量，有效保障了基层信访工作的顺利开展。</w:t>
      </w:r>
    </w:p>
    <w:p w14:paraId="2AD08F61">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生态效益指标</w:t>
      </w:r>
      <w:r>
        <w:rPr>
          <w:rFonts w:hint="default" w:ascii="Times New Roman" w:hAnsi="Times New Roman" w:cs="Times New Roman"/>
          <w:color w:val="auto"/>
          <w:szCs w:val="28"/>
          <w:highlight w:val="none"/>
        </w:rPr>
        <w:t>：不适用。</w:t>
      </w:r>
    </w:p>
    <w:p w14:paraId="775FF0F7">
      <w:pPr>
        <w:spacing w:line="360" w:lineRule="auto"/>
        <w:ind w:firstLine="562"/>
        <w:rPr>
          <w:rFonts w:hint="default" w:ascii="Times New Roman" w:hAnsi="Times New Roman" w:cs="Times New Roman"/>
          <w:color w:val="auto"/>
          <w:szCs w:val="28"/>
          <w:highlight w:val="none"/>
          <w:lang w:val="en-US"/>
        </w:rPr>
      </w:pPr>
      <w:r>
        <w:rPr>
          <w:rFonts w:hint="default" w:ascii="Times New Roman" w:hAnsi="Times New Roman" w:cs="Times New Roman"/>
          <w:b/>
          <w:bCs/>
          <w:color w:val="auto"/>
          <w:szCs w:val="28"/>
          <w:highlight w:val="none"/>
        </w:rPr>
        <w:t>可持续影响指标</w:t>
      </w:r>
      <w:r>
        <w:rPr>
          <w:rFonts w:hint="eastAsia" w:ascii="Times New Roman" w:hAnsi="Times New Roman" w:cs="Times New Roman"/>
          <w:b/>
          <w:bCs/>
          <w:color w:val="auto"/>
          <w:szCs w:val="28"/>
          <w:highlight w:val="none"/>
          <w:lang w:eastAsia="zh-CN"/>
        </w:rPr>
        <w:t>：</w:t>
      </w:r>
      <w:r>
        <w:rPr>
          <w:rFonts w:hint="default" w:ascii="Times New Roman" w:hAnsi="Times New Roman" w:cs="Times New Roman"/>
          <w:color w:val="auto"/>
          <w:szCs w:val="28"/>
          <w:highlight w:val="none"/>
          <w:lang w:val="en-US" w:eastAsia="zh-CN"/>
        </w:rPr>
        <w:t>保障人民群众利益，信访工作正常开展</w:t>
      </w:r>
      <w:r>
        <w:rPr>
          <w:rFonts w:hint="eastAsia" w:ascii="Times New Roman" w:hAnsi="Times New Roman" w:cs="Times New Roman"/>
          <w:color w:val="auto"/>
          <w:szCs w:val="28"/>
          <w:highlight w:val="none"/>
          <w:lang w:val="en-US" w:eastAsia="zh-CN"/>
        </w:rPr>
        <w:t>，</w:t>
      </w:r>
      <w:r>
        <w:rPr>
          <w:rFonts w:hint="default" w:ascii="Times New Roman" w:hAnsi="Times New Roman" w:cs="Times New Roman"/>
          <w:color w:val="auto"/>
          <w:szCs w:val="28"/>
          <w:highlight w:val="none"/>
          <w:lang w:val="en-US" w:eastAsia="zh-CN"/>
        </w:rPr>
        <w:t>预期指标有效</w:t>
      </w:r>
      <w:r>
        <w:rPr>
          <w:rFonts w:hint="eastAsia" w:ascii="Times New Roman" w:hAnsi="Times New Roman" w:cs="Times New Roman"/>
          <w:color w:val="auto"/>
          <w:szCs w:val="28"/>
          <w:highlight w:val="none"/>
          <w:lang w:val="en-US" w:eastAsia="zh-CN"/>
        </w:rPr>
        <w:t>促进</w:t>
      </w:r>
      <w:r>
        <w:rPr>
          <w:rFonts w:hint="default" w:ascii="Times New Roman" w:hAnsi="Times New Roman" w:cs="Times New Roman"/>
          <w:color w:val="auto"/>
          <w:szCs w:val="28"/>
          <w:highlight w:val="none"/>
          <w:lang w:val="en-US" w:eastAsia="zh-CN"/>
        </w:rPr>
        <w:t>，指标完成值</w:t>
      </w:r>
      <w:r>
        <w:rPr>
          <w:rFonts w:hint="eastAsia" w:ascii="Times New Roman" w:hAnsi="Times New Roman" w:cs="Times New Roman"/>
          <w:color w:val="auto"/>
          <w:szCs w:val="28"/>
          <w:highlight w:val="none"/>
          <w:lang w:val="en-US" w:eastAsia="zh-CN"/>
        </w:rPr>
        <w:t>完全达到预期效果</w:t>
      </w:r>
      <w:r>
        <w:rPr>
          <w:rFonts w:hint="default" w:ascii="Times New Roman" w:hAnsi="Times New Roman" w:cs="Times New Roman"/>
          <w:color w:val="auto"/>
          <w:szCs w:val="28"/>
          <w:highlight w:val="none"/>
          <w:lang w:val="en-US" w:eastAsia="zh-CN"/>
        </w:rPr>
        <w:t>，指标完成率100%</w:t>
      </w:r>
      <w:r>
        <w:rPr>
          <w:rFonts w:hint="eastAsia" w:ascii="Times New Roman" w:hAnsi="Times New Roman" w:cs="Times New Roman"/>
          <w:color w:val="auto"/>
          <w:szCs w:val="28"/>
          <w:highlight w:val="none"/>
          <w:lang w:val="en-US" w:eastAsia="zh-CN"/>
        </w:rPr>
        <w:t>；项目的实施能够</w:t>
      </w:r>
      <w:r>
        <w:rPr>
          <w:rFonts w:hint="eastAsia" w:ascii="Times New Roman" w:hAnsi="Times New Roman" w:cs="Times New Roman"/>
          <w:color w:val="auto"/>
          <w:kern w:val="0"/>
          <w:szCs w:val="28"/>
          <w:highlight w:val="none"/>
          <w:lang w:eastAsia="zh-CN"/>
        </w:rPr>
        <w:t>按时进行四季山庄的补偿，明确每次赔偿金额，杜绝了我镇越级访和个人极端事件的发生，确保了信访工作的顺利开展。</w:t>
      </w:r>
    </w:p>
    <w:p w14:paraId="6167A94C">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综上，该指标满分10分，得分</w:t>
      </w:r>
      <w:r>
        <w:rPr>
          <w:rFonts w:hint="eastAsia" w:ascii="Times New Roman" w:hAnsi="Times New Roman" w:cs="Times New Roman"/>
          <w:b/>
          <w:color w:val="auto"/>
          <w:kern w:val="0"/>
          <w:szCs w:val="28"/>
          <w:highlight w:val="none"/>
          <w:lang w:val="en-US" w:eastAsia="zh-CN"/>
        </w:rPr>
        <w:t>10</w:t>
      </w:r>
      <w:r>
        <w:rPr>
          <w:rFonts w:hint="default" w:ascii="Times New Roman" w:hAnsi="Times New Roman" w:cs="Times New Roman"/>
          <w:b/>
          <w:color w:val="auto"/>
          <w:kern w:val="0"/>
          <w:szCs w:val="28"/>
          <w:highlight w:val="none"/>
        </w:rPr>
        <w:t>分。</w:t>
      </w:r>
    </w:p>
    <w:p w14:paraId="7D8EF4D4">
      <w:pPr>
        <w:pStyle w:val="4"/>
        <w:ind w:firstLine="643"/>
        <w:rPr>
          <w:rFonts w:hint="default" w:ascii="Times New Roman" w:hAnsi="Times New Roman" w:cs="Times New Roman"/>
          <w:color w:val="auto"/>
          <w:highlight w:val="none"/>
        </w:rPr>
      </w:pPr>
      <w:bookmarkStart w:id="50" w:name="_Toc100784614"/>
      <w:r>
        <w:rPr>
          <w:rFonts w:hint="default" w:ascii="Times New Roman" w:hAnsi="Times New Roman" w:cs="Times New Roman"/>
          <w:color w:val="auto"/>
          <w:highlight w:val="none"/>
        </w:rPr>
        <w:t>2. 满意度指标完成情况分析</w:t>
      </w:r>
      <w:bookmarkEnd w:id="50"/>
    </w:p>
    <w:p w14:paraId="5598FA5A">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（1）满意度指标</w:t>
      </w:r>
    </w:p>
    <w:p w14:paraId="76AFE4B6">
      <w:pPr>
        <w:spacing w:line="360" w:lineRule="auto"/>
        <w:ind w:firstLine="562"/>
        <w:rPr>
          <w:rFonts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群众满意度：</w:t>
      </w:r>
      <w:r>
        <w:rPr>
          <w:rFonts w:ascii="Times New Roman" w:hAnsi="Times New Roman" w:cs="Times New Roman"/>
          <w:color w:val="auto"/>
          <w:szCs w:val="28"/>
          <w:highlight w:val="none"/>
        </w:rPr>
        <w:t>评价指标“受益人员满意率”，指标值：</w:t>
      </w:r>
      <w:r>
        <w:rPr>
          <w:rFonts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rPr>
        <w:t>90</w:t>
      </w:r>
      <w:r>
        <w:rPr>
          <w:rFonts w:ascii="Times New Roman" w:hAnsi="Times New Roman" w:cs="Times New Roman"/>
          <w:color w:val="auto"/>
          <w:szCs w:val="28"/>
          <w:highlight w:val="none"/>
        </w:rPr>
        <w:t>%，实际完成值：</w:t>
      </w:r>
      <w:r>
        <w:rPr>
          <w:rFonts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rPr>
        <w:t>90</w:t>
      </w:r>
      <w:r>
        <w:rPr>
          <w:rFonts w:ascii="Times New Roman" w:hAnsi="Times New Roman" w:cs="Times New Roman"/>
          <w:color w:val="auto"/>
          <w:szCs w:val="28"/>
          <w:highlight w:val="none"/>
        </w:rPr>
        <w:t>%。通过设置</w:t>
      </w:r>
      <w:r>
        <w:rPr>
          <w:rFonts w:hint="eastAsia" w:ascii="Times New Roman" w:hAnsi="Times New Roman" w:cs="Times New Roman"/>
          <w:color w:val="auto"/>
          <w:szCs w:val="28"/>
          <w:highlight w:val="none"/>
        </w:rPr>
        <w:t>回访表</w:t>
      </w:r>
      <w:r>
        <w:rPr>
          <w:rFonts w:ascii="Times New Roman" w:hAnsi="Times New Roman" w:cs="Times New Roman"/>
          <w:color w:val="auto"/>
          <w:szCs w:val="28"/>
          <w:highlight w:val="none"/>
        </w:rPr>
        <w:t>的方式进行考评评价，共计调查样本总量为</w:t>
      </w:r>
      <w:r>
        <w:rPr>
          <w:rFonts w:hint="eastAsia" w:ascii="Times New Roman" w:hAnsi="Times New Roman" w:cs="Times New Roman"/>
          <w:color w:val="auto"/>
          <w:szCs w:val="28"/>
          <w:highlight w:val="none"/>
        </w:rPr>
        <w:t>20</w:t>
      </w:r>
      <w:r>
        <w:rPr>
          <w:rFonts w:ascii="Times New Roman" w:hAnsi="Times New Roman" w:cs="Times New Roman"/>
          <w:color w:val="auto"/>
          <w:szCs w:val="28"/>
          <w:highlight w:val="none"/>
        </w:rPr>
        <w:t>个样本，有效调查问卷</w:t>
      </w:r>
      <w:r>
        <w:rPr>
          <w:rFonts w:hint="eastAsia" w:ascii="Times New Roman" w:hAnsi="Times New Roman" w:cs="Times New Roman"/>
          <w:color w:val="auto"/>
          <w:szCs w:val="28"/>
          <w:highlight w:val="none"/>
        </w:rPr>
        <w:t>20</w:t>
      </w:r>
      <w:r>
        <w:rPr>
          <w:rFonts w:ascii="Times New Roman" w:hAnsi="Times New Roman" w:cs="Times New Roman"/>
          <w:color w:val="auto"/>
          <w:szCs w:val="28"/>
          <w:highlight w:val="none"/>
        </w:rPr>
        <w:t>份。其中，统计“</w:t>
      </w:r>
      <w:r>
        <w:rPr>
          <w:rFonts w:hint="eastAsia" w:ascii="Times New Roman" w:hAnsi="Times New Roman" w:cs="Times New Roman"/>
          <w:color w:val="auto"/>
          <w:szCs w:val="28"/>
          <w:highlight w:val="none"/>
        </w:rPr>
        <w:t>安保人员</w:t>
      </w:r>
      <w:r>
        <w:rPr>
          <w:rFonts w:ascii="Times New Roman" w:hAnsi="Times New Roman" w:cs="Times New Roman"/>
          <w:color w:val="auto"/>
          <w:szCs w:val="28"/>
          <w:highlight w:val="none"/>
        </w:rPr>
        <w:t>满意度”的平均值为90%。故满意度指标得分为5</w:t>
      </w:r>
      <w:r>
        <w:rPr>
          <w:rFonts w:hint="eastAsia" w:ascii="Times New Roman" w:hAnsi="Times New Roman" w:cs="Times New Roman"/>
          <w:color w:val="auto"/>
          <w:szCs w:val="28"/>
          <w:highlight w:val="none"/>
        </w:rPr>
        <w:t>分</w:t>
      </w:r>
      <w:r>
        <w:rPr>
          <w:rFonts w:ascii="Times New Roman" w:hAnsi="Times New Roman" w:cs="Times New Roman"/>
          <w:color w:val="auto"/>
          <w:szCs w:val="28"/>
          <w:highlight w:val="none"/>
        </w:rPr>
        <w:t>。</w:t>
      </w:r>
    </w:p>
    <w:p w14:paraId="3CA267DC">
      <w:pPr>
        <w:autoSpaceDE w:val="0"/>
        <w:spacing w:line="600" w:lineRule="exact"/>
        <w:ind w:firstLine="562"/>
        <w:rPr>
          <w:rFonts w:hint="default" w:ascii="Times New Roman" w:hAnsi="Times New Roman" w:cs="Times New Roman"/>
          <w:b/>
          <w:color w:val="auto"/>
          <w:kern w:val="0"/>
          <w:szCs w:val="28"/>
          <w:highlight w:val="none"/>
        </w:rPr>
      </w:pPr>
      <w:r>
        <w:rPr>
          <w:rFonts w:ascii="Times New Roman" w:hAnsi="Times New Roman" w:cs="Times New Roman"/>
          <w:b/>
          <w:color w:val="auto"/>
          <w:kern w:val="0"/>
          <w:szCs w:val="28"/>
          <w:highlight w:val="none"/>
        </w:rPr>
        <w:t>综上，该指标满分5分，得分5分。</w:t>
      </w:r>
    </w:p>
    <w:p w14:paraId="27B94620">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51" w:name="_Toc67911616"/>
      <w:bookmarkStart w:id="52" w:name="_Toc100784615"/>
      <w:r>
        <w:rPr>
          <w:rFonts w:hint="default" w:ascii="Times New Roman" w:hAnsi="Times New Roman" w:eastAsia="仿宋" w:cs="Times New Roman"/>
          <w:color w:val="auto"/>
          <w:sz w:val="36"/>
          <w:szCs w:val="36"/>
          <w:highlight w:val="none"/>
          <w:lang w:bidi="en-US"/>
        </w:rPr>
        <w:t>五、预算执行进度与绩效指标偏差</w:t>
      </w:r>
      <w:bookmarkEnd w:id="51"/>
      <w:bookmarkEnd w:id="52"/>
    </w:p>
    <w:p w14:paraId="6C1267B0">
      <w:pPr>
        <w:spacing w:line="360" w:lineRule="auto"/>
        <w:ind w:firstLine="562"/>
        <w:rPr>
          <w:rFonts w:hint="default" w:ascii="Times New Roman" w:hAnsi="Times New Roman" w:cs="Times New Roman"/>
          <w:color w:val="auto"/>
          <w:szCs w:val="28"/>
          <w:highlight w:val="none"/>
        </w:rPr>
      </w:pPr>
      <w:bookmarkStart w:id="53" w:name="_Toc67911617"/>
      <w:bookmarkStart w:id="54" w:name="_Toc100784616"/>
      <w:r>
        <w:rPr>
          <w:rFonts w:hint="default" w:ascii="Times New Roman" w:hAnsi="Times New Roman" w:cs="Times New Roman"/>
          <w:color w:val="auto"/>
          <w:szCs w:val="28"/>
          <w:highlight w:val="none"/>
          <w:lang w:eastAsia="zh-CN"/>
        </w:rPr>
        <w:t>本项目预算执行率为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lang w:eastAsia="zh-CN"/>
        </w:rPr>
        <w:t>%，指标总体完成率为</w:t>
      </w:r>
      <w:r>
        <w:rPr>
          <w:rFonts w:hint="eastAsia" w:ascii="Times New Roman" w:hAnsi="Times New Roman" w:cs="Times New Roman"/>
          <w:color w:val="auto"/>
          <w:szCs w:val="28"/>
          <w:highlight w:val="none"/>
          <w:lang w:val="en-US" w:eastAsia="zh-CN"/>
        </w:rPr>
        <w:t>92.86</w:t>
      </w:r>
      <w:r>
        <w:rPr>
          <w:rFonts w:hint="default" w:ascii="Times New Roman" w:hAnsi="Times New Roman" w:cs="Times New Roman"/>
          <w:color w:val="auto"/>
          <w:szCs w:val="28"/>
          <w:highlight w:val="none"/>
          <w:lang w:eastAsia="zh-CN"/>
        </w:rPr>
        <w:t>%，二者之间的偏差值为</w:t>
      </w:r>
      <w:r>
        <w:rPr>
          <w:rFonts w:hint="eastAsia" w:ascii="Times New Roman" w:hAnsi="Times New Roman" w:cs="Times New Roman"/>
          <w:color w:val="auto"/>
          <w:szCs w:val="28"/>
          <w:highlight w:val="none"/>
          <w:lang w:val="en-US" w:eastAsia="zh-CN"/>
        </w:rPr>
        <w:t>7.14</w:t>
      </w:r>
      <w:r>
        <w:rPr>
          <w:rFonts w:hint="default" w:ascii="Times New Roman" w:hAnsi="Times New Roman" w:cs="Times New Roman"/>
          <w:color w:val="auto"/>
          <w:szCs w:val="28"/>
          <w:highlight w:val="none"/>
          <w:lang w:eastAsia="zh-CN"/>
        </w:rPr>
        <w:t>%，小于20%。因此，本项目较好地完成了年度总体目标，财政资金使用效益和效率较高。</w:t>
      </w:r>
    </w:p>
    <w:p w14:paraId="61D58A19">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六、主要经验及做法、存在的问题及原因分析</w:t>
      </w:r>
      <w:bookmarkEnd w:id="53"/>
      <w:bookmarkEnd w:id="54"/>
    </w:p>
    <w:p w14:paraId="58EA051B">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5" w:name="_Toc100784617"/>
      <w:bookmarkStart w:id="56" w:name="_Toc67911618"/>
      <w:r>
        <w:rPr>
          <w:rFonts w:hint="default" w:ascii="Times New Roman" w:hAnsi="Times New Roman" w:eastAsia="仿宋" w:cs="Times New Roman"/>
          <w:color w:val="auto"/>
          <w:sz w:val="32"/>
          <w:szCs w:val="32"/>
          <w:highlight w:val="none"/>
          <w:lang w:bidi="en-US"/>
        </w:rPr>
        <w:t>（一）主要经验及做法</w:t>
      </w:r>
      <w:bookmarkEnd w:id="55"/>
      <w:bookmarkEnd w:id="56"/>
    </w:p>
    <w:p w14:paraId="3544D988">
      <w:pPr>
        <w:spacing w:line="360" w:lineRule="auto"/>
        <w:ind w:firstLine="562"/>
        <w:rPr>
          <w:rFonts w:hint="default" w:ascii="Times New Roman" w:hAnsi="Times New Roman" w:eastAsia="仿宋" w:cs="Times New Roman"/>
          <w:b w:val="0"/>
          <w:bCs w:val="0"/>
          <w:color w:val="auto"/>
          <w:sz w:val="30"/>
          <w:szCs w:val="30"/>
          <w:highlight w:val="none"/>
          <w:lang w:eastAsia="zh-CN"/>
        </w:rPr>
      </w:pPr>
      <w:bookmarkStart w:id="57" w:name="_Toc100784618"/>
      <w:r>
        <w:rPr>
          <w:rFonts w:hint="eastAsia" w:ascii="Times New Roman" w:hAnsi="Times New Roman" w:cs="Times New Roman"/>
          <w:color w:val="auto"/>
          <w:szCs w:val="28"/>
          <w:highlight w:val="none"/>
          <w:lang w:eastAsia="zh-CN"/>
        </w:rPr>
        <w:t>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莫定基础。</w:t>
      </w:r>
    </w:p>
    <w:p w14:paraId="3981FADE">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（二）存在的问题及原因分析</w:t>
      </w:r>
      <w:bookmarkEnd w:id="57"/>
    </w:p>
    <w:p w14:paraId="1FDE04F0">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szCs w:val="28"/>
          <w:highlight w:val="none"/>
        </w:rPr>
        <w:t>1.</w:t>
      </w:r>
      <w:r>
        <w:rPr>
          <w:rFonts w:hint="eastAsia" w:ascii="Times New Roman" w:hAnsi="Times New Roman" w:cs="Times New Roman"/>
          <w:color w:val="auto"/>
          <w:szCs w:val="28"/>
          <w:highlight w:val="none"/>
          <w:lang w:eastAsia="zh-CN"/>
        </w:rPr>
        <w:t>项目实际支付与原定目标有所不同，主要是财政资金不足，使得项目支付进度较为缓慢。</w:t>
      </w:r>
      <w:bookmarkStart w:id="58" w:name="_Toc67911619"/>
      <w:bookmarkStart w:id="59" w:name="_Toc100784619"/>
    </w:p>
    <w:p w14:paraId="44F12535">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七、其他需要说明的问题</w:t>
      </w:r>
      <w:bookmarkEnd w:id="58"/>
      <w:bookmarkEnd w:id="59"/>
    </w:p>
    <w:p w14:paraId="0B5B00BD">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1.项目支出政策和路径设计科学，符合实际需要；</w:t>
      </w:r>
    </w:p>
    <w:p w14:paraId="1BA40455">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2.项目安排准确，未发现背离项目立项初衷的情况；</w:t>
      </w:r>
    </w:p>
    <w:p w14:paraId="1AD208FC">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3.项目的申报、审核机制完善；</w:t>
      </w:r>
    </w:p>
    <w:p w14:paraId="4E2FDFFA">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4.未发现虚假行为和骗取财政资金的问题。</w:t>
      </w:r>
    </w:p>
    <w:p w14:paraId="7FC91BB2">
      <w:pPr>
        <w:pStyle w:val="2"/>
        <w:ind w:firstLine="0" w:firstLineChars="0"/>
        <w:jc w:val="left"/>
        <w:rPr>
          <w:rFonts w:hint="default" w:ascii="Times New Roman" w:hAnsi="Times New Roman" w:eastAsia="仿宋" w:cs="Times New Roman"/>
          <w:color w:val="auto"/>
          <w:sz w:val="36"/>
          <w:szCs w:val="36"/>
          <w:highlight w:val="none"/>
          <w:lang w:bidi="en-US"/>
        </w:rPr>
      </w:pPr>
      <w:bookmarkStart w:id="60" w:name="_Toc67911620"/>
      <w:bookmarkStart w:id="61" w:name="_Toc100784620"/>
      <w:r>
        <w:rPr>
          <w:rFonts w:hint="default" w:ascii="Times New Roman" w:hAnsi="Times New Roman" w:eastAsia="仿宋" w:cs="Times New Roman"/>
          <w:color w:val="auto"/>
          <w:sz w:val="36"/>
          <w:szCs w:val="36"/>
          <w:highlight w:val="none"/>
          <w:lang w:bidi="en-US"/>
        </w:rPr>
        <w:t>八、有关建议</w:t>
      </w:r>
      <w:bookmarkEnd w:id="60"/>
      <w:bookmarkEnd w:id="61"/>
    </w:p>
    <w:p w14:paraId="6DD385C5">
      <w:pPr>
        <w:spacing w:line="360" w:lineRule="auto"/>
        <w:ind w:firstLine="560" w:firstLineChars="200"/>
        <w:rPr>
          <w:rFonts w:hint="default" w:ascii="Times New Roman" w:hAnsi="Times New Roman" w:eastAsia="仿宋" w:cs="Times New Roman"/>
          <w:b w:val="0"/>
          <w:bCs w:val="0"/>
          <w:color w:val="auto"/>
          <w:sz w:val="30"/>
          <w:szCs w:val="30"/>
          <w:highlight w:val="none"/>
          <w:lang w:eastAsia="zh-CN"/>
        </w:rPr>
      </w:pPr>
      <w:r>
        <w:rPr>
          <w:rFonts w:hint="eastAsia" w:ascii="Times New Roman" w:hAnsi="Times New Roman" w:cs="Times New Roman"/>
          <w:color w:val="auto"/>
          <w:szCs w:val="28"/>
          <w:highlight w:val="none"/>
          <w:lang w:eastAsia="zh-CN"/>
        </w:rPr>
        <w:t>绩效评价报告应有针对性地对项目存在的不足提出改进措施和建议。建议或对会应和问题原因相对应，理由充分，要有切实可行的改进措施及责任主体，并且明确时间要求。相关建议和对策应当具有较强的可行性，前瞻性及科学性，有利于促进项目</w:t>
      </w:r>
      <w:bookmarkStart w:id="62" w:name="_GoBack"/>
      <w:bookmarkEnd w:id="62"/>
      <w:r>
        <w:rPr>
          <w:rFonts w:hint="eastAsia" w:ascii="Times New Roman" w:hAnsi="Times New Roman" w:cs="Times New Roman"/>
          <w:color w:val="auto"/>
          <w:szCs w:val="28"/>
          <w:highlight w:val="none"/>
          <w:lang w:eastAsia="zh-CN"/>
        </w:rPr>
        <w:t>实施机构、财政部门及其他政府监督部门提高绩效管理水平。</w:t>
      </w:r>
      <w:r>
        <w:rPr>
          <w:rFonts w:hint="eastAsia" w:ascii="Times New Roman" w:hAnsi="Times New Roman" w:eastAsia="仿宋" w:cs="Times New Roman"/>
          <w:b w:val="0"/>
          <w:bCs w:val="0"/>
          <w:color w:val="auto"/>
          <w:sz w:val="30"/>
          <w:szCs w:val="30"/>
          <w:highlight w:val="none"/>
          <w:lang w:eastAsia="zh-CN"/>
        </w:rPr>
        <w:t xml:space="preserve"> </w:t>
      </w:r>
    </w:p>
    <w:p w14:paraId="7DD1675B">
      <w:pPr>
        <w:spacing w:line="360" w:lineRule="auto"/>
        <w:ind w:firstLine="560"/>
        <w:rPr>
          <w:rFonts w:hint="default" w:ascii="Times New Roman" w:hAnsi="Times New Roman" w:cs="Times New Roman"/>
          <w:color w:val="auto"/>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37773">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CC1BC">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14:paraId="77A63A68">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14:paraId="07D5C724">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14:paraId="7CC3E82A">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14:paraId="257C7840">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14:paraId="5C7136A9">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ED041">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6C62F">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A04FB">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050EA">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2CAC3">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2363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D07A46"/>
    <w:rsid w:val="0A6D44E9"/>
    <w:rsid w:val="0CAC271A"/>
    <w:rsid w:val="0E9D5EFC"/>
    <w:rsid w:val="0FDE5C0B"/>
    <w:rsid w:val="128679E9"/>
    <w:rsid w:val="14321BD6"/>
    <w:rsid w:val="1940130A"/>
    <w:rsid w:val="1F3C3C75"/>
    <w:rsid w:val="21CD43A4"/>
    <w:rsid w:val="3D0E0B83"/>
    <w:rsid w:val="3D195CE6"/>
    <w:rsid w:val="50781145"/>
    <w:rsid w:val="540970D7"/>
    <w:rsid w:val="55BF25B3"/>
    <w:rsid w:val="5BBB3658"/>
    <w:rsid w:val="5EE329F1"/>
    <w:rsid w:val="628A3596"/>
    <w:rsid w:val="7798134F"/>
    <w:rsid w:val="7EF136C8"/>
    <w:rsid w:val="7F3A3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autoRedefine/>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autoRedefine/>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autoRedefine/>
    <w:semiHidden/>
    <w:unhideWhenUsed/>
    <w:qFormat/>
    <w:uiPriority w:val="99"/>
    <w:pPr>
      <w:ind w:left="100" w:leftChars="2500"/>
    </w:pPr>
  </w:style>
  <w:style w:type="paragraph" w:styleId="8">
    <w:name w:val="Balloon Text"/>
    <w:basedOn w:val="1"/>
    <w:link w:val="33"/>
    <w:autoRedefine/>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autoRedefine/>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qFormat/>
    <w:uiPriority w:val="99"/>
    <w:pPr>
      <w:spacing w:before="100" w:beforeAutospacing="1" w:after="100" w:afterAutospacing="1"/>
      <w:jc w:val="left"/>
    </w:pPr>
    <w:rPr>
      <w:rFonts w:ascii="Calibri" w:hAnsi="Calibri" w:eastAsia="宋体" w:cs="Times New Roman"/>
      <w:color w:val="000000"/>
      <w:kern w:val="0"/>
      <w:sz w:val="24"/>
    </w:rPr>
  </w:style>
  <w:style w:type="paragraph" w:styleId="15">
    <w:name w:val="annotation subject"/>
    <w:basedOn w:val="5"/>
    <w:next w:val="5"/>
    <w:link w:val="32"/>
    <w:semiHidden/>
    <w:unhideWhenUsed/>
    <w:qFormat/>
    <w:uiPriority w:val="99"/>
    <w:rPr>
      <w:b/>
      <w:bCs/>
    </w:rPr>
  </w:style>
  <w:style w:type="table" w:styleId="17">
    <w:name w:val="Table Grid"/>
    <w:basedOn w:val="1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autoRedefine/>
    <w:semiHidden/>
    <w:unhideWhenUsed/>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semiHidden/>
    <w:qFormat/>
    <w:uiPriority w:val="99"/>
    <w:rPr>
      <w:rFonts w:ascii="Calibri" w:hAnsi="Calibri" w:eastAsia="仿宋_GB2312" w:cs="黑体"/>
      <w:sz w:val="28"/>
    </w:rPr>
  </w:style>
  <w:style w:type="character" w:customStyle="1" w:styleId="25">
    <w:name w:val="标题 2 Char"/>
    <w:basedOn w:val="18"/>
    <w:link w:val="3"/>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autoRedefine/>
    <w:semiHidden/>
    <w:qFormat/>
    <w:uiPriority w:val="99"/>
    <w:rPr>
      <w:rFonts w:ascii="Calibri" w:hAnsi="Calibri" w:eastAsia="仿宋_GB2312" w:cs="黑体"/>
      <w:b/>
      <w:bCs/>
      <w:sz w:val="28"/>
    </w:rPr>
  </w:style>
  <w:style w:type="character" w:customStyle="1" w:styleId="33">
    <w:name w:val="批注框文本 Char"/>
    <w:basedOn w:val="18"/>
    <w:link w:val="8"/>
    <w:autoRedefine/>
    <w:semiHidden/>
    <w:qFormat/>
    <w:uiPriority w:val="99"/>
    <w:rPr>
      <w:rFonts w:ascii="Calibri" w:hAnsi="Calibri" w:eastAsia="仿宋_GB2312" w:cs="黑体"/>
      <w:sz w:val="18"/>
      <w:szCs w:val="18"/>
    </w:rPr>
  </w:style>
  <w:style w:type="character" w:customStyle="1" w:styleId="34">
    <w:name w:val="标题 3 Char"/>
    <w:basedOn w:val="18"/>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23</Pages>
  <Words>9443</Words>
  <Characters>9985</Characters>
  <Lines>79</Lines>
  <Paragraphs>22</Paragraphs>
  <TotalTime>4</TotalTime>
  <ScaleCrop>false</ScaleCrop>
  <LinksUpToDate>false</LinksUpToDate>
  <CharactersWithSpaces>10114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Arhen</cp:lastModifiedBy>
  <cp:lastPrinted>2023-04-11T02:57:00Z</cp:lastPrinted>
  <dcterms:modified xsi:type="dcterms:W3CDTF">2025-01-03T09:39:35Z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C72CFD68021D41D8BC351CC4CC9D8637_12</vt:lpwstr>
  </property>
  <property fmtid="{D5CDD505-2E9C-101B-9397-08002B2CF9AE}" pid="4" name="KSOTemplateDocerSaveRecord">
    <vt:lpwstr>eyJoZGlkIjoiYjBmZDUxZDQwNTk3YWM2ZmY4YmE4ZDEyYjMyMzc0MmEiLCJ1c2VySWQiOiI4NTc3MzI1NjQifQ==</vt:lpwstr>
  </property>
</Properties>
</file>