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411" w:firstLineChars="4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项目名称：</w:t>
      </w:r>
      <w:r>
        <w:rPr>
          <w:rFonts w:hint="eastAsia" w:ascii="Times New Roman" w:hAnsi="Times New Roman" w:cs="Times New Roman"/>
          <w:kern w:val="0"/>
          <w:sz w:val="32"/>
          <w:szCs w:val="32"/>
          <w:lang w:bidi="en-US"/>
        </w:rPr>
        <w:t>食品非食品抽检经费</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项目单位：</w:t>
      </w:r>
      <w:r>
        <w:rPr>
          <w:rFonts w:hint="eastAsia" w:ascii="Times New Roman" w:hAnsi="Times New Roman" w:cs="Times New Roman"/>
          <w:kern w:val="0"/>
          <w:sz w:val="32"/>
          <w:szCs w:val="32"/>
          <w:lang w:bidi="en-US"/>
        </w:rPr>
        <w:t>乌鲁木齐县市场监督管理局</w:t>
      </w:r>
    </w:p>
    <w:p>
      <w:pPr>
        <w:spacing w:line="480" w:lineRule="auto"/>
        <w:ind w:left="280" w:leftChars="100" w:firstLine="1091"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主管部门：</w:t>
      </w:r>
      <w:r>
        <w:rPr>
          <w:rFonts w:hint="eastAsia" w:ascii="Times New Roman" w:hAnsi="Times New Roman" w:cs="Times New Roman"/>
          <w:kern w:val="0"/>
          <w:sz w:val="32"/>
          <w:szCs w:val="32"/>
          <w:lang w:bidi="en-US"/>
        </w:rPr>
        <w:t>乌鲁木齐县市场监督管理局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rPr>
          <w:rFonts w:ascii="Times New Roman" w:hAnsi="Times New Roman" w:eastAsia="黑体"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2023年04月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ascii="Times New Roman" w:hAnsi="Times New Roman" w:eastAsia="仿宋_GB2312" w:cs="Times New Roman"/>
          <w:b/>
          <w:bCs/>
          <w:color w:val="auto"/>
          <w:kern w:val="2"/>
          <w:sz w:val="28"/>
          <w:szCs w:val="22"/>
          <w:lang w:val="zh-CN"/>
        </w:rPr>
      </w:sdtEndPr>
      <w:sdtContent>
        <w:p>
          <w:pPr>
            <w:pStyle w:val="29"/>
            <w:ind w:firstLine="560"/>
            <w:jc w:val="center"/>
            <w:rPr>
              <w:rFonts w:ascii="Times New Roman" w:hAnsi="Times New Roman" w:cs="Times New Roman"/>
            </w:rPr>
          </w:pPr>
          <w:r>
            <w:rPr>
              <w:rFonts w:ascii="Times New Roman" w:hAnsi="Times New Roman" w:cs="Times New Roman"/>
              <w:color w:val="000000" w:themeColor="text1"/>
              <w:lang w:val="zh-CN"/>
            </w:rPr>
            <w:t>目录</w:t>
          </w:r>
        </w:p>
        <w:p>
          <w:pPr>
            <w:pStyle w:val="11"/>
            <w:tabs>
              <w:tab w:val="right" w:leader="dot" w:pos="8296"/>
            </w:tabs>
            <w:ind w:firstLine="560"/>
            <w:rPr>
              <w:rFonts w:ascii="Times New Roman" w:hAnsi="Times New Roman" w:cs="Times New Roman" w:eastAsiaTheme="minorEastAsia"/>
              <w:sz w:val="21"/>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fldChar w:fldCharType="begin"/>
          </w:r>
          <w:r>
            <w:instrText xml:space="preserve"> HYPERLINK \l "_Toc100784583" </w:instrText>
          </w:r>
          <w:r>
            <w:fldChar w:fldCharType="separate"/>
          </w:r>
          <w:r>
            <w:rPr>
              <w:rStyle w:val="18"/>
              <w:rFonts w:ascii="Times New Roman" w:hAnsi="Times New Roman" w:eastAsia="仿宋" w:cs="Times New Roman"/>
              <w:lang w:bidi="en-US"/>
            </w:rPr>
            <w:t>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_Toc100784583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"_Toc100784584" </w:instrText>
          </w:r>
          <w:r>
            <w:fldChar w:fldCharType="separate"/>
          </w:r>
          <w:r>
            <w:rPr>
              <w:rStyle w:val="18"/>
              <w:rFonts w:ascii="Times New Roman" w:hAnsi="Times New Roman" w:eastAsia="仿宋" w:cs="Times New Roman"/>
              <w:lang w:bidi="en-US"/>
            </w:rPr>
            <w:t>（一）项目概况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_Toc100784584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"_Toc100784585" </w:instrText>
          </w:r>
          <w:r>
            <w:fldChar w:fldCharType="separate"/>
          </w:r>
          <w:r>
            <w:rPr>
              <w:rStyle w:val="18"/>
              <w:rFonts w:ascii="Times New Roman" w:hAnsi="Times New Roman" w:eastAsia="仿宋" w:cs="Times New Roman"/>
              <w:lang w:bidi="en-US"/>
            </w:rPr>
            <w:t>（二）项目绩效目标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_Toc100784585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"_Toc100784586" </w:instrText>
          </w:r>
          <w:r>
            <w:fldChar w:fldCharType="separate"/>
          </w:r>
          <w:r>
            <w:rPr>
              <w:rStyle w:val="18"/>
              <w:rFonts w:ascii="Times New Roman" w:hAnsi="Times New Roman" w:eastAsia="仿宋" w:cs="Times New Roman"/>
              <w:lang w:bidi="en-US"/>
            </w:rPr>
            <w:t>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_Toc100784586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"_Toc100784587" </w:instrText>
          </w:r>
          <w:r>
            <w:fldChar w:fldCharType="separate"/>
          </w:r>
          <w:r>
            <w:rPr>
              <w:rStyle w:val="18"/>
              <w:rFonts w:ascii="Times New Roman" w:hAnsi="Times New Roman" w:eastAsia="仿宋" w:cs="Times New Roman"/>
              <w:lang w:bidi="en-US"/>
            </w:rPr>
            <w:t>（一）绩效评价目的、对象和范围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_Toc100784587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"_Toc100784588" </w:instrText>
          </w:r>
          <w:r>
            <w:fldChar w:fldCharType="separate"/>
          </w:r>
          <w:r>
            <w:rPr>
              <w:rStyle w:val="18"/>
              <w:rFonts w:ascii="Times New Roman" w:hAnsi="Times New Roman" w:cs="Times New Roman"/>
            </w:rPr>
            <w:t>1.评价目的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_Toc100784588 \h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"_Toc100784589" </w:instrText>
          </w:r>
          <w:r>
            <w:fldChar w:fldCharType="separate"/>
          </w:r>
          <w:r>
            <w:rPr>
              <w:rStyle w:val="18"/>
              <w:rFonts w:ascii="Times New Roman" w:hAnsi="Times New Roman" w:cs="Times New Roman"/>
            </w:rPr>
            <w:t>2.评价对象和范围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_Toc100784589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"_Toc100784590" </w:instrText>
          </w:r>
          <w:r>
            <w:fldChar w:fldCharType="separate"/>
          </w:r>
          <w:r>
            <w:rPr>
              <w:rStyle w:val="18"/>
              <w:rFonts w:ascii="Times New Roman" w:hAnsi="Times New Roman" w:eastAsia="仿宋" w:cs="Times New Roman"/>
              <w:lang w:bidi="en-US"/>
            </w:rPr>
            <w:t>（二）绩效评价原则、指标体系、方法及标准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_Toc100784590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"_Toc100784591" </w:instrText>
          </w:r>
          <w:r>
            <w:fldChar w:fldCharType="separate"/>
          </w:r>
          <w:r>
            <w:rPr>
              <w:rStyle w:val="18"/>
              <w:rFonts w:ascii="Times New Roman" w:hAnsi="Times New Roman" w:cs="Times New Roman"/>
            </w:rPr>
            <w:t>1.评价原则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_Toc100784591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"_Toc100784592" </w:instrText>
          </w:r>
          <w:r>
            <w:fldChar w:fldCharType="separate"/>
          </w:r>
          <w:r>
            <w:rPr>
              <w:rStyle w:val="18"/>
              <w:rFonts w:ascii="Times New Roman" w:hAnsi="Times New Roman" w:cs="Times New Roman"/>
            </w:rPr>
            <w:t>2.评价指标体系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_Toc100784592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"_Toc100784593" </w:instrText>
          </w:r>
          <w:r>
            <w:fldChar w:fldCharType="separate"/>
          </w:r>
          <w:r>
            <w:rPr>
              <w:rStyle w:val="18"/>
              <w:rFonts w:ascii="Times New Roman" w:hAnsi="Times New Roman" w:cs="Times New Roman"/>
            </w:rPr>
            <w:t>3.评价方法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_Toc100784593 \h </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"_Toc100784594" </w:instrText>
          </w:r>
          <w:r>
            <w:fldChar w:fldCharType="separate"/>
          </w:r>
          <w:r>
            <w:rPr>
              <w:rStyle w:val="18"/>
              <w:rFonts w:ascii="Times New Roman" w:hAnsi="Times New Roman" w:cs="Times New Roman"/>
            </w:rPr>
            <w:t>4.评价标准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_Toc100784594 \h </w:instrText>
          </w:r>
          <w:r>
            <w:rPr>
              <w:rFonts w:ascii="Times New Roman" w:hAnsi="Times New Roman" w:cs="Times New Roman"/>
            </w:rPr>
            <w:fldChar w:fldCharType="separate"/>
          </w:r>
          <w:r>
            <w:rPr>
              <w:rFonts w:ascii="Times New Roman" w:hAnsi="Times New Roman" w:cs="Times New Roman"/>
            </w:rPr>
            <w:t>13</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"_Toc100784595" </w:instrText>
          </w:r>
          <w:r>
            <w:fldChar w:fldCharType="separate"/>
          </w:r>
          <w:r>
            <w:rPr>
              <w:rStyle w:val="18"/>
              <w:rFonts w:ascii="Times New Roman" w:hAnsi="Times New Roman" w:eastAsia="仿宋" w:cs="Times New Roman"/>
              <w:lang w:bidi="en-US"/>
            </w:rPr>
            <w:t>（三）绩效评价工作过程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_Toc100784595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"_Toc100784596" </w:instrText>
          </w:r>
          <w:r>
            <w:fldChar w:fldCharType="separate"/>
          </w:r>
          <w:r>
            <w:rPr>
              <w:rStyle w:val="18"/>
              <w:rFonts w:ascii="Times New Roman" w:hAnsi="Times New Roman" w:eastAsia="仿宋" w:cs="Times New Roman"/>
              <w:lang w:bidi="en-US"/>
            </w:rPr>
            <w:t>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_Toc100784596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"_Toc100784597" </w:instrText>
          </w:r>
          <w:r>
            <w:fldChar w:fldCharType="separate"/>
          </w:r>
          <w:r>
            <w:rPr>
              <w:rStyle w:val="18"/>
              <w:rFonts w:ascii="Times New Roman" w:hAnsi="Times New Roman" w:eastAsia="仿宋" w:cs="Times New Roman"/>
              <w:lang w:bidi="en-US"/>
            </w:rPr>
            <w:t>（一）评价结论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_Toc100784597 \h </w:instrText>
          </w:r>
          <w:r>
            <w:rPr>
              <w:rFonts w:ascii="Times New Roman" w:hAnsi="Times New Roman" w:cs="Times New Roman"/>
            </w:rPr>
            <w:fldChar w:fldCharType="separate"/>
          </w:r>
          <w:r>
            <w:rPr>
              <w:rFonts w:ascii="Times New Roman" w:hAnsi="Times New Roman" w:cs="Times New Roman"/>
            </w:rPr>
            <w:t>14</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"_Toc100784598" </w:instrText>
          </w:r>
          <w:r>
            <w:fldChar w:fldCharType="separate"/>
          </w:r>
          <w:r>
            <w:rPr>
              <w:rStyle w:val="18"/>
              <w:rFonts w:ascii="Times New Roman" w:hAnsi="Times New Roman" w:eastAsia="仿宋" w:cs="Times New Roman"/>
              <w:lang w:bidi="en-US"/>
            </w:rPr>
            <w:t>（二）主要绩效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_Toc100784598 \h </w:instrText>
          </w:r>
          <w:r>
            <w:rPr>
              <w:rFonts w:ascii="Times New Roman" w:hAnsi="Times New Roman" w:cs="Times New Roman"/>
            </w:rPr>
            <w:fldChar w:fldCharType="separate"/>
          </w:r>
          <w:r>
            <w:rPr>
              <w:rFonts w:ascii="Times New Roman" w:hAnsi="Times New Roman" w:cs="Times New Roman"/>
            </w:rPr>
            <w:t>15</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"_Toc100784599" </w:instrText>
          </w:r>
          <w:r>
            <w:fldChar w:fldCharType="separate"/>
          </w:r>
          <w:r>
            <w:rPr>
              <w:rStyle w:val="18"/>
              <w:rFonts w:ascii="Times New Roman" w:hAnsi="Times New Roman" w:eastAsia="仿宋" w:cs="Times New Roman"/>
              <w:lang w:bidi="en-US"/>
            </w:rPr>
            <w:t>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_Toc100784599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"_Toc100784600" </w:instrText>
          </w:r>
          <w:r>
            <w:fldChar w:fldCharType="separate"/>
          </w:r>
          <w:r>
            <w:rPr>
              <w:rStyle w:val="18"/>
              <w:rFonts w:ascii="Times New Roman" w:hAnsi="Times New Roman" w:eastAsia="仿宋" w:cs="Times New Roman"/>
              <w:lang w:bidi="en-US"/>
            </w:rPr>
            <w:t>（一）项目决策情况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_Toc100784600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"_Toc100784601" </w:instrText>
          </w:r>
          <w:r>
            <w:fldChar w:fldCharType="separate"/>
          </w:r>
          <w:r>
            <w:rPr>
              <w:rStyle w:val="18"/>
              <w:rFonts w:ascii="Times New Roman" w:hAnsi="Times New Roman" w:cs="Times New Roman"/>
            </w:rPr>
            <w:t>1.项目立项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_Toc100784601 \h </w:instrText>
          </w:r>
          <w:r>
            <w:rPr>
              <w:rFonts w:ascii="Times New Roman" w:hAnsi="Times New Roman" w:cs="Times New Roman"/>
            </w:rPr>
            <w:fldChar w:fldCharType="separate"/>
          </w:r>
          <w:r>
            <w:rPr>
              <w:rFonts w:ascii="Times New Roman" w:hAnsi="Times New Roman" w:cs="Times New Roman"/>
            </w:rPr>
            <w:t>16</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"_Toc100784602" </w:instrText>
          </w:r>
          <w:r>
            <w:fldChar w:fldCharType="separate"/>
          </w:r>
          <w:r>
            <w:rPr>
              <w:rStyle w:val="18"/>
              <w:rFonts w:ascii="Times New Roman" w:hAnsi="Times New Roman" w:cs="Times New Roman"/>
            </w:rPr>
            <w:t>2.绩效目标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_Toc100784602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"_Toc100784603" </w:instrText>
          </w:r>
          <w:r>
            <w:fldChar w:fldCharType="separate"/>
          </w:r>
          <w:r>
            <w:rPr>
              <w:rStyle w:val="18"/>
              <w:rFonts w:ascii="Times New Roman" w:hAnsi="Times New Roman" w:cs="Times New Roman"/>
            </w:rPr>
            <w:t>3.资金投入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_Toc100784603 \h </w:instrText>
          </w:r>
          <w:r>
            <w:rPr>
              <w:rFonts w:ascii="Times New Roman" w:hAnsi="Times New Roman" w:cs="Times New Roman"/>
            </w:rPr>
            <w:fldChar w:fldCharType="separate"/>
          </w:r>
          <w:r>
            <w:rPr>
              <w:rFonts w:ascii="Times New Roman" w:hAnsi="Times New Roman" w:cs="Times New Roman"/>
            </w:rPr>
            <w:t>17</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"_Toc100784604" </w:instrText>
          </w:r>
          <w:r>
            <w:fldChar w:fldCharType="separate"/>
          </w:r>
          <w:r>
            <w:rPr>
              <w:rStyle w:val="18"/>
              <w:rFonts w:ascii="Times New Roman" w:hAnsi="Times New Roman" w:eastAsia="仿宋" w:cs="Times New Roman"/>
              <w:lang w:bidi="en-US"/>
            </w:rPr>
            <w:t>（二）项目过程情况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_Toc100784604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"_Toc100784605" </w:instrText>
          </w:r>
          <w:r>
            <w:fldChar w:fldCharType="separate"/>
          </w:r>
          <w:r>
            <w:rPr>
              <w:rStyle w:val="18"/>
              <w:rFonts w:ascii="Times New Roman" w:hAnsi="Times New Roman" w:cs="Times New Roman"/>
            </w:rPr>
            <w:t>1.资金管理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_Toc100784605 \h </w:instrText>
          </w:r>
          <w:r>
            <w:rPr>
              <w:rFonts w:ascii="Times New Roman" w:hAnsi="Times New Roman" w:cs="Times New Roman"/>
            </w:rPr>
            <w:fldChar w:fldCharType="separate"/>
          </w:r>
          <w:r>
            <w:rPr>
              <w:rFonts w:ascii="Times New Roman" w:hAnsi="Times New Roman" w:cs="Times New Roman"/>
            </w:rPr>
            <w:t>18</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"_Toc100784606" </w:instrText>
          </w:r>
          <w:r>
            <w:fldChar w:fldCharType="separate"/>
          </w:r>
          <w:r>
            <w:rPr>
              <w:rStyle w:val="18"/>
              <w:rFonts w:ascii="Times New Roman" w:hAnsi="Times New Roman" w:cs="Times New Roman"/>
            </w:rPr>
            <w:t>2.组织实施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_Toc100784606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"_Toc100784607" </w:instrText>
          </w:r>
          <w:r>
            <w:fldChar w:fldCharType="separate"/>
          </w:r>
          <w:r>
            <w:rPr>
              <w:rStyle w:val="18"/>
              <w:rFonts w:ascii="Times New Roman" w:hAnsi="Times New Roman" w:eastAsia="仿宋" w:cs="Times New Roman"/>
              <w:lang w:bidi="en-US"/>
            </w:rPr>
            <w:t>（三）项目产出情况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_Toc100784607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"_Toc100784608" </w:instrText>
          </w:r>
          <w:r>
            <w:fldChar w:fldCharType="separate"/>
          </w:r>
          <w:r>
            <w:rPr>
              <w:rStyle w:val="18"/>
              <w:rFonts w:ascii="Times New Roman" w:hAnsi="Times New Roman" w:cs="Times New Roman"/>
            </w:rPr>
            <w:t>1.产出数量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_Toc100784608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"_Toc100784609" </w:instrText>
          </w:r>
          <w:r>
            <w:fldChar w:fldCharType="separate"/>
          </w:r>
          <w:r>
            <w:rPr>
              <w:rStyle w:val="18"/>
              <w:rFonts w:ascii="Times New Roman" w:hAnsi="Times New Roman" w:cs="Times New Roman"/>
            </w:rPr>
            <w:t>2.产出质量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_Toc100784609 \h </w:instrText>
          </w:r>
          <w:r>
            <w:rPr>
              <w:rFonts w:ascii="Times New Roman" w:hAnsi="Times New Roman" w:cs="Times New Roman"/>
            </w:rPr>
            <w:fldChar w:fldCharType="separate"/>
          </w:r>
          <w:r>
            <w:rPr>
              <w:rFonts w:ascii="Times New Roman" w:hAnsi="Times New Roman" w:cs="Times New Roman"/>
            </w:rPr>
            <w:t>19</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"_Toc100784610" </w:instrText>
          </w:r>
          <w:r>
            <w:fldChar w:fldCharType="separate"/>
          </w:r>
          <w:r>
            <w:rPr>
              <w:rStyle w:val="18"/>
              <w:rFonts w:ascii="Times New Roman" w:hAnsi="Times New Roman" w:cs="Times New Roman"/>
            </w:rPr>
            <w:t>3.产出时效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_Toc100784610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"_Toc100784611" </w:instrText>
          </w:r>
          <w:r>
            <w:fldChar w:fldCharType="separate"/>
          </w:r>
          <w:r>
            <w:rPr>
              <w:rStyle w:val="18"/>
              <w:rFonts w:ascii="Times New Roman" w:hAnsi="Times New Roman" w:cs="Times New Roman"/>
            </w:rPr>
            <w:t>4.产出成本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_Toc100784611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"_Toc100784612" </w:instrText>
          </w:r>
          <w:r>
            <w:fldChar w:fldCharType="separate"/>
          </w:r>
          <w:r>
            <w:rPr>
              <w:rStyle w:val="18"/>
              <w:rFonts w:ascii="Times New Roman" w:hAnsi="Times New Roman" w:eastAsia="仿宋" w:cs="Times New Roman"/>
              <w:lang w:bidi="en-US"/>
            </w:rPr>
            <w:t>（四）项目效益情况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_Toc100784612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"_Toc100784613" </w:instrText>
          </w:r>
          <w:r>
            <w:fldChar w:fldCharType="separate"/>
          </w:r>
          <w:r>
            <w:rPr>
              <w:rStyle w:val="18"/>
              <w:rFonts w:ascii="Times New Roman" w:hAnsi="Times New Roman" w:cs="Times New Roman"/>
            </w:rPr>
            <w:t>1.项目效益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_Toc100784613 \h </w:instrText>
          </w:r>
          <w:r>
            <w:rPr>
              <w:rFonts w:ascii="Times New Roman" w:hAnsi="Times New Roman" w:cs="Times New Roman"/>
            </w:rPr>
            <w:fldChar w:fldCharType="separate"/>
          </w:r>
          <w:r>
            <w:rPr>
              <w:rFonts w:ascii="Times New Roman" w:hAnsi="Times New Roman" w:cs="Times New Roman"/>
            </w:rPr>
            <w:t>20</w:t>
          </w:r>
          <w:r>
            <w:rPr>
              <w:rFonts w:ascii="Times New Roman" w:hAnsi="Times New Roman" w:cs="Times New Roman"/>
            </w:rPr>
            <w:fldChar w:fldCharType="end"/>
          </w:r>
          <w:r>
            <w:rPr>
              <w:rFonts w:ascii="Times New Roman" w:hAnsi="Times New Roman" w:cs="Times New Roman"/>
            </w:rPr>
            <w:fldChar w:fldCharType="end"/>
          </w:r>
        </w:p>
        <w:p>
          <w:pPr>
            <w:pStyle w:val="6"/>
            <w:tabs>
              <w:tab w:val="right" w:leader="dot" w:pos="8296"/>
            </w:tabs>
            <w:ind w:left="1120" w:firstLine="560"/>
            <w:rPr>
              <w:rFonts w:ascii="Times New Roman" w:hAnsi="Times New Roman" w:cs="Times New Roman"/>
            </w:rPr>
          </w:pPr>
          <w:r>
            <w:fldChar w:fldCharType="begin"/>
          </w:r>
          <w:r>
            <w:instrText xml:space="preserve"> HYPERLINK \l "_Toc100784614" </w:instrText>
          </w:r>
          <w:r>
            <w:fldChar w:fldCharType="separate"/>
          </w:r>
          <w:r>
            <w:rPr>
              <w:rStyle w:val="18"/>
              <w:rFonts w:ascii="Times New Roman" w:hAnsi="Times New Roman" w:cs="Times New Roman"/>
            </w:rPr>
            <w:t>2. 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_Toc100784614 \h </w:instrText>
          </w:r>
          <w:r>
            <w:rPr>
              <w:rFonts w:ascii="Times New Roman" w:hAnsi="Times New Roman" w:cs="Times New Roman"/>
            </w:rPr>
            <w:fldChar w:fldCharType="separate"/>
          </w:r>
          <w:r>
            <w:rPr>
              <w:rFonts w:ascii="Times New Roman" w:hAnsi="Times New Roman" w:cs="Times New Roman"/>
            </w:rPr>
            <w:t>21</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"_Toc100784615" </w:instrText>
          </w:r>
          <w:r>
            <w:fldChar w:fldCharType="separate"/>
          </w:r>
          <w:r>
            <w:rPr>
              <w:rStyle w:val="18"/>
              <w:rFonts w:ascii="Times New Roman" w:hAnsi="Times New Roman" w:eastAsia="仿宋" w:cs="Times New Roman"/>
              <w:lang w:bidi="en-US"/>
            </w:rPr>
            <w:t>五、预算执行进度与绩效指标偏差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_Toc100784615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"_Toc100784616" </w:instrText>
          </w:r>
          <w:r>
            <w:fldChar w:fldCharType="separate"/>
          </w:r>
          <w:r>
            <w:rPr>
              <w:rStyle w:val="18"/>
              <w:rFonts w:ascii="Times New Roman" w:hAnsi="Times New Roman" w:eastAsia="仿宋" w:cs="Times New Roman"/>
              <w:lang w:bidi="en-US"/>
            </w:rPr>
            <w:t>六、主要经验及做法、存在的问题及原因分析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_Toc100784616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"_Toc100784617" </w:instrText>
          </w:r>
          <w:r>
            <w:fldChar w:fldCharType="separate"/>
          </w:r>
          <w:r>
            <w:rPr>
              <w:rStyle w:val="18"/>
              <w:rFonts w:ascii="Times New Roman" w:hAnsi="Times New Roman" w:eastAsia="仿宋" w:cs="Times New Roman"/>
              <w:lang w:bidi="en-US"/>
            </w:rPr>
            <w:t>（一）主要经验及做法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_Toc100784617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3"/>
            <w:tabs>
              <w:tab w:val="right" w:leader="dot" w:pos="8296"/>
            </w:tabs>
            <w:ind w:left="560" w:firstLine="560"/>
            <w:rPr>
              <w:rFonts w:ascii="Times New Roman" w:hAnsi="Times New Roman" w:cs="Times New Roman" w:eastAsiaTheme="minorEastAsia"/>
              <w:sz w:val="21"/>
            </w:rPr>
          </w:pPr>
          <w:r>
            <w:fldChar w:fldCharType="begin"/>
          </w:r>
          <w:r>
            <w:instrText xml:space="preserve"> HYPERLINK \l "_Toc100784618" </w:instrText>
          </w:r>
          <w:r>
            <w:fldChar w:fldCharType="separate"/>
          </w:r>
          <w:r>
            <w:rPr>
              <w:rStyle w:val="18"/>
              <w:rFonts w:ascii="Times New Roman" w:hAnsi="Times New Roman" w:eastAsia="仿宋" w:cs="Times New Roman"/>
              <w:lang w:bidi="en-US"/>
            </w:rPr>
            <w:t>（二）存在的问题及原因分析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_Toc100784618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"_Toc100784619" </w:instrText>
          </w:r>
          <w:r>
            <w:fldChar w:fldCharType="separate"/>
          </w:r>
          <w:r>
            <w:rPr>
              <w:rStyle w:val="18"/>
              <w:rFonts w:ascii="Times New Roman" w:hAnsi="Times New Roman" w:eastAsia="仿宋" w:cs="Times New Roman"/>
              <w:lang w:bidi="en-US"/>
            </w:rPr>
            <w:t>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_Toc100784619 \h </w:instrText>
          </w:r>
          <w:r>
            <w:rPr>
              <w:rFonts w:ascii="Times New Roman" w:hAnsi="Times New Roman" w:cs="Times New Roman"/>
            </w:rPr>
            <w:fldChar w:fldCharType="separate"/>
          </w:r>
          <w:r>
            <w:rPr>
              <w:rFonts w:ascii="Times New Roman" w:hAnsi="Times New Roman" w:cs="Times New Roman"/>
            </w:rPr>
            <w:t>22</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ind w:firstLine="560"/>
            <w:rPr>
              <w:rFonts w:ascii="Times New Roman" w:hAnsi="Times New Roman" w:cs="Times New Roman" w:eastAsiaTheme="minorEastAsia"/>
              <w:sz w:val="21"/>
            </w:rPr>
          </w:pPr>
          <w:r>
            <w:fldChar w:fldCharType="begin"/>
          </w:r>
          <w:r>
            <w:instrText xml:space="preserve"> HYPERLINK \l "_Toc100784620" </w:instrText>
          </w:r>
          <w:r>
            <w:fldChar w:fldCharType="separate"/>
          </w:r>
          <w:r>
            <w:rPr>
              <w:rStyle w:val="18"/>
              <w:rFonts w:ascii="Times New Roman" w:hAnsi="Times New Roman" w:eastAsia="仿宋" w:cs="Times New Roman"/>
              <w:lang w:bidi="en-US"/>
            </w:rPr>
            <w:t>八、有关建议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_Toc100784620 \h </w:instrText>
          </w:r>
          <w:r>
            <w:rPr>
              <w:rFonts w:ascii="Times New Roman" w:hAnsi="Times New Roman" w:cs="Times New Roman"/>
            </w:rPr>
            <w:fldChar w:fldCharType="separate"/>
          </w:r>
          <w:r>
            <w:rPr>
              <w:rFonts w:ascii="Times New Roman" w:hAnsi="Times New Roman" w:cs="Times New Roman"/>
            </w:rPr>
            <w:t>23</w:t>
          </w:r>
          <w:r>
            <w:rPr>
              <w:rFonts w:ascii="Times New Roman" w:hAnsi="Times New Roman" w:cs="Times New Roman"/>
            </w:rPr>
            <w:fldChar w:fldCharType="end"/>
          </w:r>
          <w:r>
            <w:rPr>
              <w:rFonts w:ascii="Times New Roman" w:hAnsi="Times New Roman" w:cs="Times New Roman"/>
            </w:rPr>
            <w:fldChar w:fldCharType="end"/>
          </w:r>
        </w:p>
        <w:p>
          <w:pPr>
            <w:ind w:firstLine="560"/>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0" w:name="_Toc100784583"/>
      <w:bookmarkStart w:id="1" w:name="_Toc67911601"/>
      <w:r>
        <w:rPr>
          <w:rFonts w:ascii="Times New Roman" w:hAnsi="Times New Roman" w:eastAsia="仿宋" w:cs="Times New Roman"/>
          <w:sz w:val="36"/>
          <w:szCs w:val="36"/>
          <w:lang w:bidi="en-US"/>
        </w:rPr>
        <w:t>一、基本情况</w:t>
      </w:r>
      <w:bookmarkEnd w:id="0"/>
      <w:bookmarkEnd w:id="1"/>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 w:name="_Toc67911602"/>
      <w:bookmarkStart w:id="3" w:name="_Toc100784584"/>
      <w:r>
        <w:rPr>
          <w:rFonts w:ascii="Times New Roman" w:hAnsi="Times New Roman" w:eastAsia="仿宋" w:cs="Times New Roman"/>
          <w:sz w:val="32"/>
          <w:szCs w:val="32"/>
          <w:lang w:bidi="en-US"/>
        </w:rPr>
        <w:t>（一）项目概况</w:t>
      </w:r>
      <w:bookmarkEnd w:id="2"/>
      <w:bookmarkEnd w:id="3"/>
    </w:p>
    <w:p>
      <w:pPr>
        <w:spacing w:line="560" w:lineRule="exact"/>
        <w:ind w:firstLine="560"/>
        <w:rPr>
          <w:rFonts w:ascii="Times New Roman" w:hAnsi="Times New Roman" w:cs="Times New Roman"/>
          <w:szCs w:val="28"/>
        </w:rPr>
      </w:pPr>
      <w:r>
        <w:rPr>
          <w:rFonts w:ascii="Times New Roman" w:hAnsi="Times New Roman" w:cs="Times New Roman"/>
          <w:szCs w:val="28"/>
        </w:rPr>
        <w:t>为进一步加强食品安全监管、全面掌握我</w:t>
      </w:r>
      <w:r>
        <w:rPr>
          <w:rFonts w:hint="eastAsia" w:ascii="Times New Roman" w:hAnsi="Times New Roman" w:cs="Times New Roman"/>
          <w:szCs w:val="28"/>
        </w:rPr>
        <w:t>县</w:t>
      </w:r>
      <w:r>
        <w:rPr>
          <w:rFonts w:ascii="Times New Roman" w:hAnsi="Times New Roman" w:cs="Times New Roman"/>
          <w:szCs w:val="28"/>
        </w:rPr>
        <w:t>食品安全总体状况，以发现食品安全问题为导向，及时发现苗头性、系统性、区域性食品安全风险和问题，有效预防食品安全事故发生，确保公众饮食安全</w:t>
      </w:r>
      <w:r>
        <w:rPr>
          <w:rFonts w:hint="eastAsia" w:ascii="Times New Roman" w:hAnsi="Times New Roman" w:cs="Times New Roman"/>
          <w:szCs w:val="28"/>
        </w:rPr>
        <w:t>，</w:t>
      </w:r>
      <w:r>
        <w:rPr>
          <w:rFonts w:ascii="Times New Roman" w:hAnsi="Times New Roman" w:cs="Times New Roman"/>
          <w:szCs w:val="28"/>
        </w:rPr>
        <w:t>根据《</w:t>
      </w:r>
      <w:r>
        <w:rPr>
          <w:rFonts w:hint="eastAsia" w:ascii="Times New Roman" w:hAnsi="Times New Roman" w:cs="Times New Roman"/>
          <w:szCs w:val="28"/>
        </w:rPr>
        <w:t>2022年乌鲁木齐市市场监管系统食品安全监督抽检计划</w:t>
      </w:r>
      <w:r>
        <w:rPr>
          <w:rFonts w:ascii="Times New Roman" w:hAnsi="Times New Roman" w:cs="Times New Roman"/>
          <w:szCs w:val="28"/>
        </w:rPr>
        <w:t>》</w:t>
      </w:r>
      <w:r>
        <w:rPr>
          <w:rFonts w:hint="eastAsia" w:ascii="Times New Roman" w:hAnsi="Times New Roman" w:cs="Times New Roman"/>
          <w:szCs w:val="28"/>
        </w:rPr>
        <w:t>（乌</w:t>
      </w:r>
      <w:r>
        <w:rPr>
          <w:rFonts w:ascii="Times New Roman" w:hAnsi="Times New Roman" w:cs="Times New Roman"/>
          <w:szCs w:val="28"/>
        </w:rPr>
        <w:t>市监〔2022〕</w:t>
      </w:r>
      <w:r>
        <w:rPr>
          <w:rFonts w:hint="eastAsia" w:ascii="Times New Roman" w:hAnsi="Times New Roman" w:cs="Times New Roman"/>
          <w:szCs w:val="28"/>
        </w:rPr>
        <w:t>30</w:t>
      </w:r>
      <w:r>
        <w:rPr>
          <w:rFonts w:ascii="Times New Roman" w:hAnsi="Times New Roman" w:cs="Times New Roman"/>
          <w:szCs w:val="28"/>
        </w:rPr>
        <w:t>号</w:t>
      </w:r>
      <w:r>
        <w:rPr>
          <w:rFonts w:hint="eastAsia" w:ascii="Times New Roman" w:hAnsi="Times New Roman" w:cs="Times New Roman"/>
          <w:szCs w:val="28"/>
        </w:rPr>
        <w:t>）、</w:t>
      </w:r>
      <w:r>
        <w:rPr>
          <w:rFonts w:ascii="Times New Roman" w:hAnsi="Times New Roman" w:cs="Times New Roman"/>
          <w:szCs w:val="28"/>
        </w:rPr>
        <w:t>《中华人民共和国食品安全法》及其实施条例、《食品安全抽样检验管理办法》</w:t>
      </w:r>
      <w:r>
        <w:rPr>
          <w:rFonts w:hint="eastAsia" w:ascii="Times New Roman" w:hAnsi="Times New Roman" w:cs="Times New Roman"/>
          <w:szCs w:val="28"/>
        </w:rPr>
        <w:t>《食用农产品抽样检验和核查处置规定》等</w:t>
      </w:r>
      <w:r>
        <w:rPr>
          <w:rFonts w:ascii="Times New Roman" w:hAnsi="Times New Roman" w:cs="Times New Roman"/>
          <w:szCs w:val="28"/>
        </w:rPr>
        <w:t>有关规定，结合</w:t>
      </w:r>
      <w:r>
        <w:rPr>
          <w:rFonts w:hint="eastAsia" w:ascii="Times New Roman" w:hAnsi="Times New Roman" w:cs="Times New Roman"/>
          <w:szCs w:val="28"/>
        </w:rPr>
        <w:t>乌鲁木齐县</w:t>
      </w:r>
      <w:r>
        <w:rPr>
          <w:rFonts w:ascii="Times New Roman" w:hAnsi="Times New Roman" w:cs="Times New Roman"/>
          <w:szCs w:val="28"/>
        </w:rPr>
        <w:t>实际，</w:t>
      </w:r>
      <w:r>
        <w:rPr>
          <w:rFonts w:hint="eastAsia" w:ascii="Times New Roman" w:hAnsi="Times New Roman" w:cs="Times New Roman"/>
          <w:szCs w:val="28"/>
        </w:rPr>
        <w:t>市场监督管理局制定了《2022年乌鲁木齐县市场监督管理局食品安全监督抽检计划》。</w:t>
      </w:r>
    </w:p>
    <w:p>
      <w:pPr>
        <w:spacing w:line="560" w:lineRule="exact"/>
        <w:ind w:firstLine="560"/>
        <w:rPr>
          <w:rFonts w:ascii="Times New Roman" w:hAnsi="Times New Roman" w:cs="Times New Roman"/>
          <w:szCs w:val="28"/>
        </w:rPr>
      </w:pPr>
      <w:r>
        <w:rPr>
          <w:rFonts w:hint="eastAsia" w:ascii="Times New Roman" w:hAnsi="Times New Roman" w:cs="Times New Roman"/>
          <w:szCs w:val="28"/>
        </w:rPr>
        <w:t>食品抽检涉及多个</w:t>
      </w:r>
      <w:r>
        <w:rPr>
          <w:rFonts w:ascii="Times New Roman" w:hAnsi="Times New Roman" w:cs="Times New Roman"/>
          <w:szCs w:val="28"/>
        </w:rPr>
        <w:t>对象、品种及项目</w:t>
      </w:r>
      <w:r>
        <w:rPr>
          <w:rFonts w:hint="eastAsia" w:ascii="Times New Roman" w:hAnsi="Times New Roman" w:cs="Times New Roman"/>
          <w:szCs w:val="28"/>
        </w:rPr>
        <w:t>。对食用农产品、餐饮单位食品安全进行日常抽检，加强在元旦、春节、元宵节、端午节、中秋节等传统节假日前对节令性食品进行抽检，对本辖区学校、托幼机构食堂、小饭桌、中央厨房、集体用餐配送单位、单位食堂、养老机构食堂、旅游景区、闲来小镇、现制现售餐饮单位进行重点抽检，保障辖区食品安全。做好重大活动餐饮服务单位食品安全监管，确保大型政治、经济、文化、体育活动以及在我县范围内举办各类大型会议等活动期间的餐饮服务食品安全，做好疫情防控食品安全抽检工作对学校、幼儿园、敬老院学校食堂康养中心等终点场所开展专项抽检。</w:t>
      </w:r>
    </w:p>
    <w:p>
      <w:pPr>
        <w:spacing w:line="560" w:lineRule="exact"/>
        <w:ind w:firstLine="560"/>
        <w:rPr>
          <w:rFonts w:ascii="方正仿宋_GBK" w:hAnsi="仿宋" w:eastAsia="方正仿宋_GBK" w:cs="仿宋"/>
          <w:bCs/>
          <w:szCs w:val="32"/>
        </w:rPr>
      </w:pPr>
      <w:r>
        <w:rPr>
          <w:rFonts w:hint="eastAsia" w:ascii="Times New Roman" w:hAnsi="Times New Roman" w:cs="Times New Roman"/>
          <w:szCs w:val="28"/>
        </w:rPr>
        <w:t>2022年市场监督管理局依据计划完成食用农产品食品抽检72批次、“学校、托幼、养老、福利” 等机构食堂餐饮食品抽检39批次、登记备案的“小餐饮、小食杂店、小摊贩”食品抽检11批次、重大活动食品快检500批次及“你点我检”食品快检10批次，                                                                                                                                                                                                                                                                                                                                                                                                                                                                                                                                                                                                                                                                                                                                                                                                                                                                                                                                                                                                                                                                                                                                                                                                                                                                                                                                                                                                                                                                                                                                                                                                                                                                                                                                                                                                                                                                                                                                                                                                                                                                               共计食品抽检672批次，。</w:t>
      </w:r>
    </w:p>
    <w:p>
      <w:pPr>
        <w:spacing w:line="560" w:lineRule="exact"/>
        <w:ind w:firstLine="560"/>
        <w:rPr>
          <w:rFonts w:ascii="方正仿宋_GBK" w:hAnsi="方正仿宋_GBK" w:eastAsia="方正仿宋_GBK" w:cs="方正仿宋_GBK"/>
          <w:sz w:val="32"/>
          <w:szCs w:val="32"/>
        </w:rPr>
      </w:pPr>
      <w:r>
        <w:rPr>
          <w:rFonts w:hint="eastAsia" w:ascii="Times New Roman" w:hAnsi="Times New Roman" w:cs="Times New Roman"/>
          <w:szCs w:val="28"/>
        </w:rPr>
        <w:t>非食品抽检主要涉及产品质量抽检，为依法履行产品质量监督职能，促进市场经济秩序，维护消费者合法权益，县市场监督管理局在产品质量监督抽查情况及对本县产品质量安全状况进行分析的基础上，制定了《2022年产品质量监督抽检工作计划》，主要对7</w:t>
      </w:r>
      <w:r>
        <w:rPr>
          <w:rFonts w:ascii="Times New Roman" w:hAnsi="Times New Roman" w:cs="Times New Roman"/>
          <w:szCs w:val="28"/>
        </w:rPr>
        <w:t>类产品</w:t>
      </w:r>
      <w:r>
        <w:rPr>
          <w:rFonts w:hint="eastAsia" w:ascii="Times New Roman" w:hAnsi="Times New Roman" w:cs="Times New Roman"/>
          <w:szCs w:val="28"/>
        </w:rPr>
        <w:t>进行抽检，其中成品油2类、车用尿素1类、化肥3类、商品煤1类。通过采购平台选择了具备相关资质、具备全面检测能力和具备本地实验室条件的自治区产品质量监督检验研究院进行承检，2022年非食品类共完成计划的7类产品19批次抽检。</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食品非食品2022年共完成抽检691批次。2022年食品类抽检成本29.8万元 ，实际支付21.66万元，2022年非食品类抽检成本6.36万元，实际支付6.36万元。2022年食品非食品抽检成本共计36.16万元。同时还支付2021年因财政资金紧张未支付的食品抽检费11.98万元，2022年该项目共计支出40万元。</w:t>
      </w:r>
    </w:p>
    <w:p>
      <w:pPr>
        <w:spacing w:line="360" w:lineRule="auto"/>
        <w:ind w:firstLine="560"/>
        <w:rPr>
          <w:rFonts w:ascii="Times New Roman" w:hAnsi="Times New Roman" w:cs="Times New Roman"/>
        </w:rPr>
      </w:pPr>
      <w:r>
        <w:rPr>
          <w:rFonts w:hint="eastAsia" w:ascii="Times New Roman" w:hAnsi="Times New Roman" w:cs="Times New Roman"/>
          <w:szCs w:val="28"/>
        </w:rPr>
        <w:t>此项目为年初预算项目，政府性基金预算财政拨款收入40万元</w:t>
      </w:r>
      <w:r>
        <w:rPr>
          <w:rFonts w:ascii="Times New Roman" w:hAnsi="Times New Roman" w:cs="Times New Roman"/>
        </w:rPr>
        <w:t>，资金到位</w:t>
      </w:r>
      <w:r>
        <w:rPr>
          <w:rFonts w:hint="eastAsia" w:ascii="Times New Roman" w:hAnsi="Times New Roman" w:cs="Times New Roman"/>
        </w:rPr>
        <w:t>40万元，实际支付40万元</w:t>
      </w:r>
      <w:r>
        <w:rPr>
          <w:rFonts w:ascii="Times New Roman" w:hAnsi="Times New Roman" w:cs="Times New Roman"/>
        </w:rPr>
        <w:t>，年中</w:t>
      </w:r>
      <w:r>
        <w:rPr>
          <w:rFonts w:hint="eastAsia" w:ascii="Times New Roman" w:hAnsi="Times New Roman" w:cs="Times New Roman"/>
        </w:rPr>
        <w:t>没有对</w:t>
      </w:r>
      <w:r>
        <w:rPr>
          <w:rFonts w:ascii="Times New Roman" w:hAnsi="Times New Roman" w:cs="Times New Roman"/>
        </w:rPr>
        <w:t>资金进行调增、调减。</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 w:name="_Toc100784585"/>
      <w:bookmarkStart w:id="5" w:name="_Toc67911603"/>
      <w:r>
        <w:rPr>
          <w:rFonts w:ascii="Times New Roman" w:hAnsi="Times New Roman" w:eastAsia="仿宋" w:cs="Times New Roman"/>
          <w:sz w:val="32"/>
          <w:szCs w:val="32"/>
          <w:lang w:bidi="en-US"/>
        </w:rPr>
        <w:t>（二）项目绩效目标</w:t>
      </w:r>
      <w:bookmarkEnd w:id="4"/>
      <w:bookmarkEnd w:id="5"/>
    </w:p>
    <w:p>
      <w:pPr>
        <w:spacing w:line="360" w:lineRule="auto"/>
        <w:ind w:firstLine="560"/>
        <w:rPr>
          <w:rFonts w:ascii="Times New Roman" w:hAnsi="Times New Roman" w:cs="Times New Roman"/>
          <w:szCs w:val="28"/>
        </w:rPr>
      </w:pPr>
      <w:r>
        <w:rPr>
          <w:rFonts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ascii="Times New Roman" w:hAnsi="Times New Roman" w:cs="Times New Roman"/>
          <w:szCs w:val="28"/>
        </w:rPr>
        <w:t>〔2018〕56号</w:t>
      </w:r>
      <w:bookmarkEnd w:id="6"/>
      <w:r>
        <w:rPr>
          <w:rFonts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420" w:firstLineChars="150"/>
        <w:rPr>
          <w:rFonts w:ascii="Times New Roman" w:hAnsi="Times New Roman" w:cs="Times New Roman"/>
          <w:szCs w:val="28"/>
        </w:rPr>
      </w:pPr>
      <w:r>
        <w:rPr>
          <w:rFonts w:ascii="Times New Roman" w:hAnsi="Times New Roman" w:cs="Times New Roman"/>
          <w:szCs w:val="28"/>
        </w:rPr>
        <w:t>该项目绩效目标设置横跨项目期</w:t>
      </w:r>
      <w:r>
        <w:rPr>
          <w:rFonts w:hint="eastAsia" w:ascii="Times New Roman" w:hAnsi="Times New Roman" w:cs="Times New Roman"/>
          <w:szCs w:val="28"/>
        </w:rPr>
        <w:t>一</w:t>
      </w:r>
      <w:r>
        <w:rPr>
          <w:rFonts w:ascii="Times New Roman" w:hAnsi="Times New Roman" w:cs="Times New Roman"/>
          <w:szCs w:val="28"/>
        </w:rPr>
        <w:t>年，为总体绩效目标，预计在</w:t>
      </w:r>
      <w:r>
        <w:rPr>
          <w:rFonts w:hint="eastAsia" w:ascii="Times New Roman" w:hAnsi="Times New Roman" w:cs="Times New Roman"/>
          <w:szCs w:val="28"/>
        </w:rPr>
        <w:t>一</w:t>
      </w:r>
      <w:r>
        <w:rPr>
          <w:rFonts w:ascii="Times New Roman" w:hAnsi="Times New Roman" w:cs="Times New Roman"/>
          <w:szCs w:val="28"/>
        </w:rPr>
        <w:t>年建设期间，计划完成</w:t>
      </w:r>
      <w:r>
        <w:rPr>
          <w:rFonts w:hint="eastAsia" w:ascii="Times New Roman" w:hAnsi="Times New Roman" w:cs="Times New Roman"/>
          <w:szCs w:val="28"/>
        </w:rPr>
        <w:t>完成监督抽检和风险监测年度检验338批次以上，抽检监测覆盖率达到98%以上，年度食品抽检任务按时完成率达到98%以上，非食品抽检成本核算10万元以下，食品抽检成本核算30万元以下，显著提高人民群众对人民群众对食品安全的自我保护意识和知晓率，显著提高人民群众对食品安全监管工作的满意度。                截止年底，实际完成监督抽检和风险监测年度检验691批次，抽检监测覆盖率达到98%以上，年度食品抽检任务按时完成率达到98%以上，非食品抽检成本核算6.36万元，食品抽检成本核算29.8万元，食品抽检成本核算30万元以下，显著提高人民群众对人民群众对食品安全的自我保护意识和知晓率，显著提高人民群众对食品安全监管工作的满意度。</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7" w:name="_Toc100784586"/>
      <w:bookmarkStart w:id="8" w:name="_Toc67911604"/>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二、绩效评价工作开展情况</w:t>
      </w:r>
      <w:bookmarkEnd w:id="7"/>
      <w:bookmarkEnd w:id="8"/>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9" w:name="_Toc67911605"/>
      <w:bookmarkStart w:id="10" w:name="_Toc100784587"/>
      <w:r>
        <w:rPr>
          <w:rFonts w:ascii="Times New Roman" w:hAnsi="Times New Roman" w:eastAsia="仿宋" w:cs="Times New Roman"/>
          <w:sz w:val="32"/>
          <w:szCs w:val="32"/>
          <w:lang w:bidi="en-US"/>
        </w:rPr>
        <w:t>（一）绩效评价目的、对象和范围</w:t>
      </w:r>
      <w:bookmarkEnd w:id="9"/>
      <w:bookmarkEnd w:id="10"/>
    </w:p>
    <w:p>
      <w:pPr>
        <w:pStyle w:val="2"/>
        <w:spacing w:before="0" w:after="0" w:line="360" w:lineRule="auto"/>
        <w:ind w:firstLine="643"/>
        <w:jc w:val="left"/>
        <w:rPr>
          <w:rFonts w:ascii="Times New Roman" w:hAnsi="Times New Roman" w:eastAsia="仿宋" w:cs="Times New Roman"/>
          <w:sz w:val="32"/>
          <w:szCs w:val="32"/>
          <w:lang w:bidi="en-US"/>
        </w:rPr>
      </w:pPr>
      <w:bookmarkStart w:id="11" w:name="_Toc100784588"/>
      <w:r>
        <w:rPr>
          <w:rFonts w:ascii="Times New Roman" w:hAnsi="Times New Roman" w:eastAsia="仿宋" w:cs="Times New Roman"/>
          <w:sz w:val="32"/>
          <w:szCs w:val="32"/>
          <w:lang w:bidi="en-US"/>
        </w:rPr>
        <w:t>1.评价目的</w:t>
      </w:r>
      <w:bookmarkEnd w:id="11"/>
    </w:p>
    <w:p>
      <w:pPr>
        <w:spacing w:line="360" w:lineRule="auto"/>
        <w:ind w:firstLine="560"/>
        <w:rPr>
          <w:rFonts w:ascii="Times New Roman" w:hAnsi="Times New Roman" w:cs="Times New Roman"/>
          <w:b/>
          <w:bCs/>
        </w:rPr>
      </w:pPr>
      <w:r>
        <w:rPr>
          <w:rFonts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spacing w:before="0" w:after="0" w:line="360" w:lineRule="auto"/>
        <w:ind w:firstLine="643"/>
        <w:jc w:val="left"/>
        <w:rPr>
          <w:rFonts w:ascii="Times New Roman" w:hAnsi="Times New Roman" w:eastAsia="仿宋" w:cs="Times New Roman"/>
          <w:sz w:val="32"/>
          <w:szCs w:val="32"/>
          <w:lang w:bidi="en-US"/>
        </w:rPr>
      </w:pPr>
      <w:bookmarkStart w:id="12" w:name="_Toc100784589"/>
      <w:r>
        <w:rPr>
          <w:rFonts w:ascii="Times New Roman" w:hAnsi="Times New Roman" w:eastAsia="仿宋" w:cs="Times New Roman"/>
          <w:sz w:val="32"/>
          <w:szCs w:val="32"/>
          <w:lang w:bidi="en-US"/>
        </w:rPr>
        <w:t>2.评价对象和范围</w:t>
      </w:r>
      <w:bookmarkEnd w:id="12"/>
    </w:p>
    <w:p>
      <w:pPr>
        <w:spacing w:line="360" w:lineRule="auto"/>
        <w:ind w:firstLine="560"/>
        <w:rPr>
          <w:rFonts w:ascii="Times New Roman" w:hAnsi="Times New Roman" w:cs="Times New Roman"/>
        </w:rPr>
      </w:pPr>
      <w:r>
        <w:rPr>
          <w:rFonts w:ascii="Times New Roman" w:hAnsi="Times New Roman" w:cs="Times New Roman"/>
        </w:rPr>
        <w:t>（1）绩效评价的对象：</w:t>
      </w:r>
      <w:r>
        <w:rPr>
          <w:rFonts w:hint="eastAsia" w:ascii="Times New Roman" w:hAnsi="Times New Roman" w:cs="Times New Roman"/>
        </w:rPr>
        <w:t>食品非食品抽检经费</w:t>
      </w:r>
      <w:r>
        <w:rPr>
          <w:rFonts w:ascii="Times New Roman" w:hAnsi="Times New Roman" w:cs="Times New Roman"/>
        </w:rPr>
        <w:t xml:space="preserve"> </w:t>
      </w:r>
    </w:p>
    <w:p>
      <w:pPr>
        <w:spacing w:line="360" w:lineRule="auto"/>
        <w:ind w:firstLine="560"/>
        <w:rPr>
          <w:rFonts w:ascii="Times New Roman" w:hAnsi="Times New Roman" w:cs="Times New Roman"/>
        </w:rPr>
      </w:pPr>
      <w:r>
        <w:rPr>
          <w:rFonts w:ascii="Times New Roman" w:hAnsi="Times New Roman" w:cs="Times New Roman"/>
        </w:rPr>
        <w:t>（2）绩效评价范围：</w:t>
      </w:r>
    </w:p>
    <w:p>
      <w:pPr>
        <w:spacing w:line="360" w:lineRule="auto"/>
        <w:ind w:firstLine="560"/>
        <w:rPr>
          <w:rFonts w:ascii="Times New Roman" w:hAnsi="Times New Roman" w:cs="Times New Roman"/>
        </w:rPr>
      </w:pPr>
      <w:r>
        <w:rPr>
          <w:rFonts w:ascii="Times New Roman" w:hAnsi="Times New Roman" w:cs="Times New Roman"/>
        </w:rPr>
        <w:t>1.项目范围：</w:t>
      </w:r>
      <w:r>
        <w:rPr>
          <w:rFonts w:hint="eastAsia" w:ascii="Times New Roman" w:hAnsi="Times New Roman" w:cs="Times New Roman"/>
        </w:rPr>
        <w:t>食品非食品抽检经费</w:t>
      </w:r>
      <w:r>
        <w:rPr>
          <w:rFonts w:ascii="Times New Roman" w:hAnsi="Times New Roman" w:cs="Times New Roman"/>
        </w:rPr>
        <w:t>的完成情况、资金投入的运行情况、项目实施后产生的绩效及影响效果。</w:t>
      </w:r>
    </w:p>
    <w:p>
      <w:pPr>
        <w:spacing w:line="360" w:lineRule="auto"/>
        <w:ind w:firstLine="560"/>
        <w:rPr>
          <w:rFonts w:ascii="Times New Roman" w:hAnsi="Times New Roman" w:cs="Times New Roman"/>
        </w:rPr>
      </w:pPr>
      <w:r>
        <w:rPr>
          <w:rFonts w:ascii="Times New Roman" w:hAnsi="Times New Roman" w:cs="Times New Roman"/>
        </w:rPr>
        <w:t>2.时间范围：2022年1月1日至2022年12月31日。</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13" w:name="_Toc67911606"/>
      <w:bookmarkStart w:id="14" w:name="_Toc100784590"/>
      <w:bookmarkStart w:id="15" w:name="_Hlk67586765"/>
      <w:r>
        <w:rPr>
          <w:rFonts w:ascii="Times New Roman" w:hAnsi="Times New Roman" w:eastAsia="仿宋" w:cs="Times New Roman"/>
          <w:sz w:val="32"/>
          <w:szCs w:val="32"/>
          <w:lang w:bidi="en-US"/>
        </w:rPr>
        <w:t>（二）绩效评价原则、指标体系、方法及标准</w:t>
      </w:r>
      <w:bookmarkEnd w:id="13"/>
      <w:bookmarkEnd w:id="14"/>
    </w:p>
    <w:bookmarkEnd w:id="15"/>
    <w:p>
      <w:pPr>
        <w:pStyle w:val="2"/>
        <w:spacing w:before="0" w:after="0" w:line="360" w:lineRule="auto"/>
        <w:ind w:firstLine="643"/>
        <w:jc w:val="left"/>
        <w:rPr>
          <w:rFonts w:ascii="Times New Roman" w:hAnsi="Times New Roman" w:eastAsia="仿宋" w:cs="Times New Roman"/>
          <w:sz w:val="32"/>
          <w:szCs w:val="32"/>
          <w:lang w:bidi="en-US"/>
        </w:rPr>
      </w:pPr>
      <w:bookmarkStart w:id="16" w:name="_Toc100784591"/>
      <w:r>
        <w:rPr>
          <w:rFonts w:ascii="Times New Roman" w:hAnsi="Times New Roman" w:eastAsia="仿宋" w:cs="Times New Roman"/>
          <w:sz w:val="32"/>
          <w:szCs w:val="32"/>
          <w:lang w:bidi="en-US"/>
        </w:rPr>
        <w:t>1.评价原则</w:t>
      </w:r>
      <w:bookmarkEnd w:id="16"/>
    </w:p>
    <w:p>
      <w:pPr>
        <w:spacing w:line="360" w:lineRule="auto"/>
        <w:ind w:firstLine="560"/>
        <w:rPr>
          <w:rFonts w:ascii="Times New Roman" w:hAnsi="Times New Roman" w:cs="Times New Roman"/>
        </w:rPr>
      </w:pPr>
      <w:r>
        <w:rPr>
          <w:rFonts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ascii="Times New Roman" w:hAnsi="Times New Roman" w:cs="Times New Roman"/>
        </w:rPr>
      </w:pPr>
      <w:r>
        <w:rPr>
          <w:rFonts w:ascii="Times New Roman" w:hAnsi="Times New Roman" w:cs="Times New Roman"/>
        </w:rPr>
        <w:t>（2）公正公开原则：绩效评价应当符合真实、客观、公正的要求，依法公开并接受监督。</w:t>
      </w:r>
    </w:p>
    <w:p>
      <w:pPr>
        <w:spacing w:line="360" w:lineRule="auto"/>
        <w:ind w:firstLine="560"/>
        <w:rPr>
          <w:rFonts w:ascii="Times New Roman" w:hAnsi="Times New Roman" w:cs="Times New Roman"/>
        </w:rPr>
      </w:pPr>
      <w:r>
        <w:rPr>
          <w:rFonts w:ascii="Times New Roman" w:hAnsi="Times New Roman" w:cs="Times New Roman"/>
        </w:rPr>
        <w:t>（3）分级分类原则：根据评价对象特点分类组织实施。</w:t>
      </w:r>
    </w:p>
    <w:p>
      <w:pPr>
        <w:spacing w:line="360" w:lineRule="auto"/>
        <w:ind w:firstLine="560"/>
        <w:rPr>
          <w:rFonts w:ascii="Times New Roman" w:hAnsi="Times New Roman" w:cs="Times New Roman"/>
        </w:rPr>
      </w:pPr>
      <w:r>
        <w:rPr>
          <w:rFonts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ascii="Times New Roman" w:hAnsi="Times New Roman" w:cs="Times New Roman"/>
        </w:rPr>
      </w:pPr>
      <w:r>
        <w:rPr>
          <w:rFonts w:ascii="Times New Roman" w:hAnsi="Times New Roman" w:cs="Times New Roman"/>
        </w:rPr>
        <w:t>根据以上原则，绩效评价应遵循如下要求：</w:t>
      </w:r>
    </w:p>
    <w:p>
      <w:pPr>
        <w:spacing w:line="360" w:lineRule="auto"/>
        <w:ind w:firstLine="560"/>
        <w:rPr>
          <w:rFonts w:ascii="Times New Roman" w:hAnsi="Times New Roman" w:cs="Times New Roman"/>
        </w:rPr>
      </w:pPr>
      <w:r>
        <w:rPr>
          <w:rFonts w:ascii="Times New Roman" w:hAnsi="Times New Roman" w:cs="Times New Roman"/>
        </w:rPr>
        <w:t>（1）在数据收集时，采取客观数据，并结合问卷调查结果，以保证各项指标的真实性。</w:t>
      </w:r>
    </w:p>
    <w:p>
      <w:pPr>
        <w:spacing w:line="360" w:lineRule="auto"/>
        <w:ind w:firstLine="560"/>
        <w:rPr>
          <w:rFonts w:ascii="Times New Roman" w:hAnsi="Times New Roman" w:cs="Times New Roman"/>
        </w:rPr>
      </w:pPr>
      <w:r>
        <w:rPr>
          <w:rFonts w:ascii="Times New Roman" w:hAnsi="Times New Roman" w:cs="Times New Roman"/>
        </w:rPr>
        <w:t>（2）保证评价结果的真实性、公正性，提高评价报告的公信力。</w:t>
      </w:r>
    </w:p>
    <w:p>
      <w:pPr>
        <w:spacing w:line="360" w:lineRule="auto"/>
        <w:ind w:firstLine="560"/>
        <w:rPr>
          <w:rFonts w:ascii="Times New Roman" w:hAnsi="Times New Roman" w:cs="Times New Roman"/>
        </w:rPr>
      </w:pPr>
      <w:r>
        <w:rPr>
          <w:rFonts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spacing w:before="0" w:after="0" w:line="360" w:lineRule="auto"/>
        <w:ind w:firstLine="643"/>
        <w:jc w:val="left"/>
        <w:rPr>
          <w:rFonts w:ascii="Times New Roman" w:hAnsi="Times New Roman" w:eastAsia="仿宋" w:cs="Times New Roman"/>
          <w:sz w:val="32"/>
          <w:szCs w:val="32"/>
          <w:lang w:bidi="en-US"/>
        </w:rPr>
      </w:pPr>
      <w:bookmarkStart w:id="17" w:name="_Toc100784592"/>
      <w:r>
        <w:rPr>
          <w:rFonts w:ascii="Times New Roman" w:hAnsi="Times New Roman" w:eastAsia="仿宋" w:cs="Times New Roman"/>
          <w:sz w:val="32"/>
          <w:szCs w:val="32"/>
          <w:lang w:bidi="en-US"/>
        </w:rPr>
        <w:t>2.评价指标体系</w:t>
      </w:r>
      <w:bookmarkEnd w:id="17"/>
    </w:p>
    <w:p>
      <w:pPr>
        <w:spacing w:line="360" w:lineRule="auto"/>
        <w:ind w:firstLine="560"/>
        <w:rPr>
          <w:rFonts w:ascii="Times New Roman" w:hAnsi="Times New Roman" w:cs="Times New Roman"/>
        </w:rPr>
      </w:pPr>
      <w:r>
        <w:rPr>
          <w:rFonts w:ascii="Times New Roman" w:hAnsi="Times New Roman" w:cs="Times New Roman"/>
        </w:rPr>
        <w:t>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（1）相关性原则：绩效评价指标应当与绩效目标有直接的联系，能够恰当反映目标的实现程度。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（2）重要性原则：应当优先使用最具评价对象代表性、最能反映评价要求的核心指标。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（3）可比性原则：对同类评价对象要设定共性的绩效评价指标，以便于评价结果可以相互比较。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pPr>
    </w:p>
    <w:p>
      <w:pPr>
        <w:spacing w:line="360" w:lineRule="auto"/>
        <w:ind w:firstLine="560"/>
        <w:rPr>
          <w:rFonts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立项依据</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①项目立项是否符合国家法律法规、国民经济发展规划和相关政策；</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②项目立项是否符合行业发展规划和政策要求；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③项目立项是否与部门职责范围相符，属于部门履职所需；</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④项目是否属于公共财政支持范围，是否符合中央、地方事权支出责任划分原则；</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立项程序</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①项目是否按照规定的程序申请设立；</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②审批文件、材料是否符合相关要求；</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（如未设定预算绩效目标，也可考核其他工作任务目标）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①项目是否有绩效目标；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②项目绩效目标与实际工作内容是否具有相关性；</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绩效指标</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①是否将项目绩效目标细化分解为具体的绩效指标；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②是否通过清晰、可衡量的指标值予以体现；</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③是否与项目目标任务数或计划数相对应。</w:t>
            </w:r>
            <w:r>
              <w:rPr>
                <w:rFonts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预算编制</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①预算编制是否经过科学论证；</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②预算内容与项目内容是否匹配；</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③预算额度测算依据是否充分，是否按照标准编制；</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资金分配</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①预算资金分配依据是否充分；</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资金到位率=（实际到位资金/预算资金）×100%。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预算执行率=（实际支出资金/实际到位资金）×100%。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资金使用</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①是否符合国家财经法规和财务管理制度以及有关专项资金管理办法的规定；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②资金的拨付是否有完整的审批程序和手续；</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③是否符合项目预算批复或合同规定的用途；</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管理制度</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①是否已制定或具有相应的财务和业务管理制度；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制度执行</w:t>
            </w:r>
          </w:p>
          <w:p>
            <w:pPr>
              <w:widowControl/>
              <w:ind w:firstLine="0" w:firstLineChars="0"/>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评价要点：</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①是否遵守相关法律法规和相关管理规定；</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②项目调整及支出调整手续是否完备；</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③项目合同书、验收报告、技术鉴定等资料是否齐全并及时归档；</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产出指标</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数量指标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完成监督抽检和风险监测年度检验批次</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实际完成率=（实际产出数/计划产出数）×100%。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实际产出数：一定时期（本年度或项目期）内项目实际产出的产品或提供的服务数量。</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产出指标</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质量指标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抽检监测覆盖率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质量达标率=（质量达标产出数/实际产出数）×100%。</w:t>
            </w:r>
          </w:p>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vMerge w:val="restart"/>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成本指标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非食品抽检成本核算</w:t>
            </w:r>
          </w:p>
        </w:tc>
        <w:tc>
          <w:tcPr>
            <w:tcW w:w="2789"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实际完成时间：项目实施单位完成该项目实际所耗用的时间。</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199" w:type="dxa"/>
            <w:vMerge w:val="continue"/>
            <w:tcBorders>
              <w:tl2br w:val="nil"/>
              <w:tr2bl w:val="nil"/>
            </w:tcBorders>
            <w:shd w:val="clear" w:color="auto" w:fill="FFFFFF"/>
            <w:vAlign w:val="center"/>
          </w:tcPr>
          <w:p>
            <w:pPr>
              <w:ind w:firstLine="0" w:firstLineChars="0"/>
              <w:jc w:val="center"/>
              <w:rPr>
                <w:rFonts w:ascii="Times New Roman" w:hAnsi="Times New Roman" w:eastAsia="宋体" w:cs="Times New Roman"/>
                <w:color w:val="000000"/>
                <w:kern w:val="0"/>
                <w:sz w:val="22"/>
                <w:highlight w:val="yellow"/>
              </w:rPr>
            </w:pP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食品抽检成本核算</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时效指标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年度食品抽检任务按时完成率</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成本节约率=[（计划成本-实际成本）/计划成本]×100%。</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实际成本：项目实施单位如期、保质、保量完成既定工作目标实际所耗费的支出。</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效益指标</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社会效益指标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人民群众对食品安全的自我保护意识和知晓率</w:t>
            </w:r>
          </w:p>
        </w:tc>
        <w:tc>
          <w:tcPr>
            <w:tcW w:w="2789" w:type="dxa"/>
            <w:vMerge w:val="restart"/>
            <w:tcBorders>
              <w:tl2br w:val="nil"/>
              <w:tr2bl w:val="nil"/>
            </w:tcBorders>
            <w:shd w:val="clear" w:color="auto" w:fill="FFFFFF"/>
            <w:vAlign w:val="center"/>
          </w:tcPr>
          <w:p>
            <w:pPr>
              <w:widowControl/>
              <w:ind w:firstLine="0" w:firstLineChars="0"/>
              <w:jc w:val="left"/>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经济效益指标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减少消费者经济损失</w:t>
            </w:r>
          </w:p>
        </w:tc>
        <w:tc>
          <w:tcPr>
            <w:tcW w:w="2789" w:type="dxa"/>
            <w:vMerge w:val="continue"/>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满意度指标</w:t>
            </w:r>
          </w:p>
        </w:tc>
        <w:tc>
          <w:tcPr>
            <w:tcW w:w="1199"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满意度指标</w:t>
            </w:r>
          </w:p>
        </w:tc>
        <w:tc>
          <w:tcPr>
            <w:tcW w:w="1411" w:type="dxa"/>
            <w:tcBorders>
              <w:tl2br w:val="nil"/>
              <w:tr2bl w:val="nil"/>
            </w:tcBorders>
            <w:shd w:val="clear" w:color="auto" w:fill="FFFFFF"/>
            <w:vAlign w:val="center"/>
          </w:tcPr>
          <w:p>
            <w:pPr>
              <w:widowControl/>
              <w:ind w:firstLine="0" w:firstLineChars="0"/>
              <w:jc w:val="center"/>
              <w:rPr>
                <w:rFonts w:ascii="Times New Roman" w:hAnsi="Times New Roman" w:eastAsia="宋体" w:cs="Times New Roman"/>
                <w:color w:val="000000"/>
                <w:kern w:val="0"/>
                <w:sz w:val="22"/>
                <w:highlight w:val="yellow"/>
              </w:rPr>
            </w:pPr>
            <w:r>
              <w:rPr>
                <w:rFonts w:hint="eastAsia" w:ascii="Times New Roman" w:hAnsi="Times New Roman" w:eastAsia="宋体" w:cs="Times New Roman"/>
                <w:color w:val="000000"/>
                <w:kern w:val="0"/>
                <w:sz w:val="22"/>
              </w:rPr>
              <w:t>人民群众对食品安全监管工作的满意度</w:t>
            </w:r>
          </w:p>
        </w:tc>
        <w:tc>
          <w:tcPr>
            <w:tcW w:w="2789"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spacing w:before="0" w:after="0" w:line="360" w:lineRule="auto"/>
        <w:ind w:firstLine="643"/>
        <w:jc w:val="left"/>
        <w:rPr>
          <w:rFonts w:ascii="Times New Roman" w:hAnsi="Times New Roman" w:eastAsia="仿宋" w:cs="Times New Roman"/>
          <w:sz w:val="32"/>
          <w:szCs w:val="32"/>
          <w:lang w:bidi="en-US"/>
        </w:rPr>
      </w:pPr>
      <w:bookmarkStart w:id="18" w:name="_Toc100784593"/>
      <w:bookmarkStart w:id="19" w:name="_Hlk67586038"/>
      <w:r>
        <w:rPr>
          <w:rFonts w:ascii="Times New Roman" w:hAnsi="Times New Roman" w:eastAsia="仿宋" w:cs="Times New Roman"/>
          <w:sz w:val="32"/>
          <w:szCs w:val="32"/>
          <w:lang w:bidi="en-US"/>
        </w:rPr>
        <w:t>3.评价方法</w:t>
      </w:r>
      <w:bookmarkEnd w:id="18"/>
    </w:p>
    <w:bookmarkEnd w:id="19"/>
    <w:p>
      <w:pPr>
        <w:spacing w:line="360" w:lineRule="auto"/>
        <w:ind w:firstLine="560"/>
        <w:rPr>
          <w:rFonts w:ascii="Times New Roman" w:hAnsi="Times New Roman" w:cs="Times New Roman"/>
        </w:rPr>
      </w:pPr>
      <w:r>
        <w:rPr>
          <w:rFonts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eastAsia" w:ascii="Times New Roman" w:hAnsi="Times New Roman" w:cs="Times New Roman"/>
        </w:rPr>
      </w:pPr>
      <w:r>
        <w:rPr>
          <w:rFonts w:hint="default" w:ascii="Times New Roman" w:hAnsi="Times New Roman" w:cs="Times New Roman"/>
        </w:rPr>
        <w:t>根据本项目</w:t>
      </w:r>
      <w:r>
        <w:rPr>
          <w:rFonts w:hint="default" w:ascii="Times New Roman" w:hAnsi="Times New Roman" w:cs="Times New Roman"/>
          <w:kern w:val="2"/>
          <w:sz w:val="28"/>
          <w:szCs w:val="22"/>
          <w:lang w:bidi="en-US"/>
        </w:rPr>
        <w:t>食品非食品抽检经费</w:t>
      </w:r>
      <w:r>
        <w:rPr>
          <w:rFonts w:hint="default" w:ascii="Times New Roman" w:hAnsi="Times New Roman" w:cs="Times New Roman"/>
        </w:rPr>
        <w:t>的特点，本次评价主要采用比较法</w:t>
      </w:r>
      <w:r>
        <w:rPr>
          <w:rFonts w:ascii="Times New Roman" w:hAnsi="Times New Roman" w:cs="Times New Roman"/>
        </w:rPr>
        <w:t>。</w:t>
      </w:r>
      <w:r>
        <w:rPr>
          <w:rFonts w:hint="eastAsia" w:ascii="Times New Roman" w:hAnsi="Times New Roman" w:cs="Times New Roman"/>
        </w:rPr>
        <w:t>2021年食品抽检560批次，2022年食品抽检672批次。2021年食品抽检成本29.9万元，实际支付23.92万元。2022年食品抽检成本29.8万元，实际支付21.65</w:t>
      </w:r>
      <w:r>
        <w:rPr>
          <w:rFonts w:hint="eastAsia" w:ascii="Times New Roman" w:hAnsi="Times New Roman" w:cs="Times New Roman"/>
          <w:lang w:val="en-US" w:eastAsia="zh-CN"/>
        </w:rPr>
        <w:t>万元</w:t>
      </w:r>
      <w:r>
        <w:rPr>
          <w:rFonts w:hint="eastAsia" w:ascii="Times New Roman" w:hAnsi="Times New Roman" w:cs="Times New Roman"/>
        </w:rPr>
        <w:t>，支付2021年抽检剩余款11.98万元。2021年非食品抽检实际支付3.63万元，2022年非食品抽检实际支付6.36万元。</w:t>
      </w:r>
    </w:p>
    <w:p>
      <w:pPr>
        <w:spacing w:line="360" w:lineRule="auto"/>
        <w:ind w:firstLine="560"/>
        <w:rPr>
          <w:rFonts w:ascii="Times New Roman" w:hAnsi="Times New Roman" w:eastAsia="仿宋_GB2312" w:cs="Times New Roman"/>
          <w:color w:val="auto"/>
          <w:kern w:val="2"/>
          <w:sz w:val="28"/>
          <w:szCs w:val="22"/>
        </w:rPr>
      </w:pPr>
      <w:r>
        <w:rPr>
          <w:rFonts w:hint="eastAsia" w:ascii="Times New Roman" w:hAnsi="Times New Roman" w:cs="Times New Roman"/>
        </w:rPr>
        <w:t>2021年</w:t>
      </w:r>
      <w:r>
        <w:rPr>
          <w:rFonts w:ascii="Times New Roman" w:hAnsi="Times New Roman" w:cs="Times New Roman"/>
        </w:rPr>
        <w:t>抽检覆盖率</w:t>
      </w:r>
      <w:r>
        <w:rPr>
          <w:rFonts w:hint="eastAsia" w:ascii="Times New Roman" w:hAnsi="Times New Roman" w:cs="Times New Roman"/>
        </w:rPr>
        <w:t>达到98%以上，</w:t>
      </w:r>
      <w:r>
        <w:rPr>
          <w:rFonts w:ascii="Times New Roman" w:hAnsi="Times New Roman" w:cs="Times New Roman"/>
        </w:rPr>
        <w:t>食品、非食品抽检任务按时完成率</w:t>
      </w:r>
      <w:r>
        <w:rPr>
          <w:rFonts w:hint="eastAsia" w:ascii="Times New Roman" w:hAnsi="Times New Roman" w:cs="Times New Roman"/>
        </w:rPr>
        <w:t>100%，</w:t>
      </w:r>
      <w:r>
        <w:rPr>
          <w:rFonts w:ascii="Times New Roman" w:hAnsi="Times New Roman" w:cs="Times New Roman"/>
        </w:rPr>
        <w:t>检查结果公开率</w:t>
      </w:r>
      <w:r>
        <w:rPr>
          <w:rFonts w:hint="eastAsia" w:ascii="Times New Roman" w:hAnsi="Times New Roman" w:cs="Times New Roman"/>
        </w:rPr>
        <w:t>达到95%以上，</w:t>
      </w:r>
      <w:r>
        <w:rPr>
          <w:rFonts w:ascii="Times New Roman" w:hAnsi="Times New Roman" w:cs="Times New Roman"/>
        </w:rPr>
        <w:t>问题整改落实率</w:t>
      </w:r>
      <w:r>
        <w:rPr>
          <w:rFonts w:hint="eastAsia" w:ascii="Times New Roman" w:hAnsi="Times New Roman" w:cs="Times New Roman"/>
        </w:rPr>
        <w:t>95%以上，抽检成本均小于预算成本。2022年</w:t>
      </w:r>
      <w:r>
        <w:rPr>
          <w:rFonts w:ascii="Times New Roman" w:hAnsi="Times New Roman" w:cs="Times New Roman"/>
        </w:rPr>
        <w:t>抽检覆盖率</w:t>
      </w:r>
      <w:r>
        <w:rPr>
          <w:rFonts w:hint="eastAsia" w:ascii="Times New Roman" w:hAnsi="Times New Roman" w:cs="Times New Roman"/>
        </w:rPr>
        <w:t>达到98%以上，年度食品抽检任务按时完成率98%以上，减少消费者经济损失小于2%，人民群众对食品安全的自我保护意识和知晓率显著提高。</w:t>
      </w:r>
    </w:p>
    <w:p>
      <w:pPr>
        <w:spacing w:line="360" w:lineRule="auto"/>
        <w:ind w:firstLine="560"/>
        <w:rPr>
          <w:rFonts w:ascii="Times New Roman" w:hAnsi="Times New Roman" w:cs="Times New Roman"/>
        </w:rPr>
      </w:pPr>
      <w:r>
        <w:rPr>
          <w:rFonts w:hint="eastAsia" w:ascii="Times New Roman" w:hAnsi="Times New Roman" w:cs="Times New Roman"/>
        </w:rPr>
        <w:t>2022年食品抽检成本较2021年相比减少0.1万元，2022年非食品抽检成本较2021年相比增加2.73万元，</w:t>
      </w:r>
      <w:r>
        <w:rPr>
          <w:rFonts w:hint="eastAsia" w:ascii="Times New Roman" w:hAnsi="Times New Roman" w:cs="Times New Roman"/>
          <w:lang w:val="en-US" w:eastAsia="zh-CN"/>
        </w:rPr>
        <w:t>2022年</w:t>
      </w:r>
      <w:r>
        <w:rPr>
          <w:rFonts w:ascii="Times New Roman" w:hAnsi="Times New Roman" w:cs="Times New Roman"/>
        </w:rPr>
        <w:t>实际产出和效益达到预期。</w:t>
      </w:r>
    </w:p>
    <w:p>
      <w:pPr>
        <w:pStyle w:val="2"/>
        <w:spacing w:before="0" w:after="0" w:line="360" w:lineRule="auto"/>
        <w:ind w:firstLine="643"/>
        <w:jc w:val="left"/>
        <w:rPr>
          <w:rFonts w:ascii="Times New Roman" w:hAnsi="Times New Roman" w:eastAsia="仿宋" w:cs="Times New Roman"/>
          <w:sz w:val="32"/>
          <w:szCs w:val="32"/>
          <w:lang w:bidi="en-US"/>
        </w:rPr>
      </w:pPr>
      <w:bookmarkStart w:id="20" w:name="_Toc100784594"/>
      <w:r>
        <w:rPr>
          <w:rFonts w:ascii="Times New Roman" w:hAnsi="Times New Roman" w:eastAsia="仿宋" w:cs="Times New Roman"/>
          <w:sz w:val="32"/>
          <w:szCs w:val="32"/>
          <w:lang w:bidi="en-US"/>
        </w:rPr>
        <w:t>4.评价标准</w:t>
      </w:r>
      <w:bookmarkEnd w:id="20"/>
    </w:p>
    <w:p>
      <w:pPr>
        <w:spacing w:line="360" w:lineRule="auto"/>
        <w:ind w:firstLine="560"/>
        <w:rPr>
          <w:rFonts w:ascii="Times New Roman" w:hAnsi="Times New Roman" w:cs="Times New Roman"/>
        </w:rPr>
      </w:pPr>
      <w:r>
        <w:rPr>
          <w:rFonts w:ascii="Times New Roman" w:hAnsi="Times New Roman" w:cs="Times New Roman"/>
        </w:rPr>
        <w:t>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（1）计划标准。指以预先制定的目标、计划、预算、定额等作为评价标准。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（2）行业标准。指参照国家公布的行业指标数据制定的评价标准。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《中共中央国务院关于全面实施预算绩效管理的意见》（中发〔2018〕34号）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《关于印发&lt;乌鲁木齐市本级部门预算绩效目标管理暂行办法&gt;的通知》（乌财预〔2018〕56号）</w:t>
      </w:r>
    </w:p>
    <w:p>
      <w:pPr>
        <w:spacing w:line="360" w:lineRule="auto"/>
        <w:ind w:firstLine="560" w:firstLineChars="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《关于做好2019年部门预算项目支出绩效目标管理有关事宜的通知》（乌财预〔2018〕76号）</w:t>
      </w:r>
    </w:p>
    <w:p>
      <w:pPr>
        <w:spacing w:line="360" w:lineRule="auto"/>
        <w:ind w:firstLine="560"/>
        <w:rPr>
          <w:rFonts w:ascii="Times New Roman" w:hAnsi="Times New Roman" w:cs="Times New Roman"/>
        </w:rPr>
      </w:pPr>
      <w:r>
        <w:rPr>
          <w:rFonts w:ascii="Times New Roman" w:hAnsi="Times New Roman" w:eastAsia="黑体" w:cs="Times New Roman"/>
          <w:szCs w:val="28"/>
        </w:rPr>
        <w:t>·</w:t>
      </w:r>
      <w:r>
        <w:rPr>
          <w:rFonts w:ascii="Times New Roman" w:hAnsi="Times New Roman" w:cs="Times New Roman"/>
        </w:rPr>
        <w:t>《项目支出绩效评价管理办法》（财预〔2020〕10号）</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1" w:name="_Toc100784595"/>
      <w:bookmarkStart w:id="22" w:name="_Toc67911607"/>
      <w:r>
        <w:rPr>
          <w:rFonts w:ascii="Times New Roman" w:hAnsi="Times New Roman" w:eastAsia="仿宋" w:cs="Times New Roman"/>
          <w:sz w:val="32"/>
          <w:szCs w:val="32"/>
          <w:lang w:bidi="en-US"/>
        </w:rPr>
        <w:t>（三）绩效评价工作过程</w:t>
      </w:r>
      <w:bookmarkEnd w:id="21"/>
      <w:bookmarkEnd w:id="22"/>
    </w:p>
    <w:p>
      <w:pPr>
        <w:spacing w:line="360" w:lineRule="auto"/>
        <w:ind w:firstLine="560"/>
        <w:rPr>
          <w:rFonts w:ascii="Times New Roman" w:hAnsi="Times New Roman" w:cs="Times New Roman"/>
        </w:rPr>
      </w:pPr>
      <w:r>
        <w:rPr>
          <w:rFonts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rPr>
        <w:footnoteReference w:id="0"/>
      </w:r>
      <w:r>
        <w:rPr>
          <w:rFonts w:ascii="Times New Roman" w:hAnsi="Times New Roman" w:cs="Times New Roman"/>
        </w:rPr>
        <w:t>、材料审核分析、现场核查评价、综合分析评价及报告撰写，评价项目实施情况，展现资金使用效益。</w:t>
      </w:r>
    </w:p>
    <w:p>
      <w:pPr>
        <w:pStyle w:val="2"/>
        <w:spacing w:before="0" w:after="0" w:line="560" w:lineRule="exact"/>
        <w:ind w:firstLine="723"/>
        <w:jc w:val="left"/>
        <w:rPr>
          <w:rFonts w:ascii="Times New Roman" w:hAnsi="Times New Roman" w:eastAsia="仿宋" w:cs="Times New Roman"/>
          <w:sz w:val="36"/>
          <w:szCs w:val="36"/>
          <w:lang w:bidi="en-US"/>
        </w:rPr>
      </w:pPr>
      <w:bookmarkStart w:id="23" w:name="_Toc100784596"/>
      <w:bookmarkStart w:id="24" w:name="_Toc67911608"/>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三、综合评价情况及评价结论</w:t>
      </w:r>
      <w:bookmarkEnd w:id="23"/>
      <w:bookmarkEnd w:id="2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25" w:name="_Toc100784597"/>
      <w:bookmarkStart w:id="26" w:name="_Toc67911609"/>
      <w:r>
        <w:rPr>
          <w:rFonts w:ascii="Times New Roman" w:hAnsi="Times New Roman" w:eastAsia="仿宋" w:cs="Times New Roman"/>
          <w:sz w:val="32"/>
          <w:szCs w:val="32"/>
          <w:lang w:bidi="en-US"/>
        </w:rPr>
        <w:t>（一）评价结论</w:t>
      </w:r>
      <w:bookmarkEnd w:id="25"/>
      <w:bookmarkEnd w:id="26"/>
    </w:p>
    <w:p>
      <w:pPr>
        <w:spacing w:line="360" w:lineRule="auto"/>
        <w:ind w:firstLine="560"/>
        <w:rPr>
          <w:rFonts w:ascii="Times New Roman" w:hAnsi="Times New Roman" w:cs="Times New Roman"/>
          <w:szCs w:val="28"/>
        </w:rPr>
      </w:pPr>
      <w:r>
        <w:rPr>
          <w:rFonts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rPr>
        <w:t>食品非食品抽检项目进行客观评价，最终评分结果为：总分为</w:t>
      </w:r>
      <w:r>
        <w:rPr>
          <w:rFonts w:hint="eastAsia" w:ascii="Times New Roman" w:hAnsi="Times New Roman" w:cs="Times New Roman"/>
          <w:szCs w:val="28"/>
          <w:lang w:val="en-US" w:eastAsia="zh-CN"/>
        </w:rPr>
        <w:t>100</w:t>
      </w:r>
      <w:r>
        <w:rPr>
          <w:rFonts w:hint="eastAsia" w:ascii="Times New Roman" w:hAnsi="Times New Roman" w:cs="Times New Roman"/>
          <w:szCs w:val="28"/>
        </w:rPr>
        <w:t>分，绩效评级为“优”。</w:t>
      </w:r>
    </w:p>
    <w:p>
      <w:pPr>
        <w:spacing w:line="360" w:lineRule="auto"/>
        <w:ind w:firstLine="560"/>
        <w:rPr>
          <w:rFonts w:ascii="Times New Roman" w:hAnsi="Times New Roman" w:cs="Times New Roman"/>
          <w:szCs w:val="28"/>
        </w:rPr>
      </w:pPr>
      <w:r>
        <w:rPr>
          <w:rFonts w:ascii="Times New Roman" w:hAnsi="Times New Roman" w:cs="Times New Roman"/>
          <w:szCs w:val="28"/>
        </w:rPr>
        <w:t>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5</w:t>
            </w:r>
          </w:p>
        </w:tc>
        <w:tc>
          <w:tcPr>
            <w:tcW w:w="1039" w:type="dxa"/>
            <w:tcBorders>
              <w:tl2br w:val="nil"/>
              <w:tr2bl w:val="nil"/>
            </w:tcBorders>
            <w:shd w:val="clear" w:color="000000" w:fill="FFFFFF"/>
            <w:vAlign w:val="center"/>
          </w:tcPr>
          <w:p>
            <w:pPr>
              <w:widowControl/>
              <w:ind w:firstLine="120" w:firstLineChars="50"/>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完成监督抽检和风险监测年度检验批次</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1</w:t>
            </w:r>
            <w:r>
              <w:rPr>
                <w:rFonts w:hint="eastAsia" w:ascii="Times New Roman" w:hAnsi="Times New Roman" w:cs="Times New Roman"/>
                <w:kern w:val="0"/>
                <w:sz w:val="24"/>
                <w:szCs w:val="24"/>
                <w:lang w:val="en-US" w:eastAsia="zh-CN"/>
              </w:rPr>
              <w:t>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1</w:t>
            </w: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highlight w:val="none"/>
              </w:rPr>
            </w:pPr>
            <w:r>
              <w:rPr>
                <w:rFonts w:hint="default"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抽检监测覆盖率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1</w:t>
            </w:r>
            <w:r>
              <w:rPr>
                <w:rFonts w:hint="eastAsia" w:ascii="Times New Roman" w:hAnsi="Times New Roman" w:cs="Times New Roman"/>
                <w:kern w:val="0"/>
                <w:sz w:val="24"/>
                <w:szCs w:val="24"/>
                <w:lang w:val="en-US" w:eastAsia="zh-CN"/>
              </w:rPr>
              <w:t>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eastAsia="zh-CN"/>
              </w:rPr>
              <w:t>1</w:t>
            </w: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食品抽检成本核算</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非食品抽检成本核算</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产出</w:t>
            </w:r>
            <w:r>
              <w:rPr>
                <w:rFonts w:hint="default" w:ascii="Times New Roman" w:hAnsi="Times New Roman" w:cs="Times New Roman"/>
                <w:kern w:val="0"/>
                <w:sz w:val="24"/>
                <w:szCs w:val="24"/>
              </w:rPr>
              <w:t>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年度食品抽检任务按时完成率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减少消费者经济损失</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7</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7</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eastAsia="仿宋_GB2312" w:cs="Times New Roman"/>
                <w:color w:val="auto"/>
                <w:kern w:val="0"/>
                <w:sz w:val="24"/>
                <w:szCs w:val="24"/>
              </w:rPr>
              <w:t>人民群众对食品安全的自我保护意识和知晓率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8</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lang w:val="en-US" w:eastAsia="zh-CN"/>
              </w:rPr>
              <w:t>100</w:t>
            </w:r>
            <w:r>
              <w:rPr>
                <w:rFonts w:hint="default"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人民群众对食品安全监管工作的满意度</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lang w:val="en-US" w:eastAsia="zh-CN"/>
              </w:rPr>
              <w:t>100</w:t>
            </w:r>
            <w:r>
              <w:rPr>
                <w:rFonts w:hint="default"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bookmarkStart w:id="27" w:name="_Toc67911610"/>
            <w:bookmarkStart w:id="28" w:name="_Toc100784598"/>
            <w:r>
              <w:rPr>
                <w:rFonts w:hint="eastAsia" w:ascii="Times New Roman" w:hAnsi="Times New Roman" w:cs="Times New Roman"/>
                <w:b/>
                <w:bCs/>
                <w:kern w:val="0"/>
                <w:sz w:val="24"/>
                <w:szCs w:val="24"/>
              </w:rPr>
              <w:t>合计</w:t>
            </w:r>
          </w:p>
        </w:tc>
        <w:tc>
          <w:tcPr>
            <w:tcW w:w="1757"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eastAsia="仿宋_GB2312" w:cs="Times New Roman"/>
                <w:color w:val="auto"/>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default" w:ascii="Times New Roman" w:hAnsi="Times New Roman" w:cs="Times New Roman"/>
                <w:kern w:val="0"/>
                <w:sz w:val="24"/>
                <w:szCs w:val="24"/>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eastAsia="zh-CN"/>
              </w:rPr>
              <w:t>9</w:t>
            </w: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hint="eastAsia" w:ascii="Times New Roman" w:hAnsi="Times New Roman" w:cs="Times New Roman"/>
                <w:kern w:val="0"/>
                <w:sz w:val="24"/>
                <w:szCs w:val="24"/>
                <w:lang w:eastAsia="zh-CN"/>
              </w:rPr>
              <w:t>9</w:t>
            </w:r>
            <w:r>
              <w:rPr>
                <w:rFonts w:hint="eastAsia" w:ascii="Times New Roman" w:hAnsi="Times New Roman" w:cs="Times New Roman"/>
                <w:kern w:val="0"/>
                <w:sz w:val="24"/>
                <w:szCs w:val="24"/>
                <w:lang w:val="en-US" w:eastAsia="zh-CN"/>
              </w:rPr>
              <w:t>8</w:t>
            </w:r>
            <w:r>
              <w:rPr>
                <w:rFonts w:hint="default" w:ascii="Times New Roman" w:hAnsi="Times New Roman" w:cs="Times New Roman"/>
                <w:kern w:val="0"/>
                <w:sz w:val="24"/>
                <w:szCs w:val="24"/>
              </w:rPr>
              <w:t>%</w:t>
            </w:r>
          </w:p>
        </w:tc>
      </w:tr>
    </w:tbl>
    <w:p>
      <w:pPr>
        <w:pStyle w:val="2"/>
        <w:spacing w:before="0" w:after="0" w:line="360" w:lineRule="auto"/>
        <w:ind w:firstLine="643"/>
        <w:jc w:val="left"/>
        <w:rPr>
          <w:rFonts w:ascii="Times New Roman" w:hAnsi="Times New Roman" w:eastAsia="仿宋" w:cs="Times New Roman"/>
          <w:sz w:val="32"/>
          <w:szCs w:val="32"/>
          <w:lang w:bidi="en-US"/>
        </w:rPr>
      </w:pPr>
    </w:p>
    <w:p>
      <w:pPr>
        <w:pStyle w:val="2"/>
        <w:spacing w:before="0" w:after="0" w:line="360" w:lineRule="auto"/>
        <w:ind w:firstLine="0" w:firstLineChars="0"/>
        <w:jc w:val="left"/>
        <w:rPr>
          <w:rFonts w:ascii="Times New Roman" w:hAnsi="Times New Roman" w:eastAsia="仿宋" w:cs="Times New Roman"/>
          <w:sz w:val="32"/>
          <w:szCs w:val="32"/>
          <w:lang w:bidi="en-US"/>
        </w:rPr>
      </w:pPr>
      <w:r>
        <w:rPr>
          <w:rFonts w:ascii="Times New Roman" w:hAnsi="Times New Roman" w:eastAsia="仿宋" w:cs="Times New Roman"/>
          <w:sz w:val="32"/>
          <w:szCs w:val="32"/>
          <w:lang w:bidi="en-US"/>
        </w:rPr>
        <w:t>（二）主要绩效</w:t>
      </w:r>
      <w:bookmarkEnd w:id="27"/>
      <w:bookmarkEnd w:id="28"/>
    </w:p>
    <w:p>
      <w:pPr>
        <w:spacing w:line="360" w:lineRule="auto"/>
        <w:ind w:firstLine="548" w:firstLineChars="196"/>
        <w:rPr>
          <w:rFonts w:ascii="Times New Roman" w:hAnsi="Times New Roman" w:cs="Times New Roman"/>
          <w:bCs/>
          <w:szCs w:val="28"/>
        </w:rPr>
      </w:pPr>
      <w:r>
        <w:rPr>
          <w:rFonts w:ascii="Times New Roman" w:hAnsi="Times New Roman" w:cs="Times New Roman"/>
          <w:bCs/>
          <w:szCs w:val="28"/>
        </w:rPr>
        <w:t>该项目资金区财政及时拨付，单位在此次评价期间内，有序完成设定目标的工作任务</w:t>
      </w:r>
      <w:r>
        <w:rPr>
          <w:rFonts w:hint="eastAsia" w:ascii="Times New Roman" w:hAnsi="Times New Roman" w:cs="Times New Roman"/>
          <w:bCs/>
          <w:szCs w:val="28"/>
        </w:rPr>
        <w:t>。</w:t>
      </w:r>
    </w:p>
    <w:p>
      <w:pPr>
        <w:topLinePunct/>
        <w:adjustRightInd w:val="0"/>
        <w:spacing w:line="560" w:lineRule="exact"/>
        <w:ind w:firstLine="560"/>
        <w:rPr>
          <w:rFonts w:ascii="Times New Roman" w:hAnsi="Times New Roman" w:cs="Times New Roman"/>
          <w:bCs/>
          <w:szCs w:val="28"/>
        </w:rPr>
      </w:pPr>
      <w:r>
        <w:rPr>
          <w:rFonts w:hint="eastAsia" w:ascii="Times New Roman" w:hAnsi="Times New Roman" w:cs="Times New Roman"/>
          <w:bCs/>
          <w:szCs w:val="28"/>
        </w:rPr>
        <w:t>乌鲁木齐县</w:t>
      </w:r>
      <w:r>
        <w:rPr>
          <w:rFonts w:ascii="Times New Roman" w:hAnsi="Times New Roman" w:cs="Times New Roman"/>
          <w:bCs/>
          <w:szCs w:val="28"/>
        </w:rPr>
        <w:t>市场</w:t>
      </w:r>
      <w:r>
        <w:rPr>
          <w:rFonts w:hint="eastAsia" w:ascii="Times New Roman" w:hAnsi="Times New Roman" w:cs="Times New Roman"/>
          <w:bCs/>
          <w:szCs w:val="28"/>
        </w:rPr>
        <w:t>监督管理局</w:t>
      </w:r>
      <w:r>
        <w:rPr>
          <w:rFonts w:ascii="Times New Roman" w:hAnsi="Times New Roman" w:cs="Times New Roman"/>
          <w:bCs/>
          <w:szCs w:val="28"/>
        </w:rPr>
        <w:t>食品</w:t>
      </w:r>
      <w:r>
        <w:rPr>
          <w:rFonts w:hint="eastAsia" w:ascii="Times New Roman" w:hAnsi="Times New Roman" w:cs="Times New Roman"/>
          <w:bCs/>
          <w:szCs w:val="28"/>
        </w:rPr>
        <w:t>、非食品</w:t>
      </w:r>
      <w:r>
        <w:rPr>
          <w:rFonts w:ascii="Times New Roman" w:hAnsi="Times New Roman" w:cs="Times New Roman"/>
          <w:bCs/>
          <w:szCs w:val="28"/>
        </w:rPr>
        <w:t>安全</w:t>
      </w:r>
      <w:r>
        <w:rPr>
          <w:rFonts w:hint="eastAsia" w:ascii="Times New Roman" w:hAnsi="Times New Roman" w:cs="Times New Roman"/>
          <w:bCs/>
          <w:szCs w:val="28"/>
        </w:rPr>
        <w:t>监督抽检</w:t>
      </w:r>
      <w:r>
        <w:rPr>
          <w:rFonts w:ascii="Times New Roman" w:hAnsi="Times New Roman" w:cs="Times New Roman"/>
          <w:bCs/>
          <w:szCs w:val="28"/>
        </w:rPr>
        <w:t>坚持统一制定计划、统一组织实施、统一数据报送、统一结果利用原则，从时间、区域、品种上推进均衡抽检；坚持食品抽检</w:t>
      </w:r>
      <w:r>
        <w:rPr>
          <w:rFonts w:hint="eastAsia" w:ascii="Times New Roman" w:hAnsi="Times New Roman" w:cs="Times New Roman"/>
          <w:bCs/>
          <w:szCs w:val="28"/>
        </w:rPr>
        <w:t>三</w:t>
      </w:r>
      <w:r>
        <w:rPr>
          <w:rFonts w:ascii="Times New Roman" w:hAnsi="Times New Roman" w:cs="Times New Roman"/>
          <w:bCs/>
          <w:szCs w:val="28"/>
        </w:rPr>
        <w:t>级分工、各有侧重、不重不漏；坚持检管结合，发挥排查安全隐患的作用，为食品安全监管提供技术支撑，促进食品安全治理现代化</w:t>
      </w:r>
      <w:r>
        <w:rPr>
          <w:rFonts w:hint="eastAsia" w:ascii="Times New Roman" w:hAnsi="Times New Roman" w:cs="Times New Roman"/>
          <w:bCs/>
          <w:szCs w:val="28"/>
        </w:rPr>
        <w:t>。</w:t>
      </w:r>
    </w:p>
    <w:p>
      <w:pPr>
        <w:spacing w:line="360" w:lineRule="auto"/>
        <w:ind w:firstLine="548" w:firstLineChars="196"/>
        <w:rPr>
          <w:rFonts w:ascii="Times New Roman" w:hAnsi="Times New Roman" w:cs="Times New Roman"/>
          <w:bCs/>
          <w:szCs w:val="28"/>
        </w:rPr>
      </w:pPr>
      <w:r>
        <w:rPr>
          <w:rFonts w:hint="eastAsia" w:ascii="Times New Roman" w:hAnsi="Times New Roman" w:cs="Times New Roman"/>
          <w:bCs/>
          <w:szCs w:val="28"/>
        </w:rPr>
        <w:t>为</w:t>
      </w:r>
      <w:r>
        <w:rPr>
          <w:rFonts w:ascii="Times New Roman" w:hAnsi="Times New Roman" w:cs="Times New Roman"/>
          <w:bCs/>
          <w:szCs w:val="28"/>
        </w:rPr>
        <w:t>提高抽检和监管工作的针对性、有效性</w:t>
      </w:r>
      <w:r>
        <w:rPr>
          <w:rFonts w:hint="eastAsia" w:ascii="Times New Roman" w:hAnsi="Times New Roman" w:cs="Times New Roman"/>
          <w:bCs/>
          <w:szCs w:val="28"/>
        </w:rPr>
        <w:t>，坚持问题导向，乌鲁木齐县</w:t>
      </w:r>
      <w:r>
        <w:rPr>
          <w:rFonts w:ascii="Times New Roman" w:hAnsi="Times New Roman" w:cs="Times New Roman"/>
          <w:bCs/>
          <w:szCs w:val="28"/>
        </w:rPr>
        <w:t>市场</w:t>
      </w:r>
      <w:r>
        <w:rPr>
          <w:rFonts w:hint="eastAsia" w:ascii="Times New Roman" w:hAnsi="Times New Roman" w:cs="Times New Roman"/>
          <w:bCs/>
          <w:szCs w:val="28"/>
        </w:rPr>
        <w:t>监督管理局</w:t>
      </w:r>
      <w:r>
        <w:rPr>
          <w:rFonts w:ascii="Times New Roman" w:hAnsi="Times New Roman" w:cs="Times New Roman"/>
          <w:bCs/>
          <w:szCs w:val="28"/>
        </w:rPr>
        <w:t>对</w:t>
      </w:r>
      <w:r>
        <w:rPr>
          <w:rFonts w:hint="eastAsia" w:ascii="Times New Roman" w:hAnsi="Times New Roman" w:cs="Times New Roman"/>
          <w:bCs/>
          <w:szCs w:val="28"/>
        </w:rPr>
        <w:t>辖区食用农产品经营单位</w:t>
      </w:r>
      <w:r>
        <w:rPr>
          <w:rFonts w:ascii="Times New Roman" w:hAnsi="Times New Roman" w:cs="Times New Roman"/>
          <w:bCs/>
          <w:szCs w:val="28"/>
        </w:rPr>
        <w:t>、</w:t>
      </w:r>
      <w:r>
        <w:rPr>
          <w:rFonts w:hint="eastAsia" w:ascii="Times New Roman" w:hAnsi="Times New Roman" w:cs="Times New Roman"/>
          <w:bCs/>
          <w:szCs w:val="28"/>
        </w:rPr>
        <w:t>餐饮服务单位（含学校、托幼、养老机构食堂）、</w:t>
      </w:r>
      <w:r>
        <w:rPr>
          <w:rFonts w:ascii="Times New Roman" w:hAnsi="Times New Roman" w:cs="Times New Roman"/>
          <w:bCs/>
          <w:szCs w:val="28"/>
        </w:rPr>
        <w:t>小餐饮</w:t>
      </w:r>
      <w:r>
        <w:rPr>
          <w:rFonts w:hint="eastAsia" w:ascii="Times New Roman" w:hAnsi="Times New Roman" w:cs="Times New Roman"/>
          <w:bCs/>
          <w:szCs w:val="28"/>
        </w:rPr>
        <w:t>、</w:t>
      </w:r>
      <w:r>
        <w:rPr>
          <w:rFonts w:ascii="Times New Roman" w:hAnsi="Times New Roman" w:cs="Times New Roman"/>
          <w:bCs/>
          <w:szCs w:val="28"/>
        </w:rPr>
        <w:t>小食杂店</w:t>
      </w:r>
      <w:r>
        <w:rPr>
          <w:rFonts w:hint="eastAsia" w:ascii="Times New Roman" w:hAnsi="Times New Roman" w:cs="Times New Roman"/>
          <w:bCs/>
          <w:szCs w:val="28"/>
        </w:rPr>
        <w:t>、</w:t>
      </w:r>
      <w:r>
        <w:rPr>
          <w:rFonts w:ascii="Times New Roman" w:hAnsi="Times New Roman" w:cs="Times New Roman"/>
          <w:bCs/>
          <w:szCs w:val="28"/>
        </w:rPr>
        <w:t>小摊贩等经营单位</w:t>
      </w:r>
      <w:r>
        <w:rPr>
          <w:rFonts w:hint="eastAsia" w:ascii="Times New Roman" w:hAnsi="Times New Roman" w:cs="Times New Roman"/>
          <w:bCs/>
          <w:szCs w:val="28"/>
        </w:rPr>
        <w:t>及投诉举报多、多批次不合格的经营单位</w:t>
      </w:r>
      <w:r>
        <w:rPr>
          <w:rFonts w:ascii="Times New Roman" w:hAnsi="Times New Roman" w:cs="Times New Roman"/>
          <w:bCs/>
          <w:szCs w:val="28"/>
        </w:rPr>
        <w:t>进行食品抽样。</w:t>
      </w:r>
      <w:r>
        <w:rPr>
          <w:rFonts w:hint="eastAsia" w:ascii="Times New Roman" w:hAnsi="Times New Roman" w:cs="Times New Roman"/>
          <w:bCs/>
          <w:szCs w:val="28"/>
        </w:rPr>
        <w:t>完成食品抽检672批次，并与年底支付大部分抽检费用。</w:t>
      </w:r>
    </w:p>
    <w:p>
      <w:pPr>
        <w:spacing w:line="360" w:lineRule="auto"/>
        <w:ind w:firstLine="548" w:firstLineChars="196"/>
        <w:rPr>
          <w:rFonts w:ascii="Times New Roman" w:hAnsi="Times New Roman" w:cs="Times New Roman"/>
          <w:bCs/>
          <w:szCs w:val="28"/>
        </w:rPr>
      </w:pPr>
      <w:r>
        <w:rPr>
          <w:rFonts w:hint="eastAsia" w:ascii="Times New Roman" w:hAnsi="Times New Roman" w:cs="Times New Roman"/>
          <w:bCs/>
          <w:szCs w:val="28"/>
        </w:rPr>
        <w:t>非食品</w:t>
      </w:r>
      <w:r>
        <w:rPr>
          <w:rFonts w:ascii="Times New Roman" w:hAnsi="Times New Roman" w:cs="Times New Roman"/>
          <w:bCs/>
          <w:szCs w:val="28"/>
        </w:rPr>
        <w:t>抽样工作严格按照《产品质量监督抽查实施规范》和有关规定进行。</w:t>
      </w:r>
      <w:r>
        <w:rPr>
          <w:rFonts w:hint="eastAsia" w:ascii="Times New Roman" w:hAnsi="Times New Roman" w:cs="Times New Roman"/>
          <w:bCs/>
          <w:szCs w:val="28"/>
        </w:rPr>
        <w:t>完成非食品产品质量抽检19批次，将抽检结果通过政府网站公布，并于2022年8月底支付完毕相关费用。</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29" w:name="_Toc100784599"/>
      <w:bookmarkStart w:id="30" w:name="_Toc67911611"/>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四、绩效评价指标分析</w:t>
      </w:r>
      <w:bookmarkEnd w:id="29"/>
      <w:bookmarkEnd w:id="30"/>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1" w:name="_Toc100784600"/>
      <w:bookmarkStart w:id="32" w:name="_Toc67911612"/>
      <w:r>
        <w:rPr>
          <w:rFonts w:ascii="Times New Roman" w:hAnsi="Times New Roman" w:eastAsia="仿宋" w:cs="Times New Roman"/>
          <w:sz w:val="32"/>
          <w:szCs w:val="32"/>
          <w:lang w:bidi="en-US"/>
        </w:rPr>
        <w:t>（一）项目决策情况</w:t>
      </w:r>
      <w:bookmarkEnd w:id="31"/>
      <w:bookmarkEnd w:id="32"/>
    </w:p>
    <w:p>
      <w:pPr>
        <w:spacing w:line="360" w:lineRule="auto"/>
        <w:ind w:firstLine="560"/>
        <w:rPr>
          <w:rFonts w:ascii="Times New Roman" w:hAnsi="Times New Roman" w:cs="Times New Roman"/>
          <w:szCs w:val="28"/>
        </w:rPr>
      </w:pPr>
      <w:r>
        <w:rPr>
          <w:rFonts w:ascii="Times New Roman" w:hAnsi="Times New Roman" w:cs="Times New Roman"/>
          <w:szCs w:val="28"/>
        </w:rPr>
        <w:t>项目决策指标由3个二级指标和6个三级指标构成，权重为20分，实际得分</w:t>
      </w:r>
      <w:r>
        <w:rPr>
          <w:rFonts w:hint="eastAsia" w:ascii="Times New Roman" w:hAnsi="Times New Roman" w:cs="Times New Roman"/>
          <w:szCs w:val="28"/>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3" w:name="_Toc100784601"/>
      <w:r>
        <w:rPr>
          <w:rFonts w:ascii="Times New Roman" w:hAnsi="Times New Roman" w:eastAsia="仿宋" w:cs="Times New Roman"/>
          <w:sz w:val="32"/>
          <w:szCs w:val="32"/>
          <w:lang w:bidi="en-US"/>
        </w:rPr>
        <w:t>1.项目立项</w:t>
      </w:r>
      <w:bookmarkEnd w:id="33"/>
    </w:p>
    <w:p>
      <w:pPr>
        <w:spacing w:line="360" w:lineRule="auto"/>
        <w:ind w:firstLine="560"/>
        <w:rPr>
          <w:rFonts w:ascii="Times New Roman" w:hAnsi="Times New Roman" w:cs="Times New Roman"/>
          <w:szCs w:val="28"/>
        </w:rPr>
      </w:pPr>
      <w:r>
        <w:rPr>
          <w:rFonts w:ascii="Times New Roman" w:hAnsi="Times New Roman" w:cs="Times New Roman"/>
          <w:b/>
          <w:bCs/>
          <w:szCs w:val="28"/>
        </w:rPr>
        <w:t>立项依据充分性：</w:t>
      </w:r>
      <w:r>
        <w:rPr>
          <w:rFonts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0"/>
        <w:rPr>
          <w:rFonts w:ascii="Times New Roman" w:hAnsi="Times New Roman" w:cs="Times New Roman"/>
          <w:szCs w:val="28"/>
        </w:rPr>
      </w:pPr>
      <w:r>
        <w:rPr>
          <w:rFonts w:ascii="Times New Roman" w:hAnsi="Times New Roman" w:cs="Times New Roman"/>
          <w:b/>
          <w:bCs/>
          <w:szCs w:val="28"/>
        </w:rPr>
        <w:t>立项程序规范性:</w:t>
      </w:r>
      <w:r>
        <w:rPr>
          <w:rFonts w:ascii="Times New Roman" w:hAnsi="Times New Roman" w:cs="Times New Roman"/>
        </w:rPr>
        <w:t xml:space="preserve"> </w:t>
      </w:r>
      <w:r>
        <w:rPr>
          <w:rFonts w:ascii="Times New Roman" w:hAnsi="Times New Roman" w:cs="Times New Roman"/>
          <w:szCs w:val="28"/>
        </w:rPr>
        <w:t>项目按照规定的程序申请设立，审批文件、材料符合相关要求，故立项程序规范，得4分。</w:t>
      </w:r>
    </w:p>
    <w:p>
      <w:pPr>
        <w:autoSpaceDE w:val="0"/>
        <w:spacing w:line="600" w:lineRule="exact"/>
        <w:ind w:firstLine="560"/>
        <w:rPr>
          <w:rFonts w:ascii="Times New Roman" w:hAnsi="Times New Roman" w:cs="Times New Roman"/>
          <w:b/>
          <w:kern w:val="0"/>
          <w:szCs w:val="28"/>
        </w:rPr>
      </w:pPr>
      <w:r>
        <w:rPr>
          <w:rFonts w:ascii="Times New Roman" w:hAnsi="Times New Roman" w:cs="Times New Roman"/>
          <w:b/>
          <w:kern w:val="0"/>
          <w:szCs w:val="28"/>
        </w:rPr>
        <w:t>综上，该指标满分8分，得分8分。</w:t>
      </w:r>
    </w:p>
    <w:p>
      <w:pPr>
        <w:pStyle w:val="2"/>
        <w:spacing w:before="0" w:after="0" w:line="360" w:lineRule="auto"/>
        <w:ind w:firstLine="643"/>
        <w:jc w:val="left"/>
        <w:rPr>
          <w:rFonts w:ascii="Times New Roman" w:hAnsi="Times New Roman" w:eastAsia="仿宋" w:cs="Times New Roman"/>
          <w:sz w:val="32"/>
          <w:szCs w:val="32"/>
          <w:lang w:bidi="en-US"/>
        </w:rPr>
      </w:pPr>
      <w:bookmarkStart w:id="34" w:name="_Toc100784602"/>
      <w:r>
        <w:rPr>
          <w:rFonts w:ascii="Times New Roman" w:hAnsi="Times New Roman" w:eastAsia="仿宋" w:cs="Times New Roman"/>
          <w:sz w:val="32"/>
          <w:szCs w:val="32"/>
          <w:lang w:bidi="en-US"/>
        </w:rPr>
        <w:t>2.绩效目标</w:t>
      </w:r>
      <w:bookmarkEnd w:id="34"/>
    </w:p>
    <w:p>
      <w:pPr>
        <w:spacing w:line="360" w:lineRule="auto"/>
        <w:ind w:firstLine="560"/>
        <w:rPr>
          <w:rFonts w:ascii="Times New Roman" w:hAnsi="Times New Roman" w:cs="Times New Roman"/>
          <w:szCs w:val="28"/>
        </w:rPr>
      </w:pPr>
      <w:r>
        <w:rPr>
          <w:rFonts w:ascii="Times New Roman" w:hAnsi="Times New Roman" w:cs="Times New Roman"/>
          <w:b/>
          <w:bCs/>
          <w:szCs w:val="28"/>
        </w:rPr>
        <w:t>绩效目标合理性：</w:t>
      </w:r>
      <w:r>
        <w:rPr>
          <w:rFonts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spacing w:line="360" w:lineRule="auto"/>
        <w:ind w:firstLine="560"/>
        <w:rPr>
          <w:rFonts w:ascii="Times New Roman" w:hAnsi="Times New Roman" w:cs="Times New Roman"/>
          <w:kern w:val="0"/>
          <w:szCs w:val="28"/>
        </w:rPr>
      </w:pPr>
      <w:r>
        <w:rPr>
          <w:rFonts w:ascii="Times New Roman" w:hAnsi="Times New Roman" w:cs="Times New Roman"/>
          <w:b/>
          <w:kern w:val="0"/>
          <w:szCs w:val="28"/>
        </w:rPr>
        <w:t>绩效目标明确性：</w:t>
      </w:r>
      <w:r>
        <w:rPr>
          <w:rFonts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hint="eastAsia" w:ascii="Times New Roman" w:hAnsi="Times New Roman" w:cs="Times New Roman"/>
          <w:szCs w:val="28"/>
          <w:lang w:val="en-US" w:eastAsia="zh-CN"/>
        </w:rPr>
        <w:t>项目按照</w:t>
      </w:r>
      <w:r>
        <w:rPr>
          <w:rFonts w:hint="eastAsia" w:ascii="Times New Roman" w:hAnsi="Times New Roman" w:cs="Times New Roman"/>
          <w:szCs w:val="28"/>
        </w:rPr>
        <w:t>《2022年产品质量监督抽检工作计划》</w:t>
      </w:r>
      <w:r>
        <w:rPr>
          <w:rFonts w:hint="eastAsia" w:ascii="Times New Roman" w:hAnsi="Times New Roman" w:cs="Times New Roman"/>
          <w:szCs w:val="28"/>
          <w:lang w:val="en-US" w:eastAsia="zh-CN"/>
        </w:rPr>
        <w:t>明确食品非食品的抽检次数</w:t>
      </w:r>
      <w:r>
        <w:rPr>
          <w:rFonts w:hint="eastAsia" w:ascii="Times New Roman" w:hAnsi="Times New Roman" w:cs="Times New Roman"/>
          <w:szCs w:val="28"/>
        </w:rPr>
        <w:t>，</w:t>
      </w:r>
      <w:r>
        <w:rPr>
          <w:rFonts w:ascii="Times New Roman" w:hAnsi="Times New Roman" w:cs="Times New Roman"/>
          <w:kern w:val="0"/>
          <w:szCs w:val="28"/>
        </w:rPr>
        <w:t>故绩效目标明确性指标得分3分。</w:t>
      </w:r>
    </w:p>
    <w:p>
      <w:pPr>
        <w:autoSpaceDE w:val="0"/>
        <w:spacing w:line="600" w:lineRule="exact"/>
        <w:ind w:firstLine="560"/>
        <w:rPr>
          <w:rFonts w:ascii="Times New Roman" w:hAnsi="Times New Roman" w:cs="Times New Roman"/>
          <w:b/>
          <w:kern w:val="0"/>
          <w:szCs w:val="28"/>
        </w:rPr>
      </w:pPr>
      <w:r>
        <w:rPr>
          <w:rFonts w:ascii="Times New Roman" w:hAnsi="Times New Roman" w:cs="Times New Roman"/>
          <w:b/>
          <w:kern w:val="0"/>
          <w:szCs w:val="28"/>
        </w:rPr>
        <w:t>综上，该指标满分6分，得分6分。</w:t>
      </w:r>
    </w:p>
    <w:p>
      <w:pPr>
        <w:pStyle w:val="2"/>
        <w:spacing w:before="0" w:after="0" w:line="360" w:lineRule="auto"/>
        <w:ind w:firstLine="643"/>
        <w:jc w:val="left"/>
        <w:rPr>
          <w:rFonts w:ascii="Times New Roman" w:hAnsi="Times New Roman" w:eastAsia="仿宋" w:cs="Times New Roman"/>
          <w:sz w:val="32"/>
          <w:szCs w:val="32"/>
          <w:lang w:bidi="en-US"/>
        </w:rPr>
      </w:pPr>
      <w:bookmarkStart w:id="35" w:name="_Toc100784603"/>
      <w:r>
        <w:rPr>
          <w:rFonts w:ascii="Times New Roman" w:hAnsi="Times New Roman" w:eastAsia="仿宋" w:cs="Times New Roman"/>
          <w:sz w:val="32"/>
          <w:szCs w:val="32"/>
          <w:lang w:bidi="en-US"/>
        </w:rPr>
        <w:t>3.资金投入</w:t>
      </w:r>
      <w:bookmarkEnd w:id="35"/>
    </w:p>
    <w:p>
      <w:pPr>
        <w:autoSpaceDE w:val="0"/>
        <w:spacing w:line="600" w:lineRule="exact"/>
        <w:ind w:firstLine="560"/>
        <w:rPr>
          <w:rFonts w:ascii="Times New Roman" w:hAnsi="Times New Roman" w:cs="Times New Roman"/>
          <w:bCs/>
          <w:kern w:val="0"/>
          <w:szCs w:val="28"/>
        </w:rPr>
      </w:pPr>
      <w:r>
        <w:rPr>
          <w:rFonts w:ascii="Times New Roman" w:hAnsi="Times New Roman" w:cs="Times New Roman"/>
          <w:b/>
          <w:kern w:val="0"/>
          <w:szCs w:val="28"/>
        </w:rPr>
        <w:t>预算编制科学性：</w:t>
      </w:r>
      <w:r>
        <w:rPr>
          <w:rFonts w:hint="eastAsia" w:ascii="Times New Roman" w:hAnsi="Times New Roman" w:cs="Times New Roman"/>
          <w:bCs/>
          <w:kern w:val="0"/>
          <w:szCs w:val="28"/>
        </w:rPr>
        <w:t>本项目预算资金数是食药科和综合业务科室根据往年抽检情况预估来年预算资金，再报由财政局批复得出最后预算资金数。市局在上半年度下达当年的抽检任务，业务科室再由市局文件做抽检计划及经费预算，报相关部门审批后执行。</w:t>
      </w:r>
      <w:r>
        <w:rPr>
          <w:rFonts w:ascii="Times New Roman" w:hAnsi="Times New Roman" w:cs="Times New Roman"/>
          <w:kern w:val="0"/>
          <w:szCs w:val="28"/>
        </w:rPr>
        <w:t>故预算编制科学性指标得分3分。</w:t>
      </w:r>
      <w:r>
        <w:rPr>
          <w:rFonts w:hint="eastAsia" w:ascii="Times New Roman" w:hAnsi="Times New Roman" w:cs="Times New Roman"/>
          <w:bCs/>
          <w:kern w:val="0"/>
          <w:szCs w:val="28"/>
        </w:rPr>
        <w:t xml:space="preserve">   </w:t>
      </w:r>
    </w:p>
    <w:p>
      <w:pPr>
        <w:autoSpaceDE w:val="0"/>
        <w:spacing w:line="600" w:lineRule="exact"/>
        <w:ind w:firstLine="560"/>
        <w:rPr>
          <w:rFonts w:ascii="Times New Roman" w:hAnsi="Times New Roman" w:cs="Times New Roman"/>
          <w:bCs/>
          <w:kern w:val="0"/>
          <w:szCs w:val="28"/>
        </w:rPr>
      </w:pPr>
      <w:r>
        <w:rPr>
          <w:rFonts w:ascii="Times New Roman" w:hAnsi="Times New Roman" w:cs="Times New Roman"/>
          <w:b/>
          <w:bCs/>
        </w:rPr>
        <w:t>资金分配合理性</w:t>
      </w:r>
      <w:r>
        <w:rPr>
          <w:rFonts w:ascii="Times New Roman" w:hAnsi="Times New Roman" w:cs="Times New Roman"/>
        </w:rPr>
        <w:t>：</w:t>
      </w:r>
      <w:r>
        <w:rPr>
          <w:rFonts w:hint="eastAsia" w:ascii="Times New Roman" w:hAnsi="Times New Roman" w:cs="Times New Roman"/>
        </w:rPr>
        <w:t>食</w:t>
      </w:r>
      <w:r>
        <w:rPr>
          <w:rFonts w:hint="eastAsia" w:ascii="Times New Roman" w:hAnsi="Times New Roman" w:cs="Times New Roman"/>
          <w:bCs/>
          <w:kern w:val="0"/>
          <w:szCs w:val="28"/>
        </w:rPr>
        <w:t>品抽检任务</w:t>
      </w:r>
      <w:r>
        <w:rPr>
          <w:rFonts w:ascii="Times New Roman" w:hAnsi="Times New Roman" w:cs="Times New Roman"/>
          <w:bCs/>
          <w:kern w:val="0"/>
          <w:szCs w:val="28"/>
        </w:rPr>
        <w:t>时间</w:t>
      </w:r>
      <w:r>
        <w:rPr>
          <w:rFonts w:hint="eastAsia" w:ascii="Times New Roman" w:hAnsi="Times New Roman" w:cs="Times New Roman"/>
          <w:bCs/>
          <w:kern w:val="0"/>
          <w:szCs w:val="28"/>
        </w:rPr>
        <w:t>长</w:t>
      </w:r>
      <w:r>
        <w:rPr>
          <w:rFonts w:ascii="Times New Roman" w:hAnsi="Times New Roman" w:cs="Times New Roman"/>
          <w:bCs/>
          <w:kern w:val="0"/>
          <w:szCs w:val="28"/>
        </w:rPr>
        <w:t>、区域</w:t>
      </w:r>
      <w:r>
        <w:rPr>
          <w:rFonts w:hint="eastAsia" w:ascii="Times New Roman" w:hAnsi="Times New Roman" w:cs="Times New Roman"/>
          <w:bCs/>
          <w:kern w:val="0"/>
          <w:szCs w:val="28"/>
        </w:rPr>
        <w:t>广</w:t>
      </w:r>
      <w:r>
        <w:rPr>
          <w:rFonts w:ascii="Times New Roman" w:hAnsi="Times New Roman" w:cs="Times New Roman"/>
          <w:bCs/>
          <w:kern w:val="0"/>
          <w:szCs w:val="28"/>
        </w:rPr>
        <w:t>、品种</w:t>
      </w:r>
      <w:r>
        <w:rPr>
          <w:rFonts w:hint="eastAsia" w:ascii="Times New Roman" w:hAnsi="Times New Roman" w:cs="Times New Roman"/>
          <w:bCs/>
          <w:kern w:val="0"/>
          <w:szCs w:val="28"/>
        </w:rPr>
        <w:t xml:space="preserve">多，因此资金分配29.8万元，非食品抽检批次少，因此分配资金6.3万元。  </w:t>
      </w:r>
    </w:p>
    <w:p>
      <w:pPr>
        <w:autoSpaceDE w:val="0"/>
        <w:spacing w:line="600" w:lineRule="exact"/>
        <w:ind w:firstLine="560"/>
        <w:rPr>
          <w:rFonts w:ascii="Times New Roman" w:hAnsi="Times New Roman" w:cs="Times New Roman"/>
          <w:b/>
          <w:kern w:val="0"/>
          <w:szCs w:val="28"/>
        </w:rPr>
      </w:pPr>
      <w:r>
        <w:rPr>
          <w:rFonts w:ascii="Times New Roman" w:hAnsi="Times New Roman" w:cs="Times New Roman"/>
          <w:b/>
          <w:kern w:val="0"/>
          <w:szCs w:val="28"/>
        </w:rPr>
        <w:t>综上，该指标满分6分，得分</w:t>
      </w:r>
      <w:r>
        <w:rPr>
          <w:rFonts w:hint="eastAsia" w:ascii="Times New Roman" w:hAnsi="Times New Roman" w:cs="Times New Roman"/>
          <w:b/>
          <w:kern w:val="0"/>
          <w:szCs w:val="28"/>
        </w:rPr>
        <w:t>6</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36" w:name="_Toc67911613"/>
      <w:bookmarkStart w:id="37" w:name="_Toc100784604"/>
      <w:r>
        <w:rPr>
          <w:rFonts w:ascii="Times New Roman" w:hAnsi="Times New Roman" w:eastAsia="仿宋" w:cs="Times New Roman"/>
          <w:sz w:val="32"/>
          <w:szCs w:val="32"/>
          <w:lang w:bidi="en-US"/>
        </w:rPr>
        <w:t>（二）项目过程情况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8" w:name="_Toc100784605"/>
      <w:r>
        <w:rPr>
          <w:rFonts w:ascii="Times New Roman" w:hAnsi="Times New Roman" w:eastAsia="仿宋" w:cs="Times New Roman"/>
          <w:sz w:val="32"/>
          <w:szCs w:val="32"/>
          <w:lang w:bidi="en-US"/>
        </w:rPr>
        <w:t>1.资金管理</w:t>
      </w:r>
      <w:bookmarkEnd w:id="38"/>
    </w:p>
    <w:p>
      <w:pPr>
        <w:spacing w:line="360" w:lineRule="auto"/>
        <w:ind w:firstLine="560"/>
        <w:rPr>
          <w:rFonts w:ascii="Times New Roman" w:hAnsi="Times New Roman" w:cs="Times New Roman"/>
          <w:szCs w:val="28"/>
        </w:rPr>
      </w:pPr>
      <w:r>
        <w:rPr>
          <w:rFonts w:ascii="Times New Roman" w:hAnsi="Times New Roman" w:cs="Times New Roman"/>
          <w:b/>
          <w:bCs/>
          <w:szCs w:val="28"/>
        </w:rPr>
        <w:t>资金到位率：</w:t>
      </w:r>
      <w:r>
        <w:rPr>
          <w:rFonts w:hint="eastAsia" w:ascii="Times New Roman" w:hAnsi="Times New Roman" w:cs="Times New Roman"/>
          <w:bCs/>
          <w:kern w:val="0"/>
          <w:szCs w:val="28"/>
        </w:rPr>
        <w:t>2022年7月22日承检机构按照合同完成非食品抽检工作共计19批次，在验收合格后，8月31日财政拨付产品质量抽检费6.36万元，</w:t>
      </w:r>
      <w:r>
        <w:rPr>
          <w:rFonts w:hint="eastAsia" w:ascii="仿宋_GB2312" w:hAnsi="仿宋" w:cs="宋体"/>
          <w:kern w:val="0"/>
          <w:szCs w:val="28"/>
        </w:rPr>
        <w:t>资金直接支付到供应商</w:t>
      </w:r>
      <w:r>
        <w:rPr>
          <w:rFonts w:hint="eastAsia" w:ascii="Times New Roman" w:hAnsi="Times New Roman" w:cs="Times New Roman"/>
          <w:bCs/>
          <w:kern w:val="0"/>
          <w:szCs w:val="28"/>
        </w:rPr>
        <w:t>。</w:t>
      </w:r>
    </w:p>
    <w:p>
      <w:pPr>
        <w:spacing w:line="360" w:lineRule="auto"/>
        <w:ind w:firstLine="560"/>
        <w:rPr>
          <w:rFonts w:ascii="Times New Roman" w:hAnsi="Times New Roman" w:cs="Times New Roman"/>
          <w:bCs/>
          <w:kern w:val="0"/>
          <w:szCs w:val="28"/>
        </w:rPr>
      </w:pPr>
      <w:r>
        <w:rPr>
          <w:rFonts w:hint="eastAsia" w:ascii="Times New Roman" w:hAnsi="Times New Roman" w:cs="Times New Roman"/>
          <w:bCs/>
          <w:kern w:val="0"/>
          <w:szCs w:val="28"/>
        </w:rPr>
        <w:t>2022年9月10日承检机构按照合同完成2022年食品抽检工作共计672批次，在验收合格后，2022年12月15日财政拨付抽检费21.66万元，</w:t>
      </w:r>
      <w:r>
        <w:rPr>
          <w:rFonts w:hint="eastAsia" w:ascii="仿宋_GB2312" w:hAnsi="仿宋" w:cs="宋体"/>
          <w:kern w:val="0"/>
          <w:szCs w:val="28"/>
        </w:rPr>
        <w:t>资金直接支付到供应商</w:t>
      </w:r>
      <w:r>
        <w:rPr>
          <w:rFonts w:hint="eastAsia" w:ascii="Times New Roman" w:hAnsi="Times New Roman" w:cs="Times New Roman"/>
          <w:bCs/>
          <w:kern w:val="0"/>
          <w:szCs w:val="28"/>
        </w:rPr>
        <w:t>。</w:t>
      </w:r>
    </w:p>
    <w:p>
      <w:pPr>
        <w:spacing w:line="360" w:lineRule="auto"/>
        <w:ind w:firstLine="560"/>
        <w:rPr>
          <w:rFonts w:ascii="Times New Roman" w:hAnsi="Times New Roman" w:cs="Times New Roman"/>
          <w:szCs w:val="28"/>
        </w:rPr>
      </w:pPr>
      <w:r>
        <w:rPr>
          <w:rFonts w:hint="eastAsia" w:ascii="Times New Roman" w:hAnsi="Times New Roman" w:cs="Times New Roman"/>
          <w:bCs/>
          <w:kern w:val="0"/>
          <w:szCs w:val="28"/>
        </w:rPr>
        <w:t>2021年度财政资金紧张，未拨付完毕当年抽检经费，因此有部分抽检经费未作支付。受2022年疫情影响，承检机构资金紧张，申请支付2021年未付款项，经局党组研究决定，2022年7月19日财政拨付2021年抽检费5.98万元，2022年12月15日财政拨付2021年抽检费6万元。支付2021年剩余抽检费用共计11.98万元。</w:t>
      </w:r>
      <w:r>
        <w:rPr>
          <w:rFonts w:ascii="Times New Roman" w:hAnsi="Times New Roman" w:cs="Times New Roman"/>
          <w:kern w:val="0"/>
          <w:szCs w:val="28"/>
        </w:rPr>
        <w:t>故资金到位率指标得分</w:t>
      </w:r>
      <w:r>
        <w:rPr>
          <w:rFonts w:hint="eastAsia" w:ascii="Times New Roman" w:hAnsi="Times New Roman" w:cs="Times New Roman"/>
          <w:kern w:val="0"/>
          <w:szCs w:val="28"/>
        </w:rPr>
        <w:t>5</w:t>
      </w:r>
      <w:r>
        <w:rPr>
          <w:rFonts w:ascii="Times New Roman" w:hAnsi="Times New Roman" w:cs="Times New Roman"/>
          <w:kern w:val="0"/>
          <w:szCs w:val="28"/>
        </w:rPr>
        <w:t>分。</w:t>
      </w:r>
    </w:p>
    <w:p>
      <w:pPr>
        <w:spacing w:line="360" w:lineRule="auto"/>
        <w:ind w:firstLine="560"/>
        <w:rPr>
          <w:rFonts w:hint="eastAsia" w:ascii="Times New Roman" w:hAnsi="Times New Roman" w:eastAsia="仿宋_GB2312" w:cs="Times New Roman"/>
          <w:szCs w:val="28"/>
          <w:lang w:val="en-US" w:eastAsia="zh-CN"/>
        </w:rPr>
      </w:pPr>
      <w:r>
        <w:rPr>
          <w:rFonts w:ascii="Times New Roman" w:hAnsi="Times New Roman" w:cs="Times New Roman"/>
          <w:b/>
          <w:bCs/>
          <w:szCs w:val="28"/>
        </w:rPr>
        <w:t>预算执行率：</w:t>
      </w:r>
      <w:r>
        <w:rPr>
          <w:rFonts w:hint="eastAsia" w:ascii="Times New Roman" w:hAnsi="Times New Roman" w:cs="Times New Roman"/>
          <w:szCs w:val="28"/>
        </w:rPr>
        <w:t xml:space="preserve"> 2022年7月完成全部非食品抽检工作，财政拨付2022非食品年抽检经费6.36万元。2022年9月底完成全部食品抽检工作，财政拨付2022年食品抽检费21.66万元。此外还</w:t>
      </w:r>
      <w:r>
        <w:rPr>
          <w:rFonts w:hint="eastAsia" w:ascii="Times New Roman" w:hAnsi="Times New Roman" w:cs="Times New Roman"/>
          <w:bCs/>
          <w:kern w:val="0"/>
          <w:szCs w:val="28"/>
        </w:rPr>
        <w:t>支付了2021年剩余抽检费用共计11.98万元。</w:t>
      </w:r>
      <w:r>
        <w:rPr>
          <w:rFonts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ascii="Times New Roman" w:hAnsi="Times New Roman" w:cs="Times New Roman"/>
          <w:szCs w:val="28"/>
        </w:rPr>
        <w:t>分</w:t>
      </w:r>
      <w:r>
        <w:rPr>
          <w:rFonts w:hint="eastAsia" w:ascii="Times New Roman" w:hAnsi="Times New Roman" w:cs="Times New Roman"/>
          <w:szCs w:val="28"/>
          <w:lang w:eastAsia="zh-CN"/>
        </w:rPr>
        <w:t>。</w:t>
      </w:r>
    </w:p>
    <w:p>
      <w:pPr>
        <w:spacing w:line="360" w:lineRule="auto"/>
        <w:ind w:firstLine="560"/>
        <w:rPr>
          <w:rFonts w:ascii="Times New Roman" w:hAnsi="Times New Roman" w:cs="Times New Roman"/>
          <w:szCs w:val="28"/>
        </w:rPr>
      </w:pPr>
      <w:r>
        <w:rPr>
          <w:rFonts w:ascii="Times New Roman" w:hAnsi="Times New Roman" w:cs="Times New Roman"/>
          <w:b/>
          <w:bCs/>
          <w:szCs w:val="28"/>
        </w:rPr>
        <w:t>资金使用合规性：</w:t>
      </w:r>
      <w:r>
        <w:rPr>
          <w:rFonts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0"/>
        <w:rPr>
          <w:rFonts w:ascii="Times New Roman" w:hAnsi="Times New Roman" w:cs="Times New Roman"/>
          <w:b/>
          <w:kern w:val="0"/>
          <w:szCs w:val="28"/>
        </w:rPr>
      </w:pPr>
      <w:r>
        <w:rPr>
          <w:rFonts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ascii="Times New Roman" w:hAnsi="Times New Roman" w:cs="Times New Roman"/>
          <w:b/>
          <w:kern w:val="0"/>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39" w:name="_Toc100784606"/>
      <w:r>
        <w:rPr>
          <w:rFonts w:ascii="Times New Roman" w:hAnsi="Times New Roman" w:eastAsia="仿宋" w:cs="Times New Roman"/>
          <w:sz w:val="32"/>
          <w:szCs w:val="32"/>
          <w:lang w:bidi="en-US"/>
        </w:rPr>
        <w:t>2.组织实施</w:t>
      </w:r>
      <w:bookmarkEnd w:id="39"/>
    </w:p>
    <w:p>
      <w:pPr>
        <w:spacing w:line="360" w:lineRule="auto"/>
        <w:ind w:firstLine="560"/>
        <w:rPr>
          <w:rFonts w:ascii="Times New Roman" w:hAnsi="Times New Roman" w:cs="Times New Roman"/>
          <w:szCs w:val="28"/>
        </w:rPr>
      </w:pPr>
      <w:r>
        <w:rPr>
          <w:rFonts w:ascii="Times New Roman" w:hAnsi="Times New Roman" w:cs="Times New Roman"/>
          <w:b/>
          <w:bCs/>
          <w:szCs w:val="28"/>
        </w:rPr>
        <w:t>管理制度健全性</w:t>
      </w:r>
      <w:r>
        <w:rPr>
          <w:rFonts w:ascii="Times New Roman" w:hAnsi="Times New Roman" w:cs="Times New Roman"/>
          <w:szCs w:val="28"/>
        </w:rPr>
        <w:t>：</w:t>
      </w:r>
      <w:r>
        <w:rPr>
          <w:rFonts w:hint="eastAsia" w:ascii="Times New Roman" w:hAnsi="Times New Roman" w:cs="Times New Roman"/>
          <w:szCs w:val="28"/>
        </w:rPr>
        <w:t>乌鲁木齐县市场监督管理局</w:t>
      </w:r>
      <w:r>
        <w:rPr>
          <w:rFonts w:ascii="Times New Roman" w:hAnsi="Times New Roman" w:cs="Times New Roman"/>
          <w:szCs w:val="28"/>
        </w:rPr>
        <w:t>已制定相应的财务和业务管理制度，且制度合法、合规、完整，为项目顺利实施提供重要保障。</w:t>
      </w:r>
      <w:r>
        <w:rPr>
          <w:rFonts w:hint="eastAsia" w:ascii="Times New Roman" w:hAnsi="Times New Roman" w:cs="Times New Roman"/>
          <w:szCs w:val="28"/>
        </w:rPr>
        <w:t>各项财务和业务管理制度随着业务和经济发展需要不断的完善和优化</w:t>
      </w:r>
      <w:r>
        <w:rPr>
          <w:rFonts w:hint="eastAsia" w:ascii="Times New Roman" w:hAnsi="Times New Roman" w:cs="Times New Roman"/>
          <w:szCs w:val="28"/>
          <w:lang w:eastAsia="zh-CN"/>
        </w:rPr>
        <w:t>，</w:t>
      </w:r>
      <w:r>
        <w:rPr>
          <w:rFonts w:ascii="Times New Roman" w:hAnsi="Times New Roman" w:cs="Times New Roman"/>
          <w:szCs w:val="28"/>
        </w:rPr>
        <w:t>故管理制度健全性得分为</w:t>
      </w:r>
      <w:r>
        <w:rPr>
          <w:rFonts w:hint="eastAsia" w:ascii="Times New Roman" w:hAnsi="Times New Roman" w:cs="Times New Roman"/>
          <w:szCs w:val="28"/>
          <w:lang w:val="en-US" w:eastAsia="zh-CN"/>
        </w:rPr>
        <w:t>3</w:t>
      </w:r>
      <w:r>
        <w:rPr>
          <w:rFonts w:ascii="Times New Roman" w:hAnsi="Times New Roman" w:cs="Times New Roman"/>
          <w:szCs w:val="28"/>
        </w:rPr>
        <w:t>分</w:t>
      </w:r>
      <w:r>
        <w:rPr>
          <w:rFonts w:hint="eastAsia" w:ascii="Times New Roman" w:hAnsi="Times New Roman" w:cs="Times New Roman"/>
          <w:szCs w:val="28"/>
          <w:lang w:eastAsia="zh-CN"/>
        </w:rPr>
        <w:t>。</w:t>
      </w:r>
    </w:p>
    <w:p>
      <w:pPr>
        <w:spacing w:line="360" w:lineRule="auto"/>
        <w:ind w:firstLine="560"/>
        <w:rPr>
          <w:rFonts w:ascii="Times New Roman" w:hAnsi="Times New Roman" w:cs="Times New Roman"/>
          <w:szCs w:val="28"/>
        </w:rPr>
      </w:pPr>
      <w:r>
        <w:rPr>
          <w:rFonts w:ascii="Times New Roman" w:hAnsi="Times New Roman" w:cs="Times New Roman"/>
          <w:b/>
          <w:bCs/>
          <w:szCs w:val="28"/>
        </w:rPr>
        <w:t>制度执行有效性：</w:t>
      </w:r>
      <w:r>
        <w:rPr>
          <w:rFonts w:ascii="Times New Roman" w:hAnsi="Times New Roman" w:cs="Times New Roman"/>
          <w:szCs w:val="28"/>
        </w:rPr>
        <w:t>根据现场调研和资料抽查情况，</w:t>
      </w:r>
      <w:r>
        <w:rPr>
          <w:rFonts w:hint="eastAsia" w:ascii="Times New Roman" w:hAnsi="Times New Roman" w:cs="Times New Roman"/>
          <w:szCs w:val="28"/>
        </w:rPr>
        <w:t>乌鲁木齐县市场监督管理局</w:t>
      </w:r>
      <w:r>
        <w:rPr>
          <w:rFonts w:ascii="Times New Roman" w:hAnsi="Times New Roman" w:cs="Times New Roman"/>
          <w:szCs w:val="28"/>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szCs w:val="28"/>
          <w:lang w:val="en-US" w:eastAsia="zh-CN"/>
        </w:rPr>
        <w:t>较为</w:t>
      </w:r>
      <w:r>
        <w:rPr>
          <w:rFonts w:ascii="Times New Roman" w:hAnsi="Times New Roman" w:cs="Times New Roman"/>
          <w:szCs w:val="28"/>
        </w:rPr>
        <w:t>有效。故制度执行有效性指标得分</w:t>
      </w:r>
      <w:r>
        <w:rPr>
          <w:rFonts w:hint="eastAsia" w:ascii="Times New Roman" w:hAnsi="Times New Roman" w:cs="Times New Roman"/>
          <w:szCs w:val="28"/>
          <w:lang w:val="en-US" w:eastAsia="zh-CN"/>
        </w:rPr>
        <w:t>4</w:t>
      </w:r>
      <w:r>
        <w:rPr>
          <w:rFonts w:ascii="Times New Roman" w:hAnsi="Times New Roman" w:cs="Times New Roman"/>
          <w:szCs w:val="28"/>
        </w:rPr>
        <w:t>分。</w:t>
      </w:r>
    </w:p>
    <w:p>
      <w:pPr>
        <w:autoSpaceDE w:val="0"/>
        <w:spacing w:line="600" w:lineRule="exact"/>
        <w:ind w:firstLine="560"/>
        <w:rPr>
          <w:rFonts w:ascii="Times New Roman" w:hAnsi="Times New Roman" w:cs="Times New Roman"/>
          <w:b/>
          <w:kern w:val="0"/>
          <w:szCs w:val="28"/>
        </w:rPr>
      </w:pPr>
      <w:bookmarkStart w:id="40" w:name="_Hlk67670213"/>
      <w:r>
        <w:rPr>
          <w:rFonts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7</w:t>
      </w:r>
      <w:r>
        <w:rPr>
          <w:rFonts w:ascii="Times New Roman" w:hAnsi="Times New Roman" w:cs="Times New Roman"/>
          <w:b/>
          <w:kern w:val="0"/>
          <w:szCs w:val="28"/>
        </w:rPr>
        <w:t>分，得分</w:t>
      </w:r>
      <w:r>
        <w:rPr>
          <w:rFonts w:hint="eastAsia" w:ascii="Times New Roman" w:hAnsi="Times New Roman" w:cs="Times New Roman"/>
          <w:b/>
          <w:kern w:val="0"/>
          <w:szCs w:val="28"/>
          <w:lang w:val="en-US" w:eastAsia="zh-CN"/>
        </w:rPr>
        <w:t>7</w:t>
      </w:r>
      <w:r>
        <w:rPr>
          <w:rFonts w:ascii="Times New Roman" w:hAnsi="Times New Roman" w:cs="Times New Roman"/>
          <w:b/>
          <w:kern w:val="0"/>
          <w:szCs w:val="28"/>
        </w:rPr>
        <w:t>分。</w:t>
      </w:r>
    </w:p>
    <w:bookmarkEnd w:id="40"/>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1" w:name="_Toc67911614"/>
      <w:bookmarkStart w:id="42" w:name="_Toc100784607"/>
      <w:r>
        <w:rPr>
          <w:rFonts w:ascii="Times New Roman" w:hAnsi="Times New Roman" w:eastAsia="仿宋" w:cs="Times New Roman"/>
          <w:sz w:val="32"/>
          <w:szCs w:val="32"/>
          <w:lang w:bidi="en-US"/>
        </w:rPr>
        <w:t>（三）项目产出情况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项目产出指标由</w:t>
      </w:r>
      <w:r>
        <w:rPr>
          <w:rFonts w:hint="eastAsia" w:ascii="Times New Roman" w:hAnsi="Times New Roman" w:cs="Times New Roman"/>
          <w:szCs w:val="28"/>
        </w:rPr>
        <w:t>4</w:t>
      </w:r>
      <w:r>
        <w:rPr>
          <w:rFonts w:ascii="Times New Roman" w:hAnsi="Times New Roman" w:cs="Times New Roman"/>
          <w:szCs w:val="28"/>
        </w:rPr>
        <w:t>个二级指标和</w:t>
      </w:r>
      <w:r>
        <w:rPr>
          <w:rFonts w:hint="eastAsia" w:ascii="Times New Roman" w:hAnsi="Times New Roman" w:cs="Times New Roman"/>
          <w:szCs w:val="28"/>
        </w:rPr>
        <w:t>5</w:t>
      </w:r>
      <w:r>
        <w:rPr>
          <w:rFonts w:ascii="Times New Roman" w:hAnsi="Times New Roman" w:cs="Times New Roman"/>
          <w:szCs w:val="28"/>
        </w:rPr>
        <w:t>个三级指标构成，权重为</w:t>
      </w:r>
      <w:r>
        <w:rPr>
          <w:rFonts w:hint="eastAsia" w:ascii="Times New Roman" w:hAnsi="Times New Roman" w:cs="Times New Roman"/>
          <w:szCs w:val="28"/>
        </w:rPr>
        <w:t>36</w:t>
      </w:r>
      <w:r>
        <w:rPr>
          <w:rFonts w:ascii="Times New Roman" w:hAnsi="Times New Roman" w:cs="Times New Roman"/>
          <w:szCs w:val="28"/>
        </w:rPr>
        <w:t>分，实际得分</w:t>
      </w:r>
      <w:r>
        <w:rPr>
          <w:rFonts w:hint="eastAsia" w:ascii="Times New Roman" w:hAnsi="Times New Roman" w:cs="Times New Roman"/>
          <w:szCs w:val="28"/>
          <w:lang w:val="en-US" w:eastAsia="zh-CN"/>
        </w:rPr>
        <w:t>40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3" w:name="_Toc100784608"/>
      <w:r>
        <w:rPr>
          <w:rFonts w:ascii="Times New Roman" w:hAnsi="Times New Roman" w:eastAsia="仿宋" w:cs="Times New Roman"/>
          <w:sz w:val="32"/>
          <w:szCs w:val="32"/>
          <w:lang w:bidi="en-US"/>
        </w:rPr>
        <w:t>1.产出数量</w:t>
      </w:r>
      <w:bookmarkEnd w:id="43"/>
    </w:p>
    <w:p>
      <w:pPr>
        <w:spacing w:line="360" w:lineRule="auto"/>
        <w:ind w:firstLine="560"/>
        <w:rPr>
          <w:rFonts w:ascii="Times New Roman" w:hAnsi="Times New Roman" w:cs="Times New Roman"/>
          <w:bCs/>
          <w:szCs w:val="28"/>
        </w:rPr>
      </w:pPr>
      <w:r>
        <w:rPr>
          <w:rFonts w:ascii="Times New Roman" w:hAnsi="Times New Roman" w:cs="Times New Roman"/>
          <w:bCs/>
          <w:szCs w:val="28"/>
        </w:rPr>
        <w:t>数量指标</w:t>
      </w:r>
      <w:r>
        <w:rPr>
          <w:rFonts w:hint="eastAsia" w:ascii="Times New Roman" w:hAnsi="Times New Roman" w:cs="Times New Roman"/>
          <w:bCs/>
          <w:szCs w:val="28"/>
        </w:rPr>
        <w:t>“完成监督抽检和风险监测年度检验批次”</w:t>
      </w:r>
      <w:r>
        <w:rPr>
          <w:rFonts w:ascii="Times New Roman" w:hAnsi="Times New Roman" w:cs="Times New Roman"/>
          <w:bCs/>
          <w:szCs w:val="28"/>
        </w:rPr>
        <w:t>的目标值是</w:t>
      </w:r>
      <w:r>
        <w:rPr>
          <w:rFonts w:hint="eastAsia" w:ascii="Times New Roman" w:hAnsi="Times New Roman" w:cs="Times New Roman"/>
          <w:bCs/>
          <w:szCs w:val="28"/>
        </w:rPr>
        <w:t>338批次</w:t>
      </w:r>
      <w:r>
        <w:rPr>
          <w:rFonts w:ascii="Times New Roman" w:hAnsi="Times New Roman" w:cs="Times New Roman"/>
          <w:bCs/>
          <w:szCs w:val="28"/>
        </w:rPr>
        <w:t>，2022年度我单位实际完成</w:t>
      </w:r>
      <w:r>
        <w:rPr>
          <w:rFonts w:hint="eastAsia" w:ascii="Times New Roman" w:hAnsi="Times New Roman" w:cs="Times New Roman"/>
          <w:bCs/>
          <w:szCs w:val="28"/>
          <w:lang w:val="en-US" w:eastAsia="zh-CN"/>
        </w:rPr>
        <w:t>691</w:t>
      </w:r>
      <w:r>
        <w:rPr>
          <w:rFonts w:hint="eastAsia" w:ascii="Times New Roman" w:hAnsi="Times New Roman" w:cs="Times New Roman"/>
          <w:bCs/>
          <w:szCs w:val="28"/>
        </w:rPr>
        <w:t>批次</w:t>
      </w:r>
      <w:r>
        <w:rPr>
          <w:rFonts w:ascii="Times New Roman" w:hAnsi="Times New Roman" w:cs="Times New Roman"/>
          <w:bCs/>
          <w:szCs w:val="28"/>
        </w:rPr>
        <w:t>，原因</w:t>
      </w:r>
      <w:r>
        <w:rPr>
          <w:rFonts w:hint="eastAsia" w:ascii="Times New Roman" w:hAnsi="Times New Roman" w:cs="Times New Roman"/>
          <w:bCs/>
          <w:szCs w:val="28"/>
        </w:rPr>
        <w:t>是每年市局下发抽检任务时间晚，只能根据前一年抽检任务预测当年抽检情况。</w:t>
      </w:r>
    </w:p>
    <w:p>
      <w:pPr>
        <w:spacing w:line="360" w:lineRule="auto"/>
        <w:ind w:firstLine="560"/>
        <w:rPr>
          <w:rFonts w:ascii="Times New Roman" w:hAnsi="Times New Roman" w:cs="Times New Roman"/>
          <w:szCs w:val="28"/>
        </w:rPr>
      </w:pPr>
      <w:r>
        <w:rPr>
          <w:rFonts w:ascii="Times New Roman" w:hAnsi="Times New Roman" w:cs="Times New Roman"/>
          <w:b/>
          <w:bCs/>
          <w:szCs w:val="28"/>
        </w:rPr>
        <w:t>实际完成率：</w:t>
      </w:r>
      <w:r>
        <w:rPr>
          <w:rFonts w:ascii="Times New Roman" w:hAnsi="Times New Roman" w:cs="Times New Roman"/>
          <w:bCs/>
          <w:szCs w:val="28"/>
        </w:rPr>
        <w:t>实际完成</w:t>
      </w:r>
      <w:r>
        <w:rPr>
          <w:rFonts w:hint="eastAsia" w:ascii="Times New Roman" w:hAnsi="Times New Roman" w:cs="Times New Roman"/>
          <w:bCs/>
          <w:szCs w:val="28"/>
        </w:rPr>
        <w:t>691批次</w:t>
      </w:r>
      <w:r>
        <w:rPr>
          <w:rFonts w:ascii="Times New Roman" w:hAnsi="Times New Roman" w:cs="Times New Roman"/>
          <w:szCs w:val="28"/>
        </w:rPr>
        <w:t>，故实际完成率得分为</w:t>
      </w:r>
      <w:r>
        <w:rPr>
          <w:rFonts w:hint="eastAsia" w:ascii="Times New Roman" w:hAnsi="Times New Roman" w:cs="Times New Roman"/>
          <w:szCs w:val="28"/>
          <w:lang w:val="en-US" w:eastAsia="zh-CN"/>
        </w:rPr>
        <w:t>100</w:t>
      </w:r>
      <w:r>
        <w:rPr>
          <w:rFonts w:ascii="Times New Roman" w:hAnsi="Times New Roman" w:cs="Times New Roman"/>
          <w:szCs w:val="28"/>
        </w:rPr>
        <w:t>分。</w:t>
      </w:r>
    </w:p>
    <w:p>
      <w:pPr>
        <w:pStyle w:val="2"/>
        <w:spacing w:before="0" w:after="0" w:line="360" w:lineRule="auto"/>
        <w:ind w:firstLine="643"/>
        <w:jc w:val="left"/>
        <w:rPr>
          <w:rFonts w:ascii="Times New Roman" w:hAnsi="Times New Roman" w:eastAsia="仿宋" w:cs="Times New Roman"/>
          <w:sz w:val="32"/>
          <w:szCs w:val="32"/>
          <w:lang w:bidi="en-US"/>
        </w:rPr>
      </w:pPr>
      <w:bookmarkStart w:id="44" w:name="_Toc100784609"/>
      <w:r>
        <w:rPr>
          <w:rFonts w:ascii="Times New Roman" w:hAnsi="Times New Roman" w:eastAsia="仿宋" w:cs="Times New Roman"/>
          <w:sz w:val="32"/>
          <w:szCs w:val="32"/>
          <w:lang w:bidi="en-US"/>
        </w:rPr>
        <w:t>2.产出质量</w:t>
      </w:r>
      <w:bookmarkEnd w:id="44"/>
    </w:p>
    <w:p>
      <w:pPr>
        <w:spacing w:line="360" w:lineRule="auto"/>
        <w:ind w:firstLine="560"/>
        <w:rPr>
          <w:rFonts w:ascii="Times New Roman" w:hAnsi="Times New Roman" w:cs="Times New Roman"/>
          <w:bCs/>
          <w:szCs w:val="28"/>
        </w:rPr>
      </w:pPr>
      <w:r>
        <w:rPr>
          <w:rFonts w:hint="eastAsia" w:ascii="Times New Roman" w:hAnsi="Times New Roman" w:cs="Times New Roman"/>
          <w:bCs/>
          <w:szCs w:val="28"/>
        </w:rPr>
        <w:t>质量</w:t>
      </w:r>
      <w:r>
        <w:rPr>
          <w:rFonts w:ascii="Times New Roman" w:hAnsi="Times New Roman" w:cs="Times New Roman"/>
          <w:bCs/>
          <w:szCs w:val="28"/>
        </w:rPr>
        <w:t>指标</w:t>
      </w:r>
      <w:r>
        <w:rPr>
          <w:rFonts w:hint="eastAsia" w:ascii="Times New Roman" w:hAnsi="Times New Roman" w:cs="Times New Roman"/>
          <w:bCs/>
          <w:szCs w:val="28"/>
        </w:rPr>
        <w:t>“抽检监测覆盖率”</w:t>
      </w:r>
      <w:r>
        <w:rPr>
          <w:rFonts w:ascii="Times New Roman" w:hAnsi="Times New Roman" w:cs="Times New Roman"/>
          <w:bCs/>
          <w:szCs w:val="28"/>
        </w:rPr>
        <w:t>的目标值是</w:t>
      </w:r>
      <w:r>
        <w:rPr>
          <w:rFonts w:hint="eastAsia" w:ascii="Times New Roman" w:hAnsi="Times New Roman" w:cs="Times New Roman"/>
          <w:bCs/>
          <w:szCs w:val="28"/>
        </w:rPr>
        <w:t>98%，</w:t>
      </w:r>
      <w:r>
        <w:rPr>
          <w:rFonts w:ascii="Times New Roman" w:hAnsi="Times New Roman" w:cs="Times New Roman"/>
          <w:bCs/>
          <w:szCs w:val="28"/>
        </w:rPr>
        <w:t>2022年度我单位实际完成</w:t>
      </w:r>
      <w:r>
        <w:rPr>
          <w:rFonts w:hint="eastAsia" w:ascii="Times New Roman" w:hAnsi="Times New Roman" w:cs="Times New Roman"/>
          <w:bCs/>
          <w:szCs w:val="28"/>
        </w:rPr>
        <w:t>98%</w:t>
      </w:r>
      <w:r>
        <w:rPr>
          <w:rFonts w:ascii="Times New Roman" w:hAnsi="Times New Roman" w:cs="Times New Roman"/>
          <w:bCs/>
          <w:szCs w:val="28"/>
        </w:rPr>
        <w:t>，</w:t>
      </w:r>
      <w:r>
        <w:rPr>
          <w:rFonts w:hint="eastAsia" w:ascii="Times New Roman" w:hAnsi="Times New Roman" w:cs="Times New Roman"/>
          <w:bCs/>
          <w:szCs w:val="28"/>
        </w:rPr>
        <w:t>根据市局下发的抽检计划，结合我县实际情况，制定符合我县发展的抽检任务。</w:t>
      </w:r>
    </w:p>
    <w:p>
      <w:pPr>
        <w:spacing w:line="360" w:lineRule="auto"/>
        <w:ind w:firstLine="560"/>
        <w:rPr>
          <w:rFonts w:ascii="Times New Roman" w:hAnsi="Times New Roman" w:cs="Times New Roman"/>
          <w:szCs w:val="28"/>
        </w:rPr>
      </w:pPr>
      <w:r>
        <w:rPr>
          <w:rFonts w:ascii="Times New Roman" w:hAnsi="Times New Roman" w:cs="Times New Roman"/>
          <w:b/>
          <w:bCs/>
          <w:szCs w:val="28"/>
        </w:rPr>
        <w:t>实际完成率：</w:t>
      </w:r>
      <w:r>
        <w:rPr>
          <w:rFonts w:ascii="Times New Roman" w:hAnsi="Times New Roman" w:cs="Times New Roman"/>
          <w:bCs/>
          <w:szCs w:val="28"/>
        </w:rPr>
        <w:t>实际完成</w:t>
      </w:r>
      <w:r>
        <w:rPr>
          <w:rFonts w:hint="eastAsia" w:ascii="Times New Roman" w:hAnsi="Times New Roman" w:cs="Times New Roman"/>
          <w:bCs/>
          <w:szCs w:val="28"/>
        </w:rPr>
        <w:t>98%</w:t>
      </w:r>
      <w:r>
        <w:rPr>
          <w:rFonts w:ascii="Times New Roman" w:hAnsi="Times New Roman" w:cs="Times New Roman"/>
          <w:szCs w:val="28"/>
        </w:rPr>
        <w:t>，故实际完成率得分为</w:t>
      </w:r>
      <w:r>
        <w:rPr>
          <w:rFonts w:hint="eastAsia" w:ascii="Times New Roman" w:hAnsi="Times New Roman" w:cs="Times New Roman"/>
          <w:szCs w:val="28"/>
          <w:lang w:val="en-US" w:eastAsia="zh-CN"/>
        </w:rPr>
        <w:t>100</w:t>
      </w:r>
      <w:r>
        <w:rPr>
          <w:rFonts w:ascii="Times New Roman" w:hAnsi="Times New Roman" w:cs="Times New Roman"/>
          <w:szCs w:val="28"/>
        </w:rPr>
        <w:t>分。</w:t>
      </w:r>
    </w:p>
    <w:p>
      <w:pPr>
        <w:pStyle w:val="2"/>
        <w:spacing w:before="0" w:after="0" w:line="360" w:lineRule="auto"/>
        <w:ind w:firstLine="598" w:firstLineChars="186"/>
        <w:jc w:val="left"/>
        <w:rPr>
          <w:rFonts w:ascii="Times New Roman" w:hAnsi="Times New Roman" w:eastAsia="仿宋" w:cs="Times New Roman"/>
          <w:sz w:val="32"/>
          <w:szCs w:val="32"/>
          <w:lang w:bidi="en-US"/>
        </w:rPr>
      </w:pPr>
      <w:bookmarkStart w:id="45" w:name="_Toc100784610"/>
      <w:r>
        <w:rPr>
          <w:rFonts w:ascii="Times New Roman" w:hAnsi="Times New Roman" w:eastAsia="仿宋" w:cs="Times New Roman"/>
          <w:sz w:val="32"/>
          <w:szCs w:val="32"/>
          <w:lang w:bidi="en-US"/>
        </w:rPr>
        <w:t>3.产出时效</w:t>
      </w:r>
      <w:bookmarkEnd w:id="45"/>
    </w:p>
    <w:p>
      <w:pPr>
        <w:spacing w:line="360" w:lineRule="auto"/>
        <w:ind w:firstLine="560"/>
        <w:rPr>
          <w:rFonts w:ascii="Times New Roman" w:hAnsi="Times New Roman" w:cs="Times New Roman"/>
          <w:b/>
          <w:bCs/>
          <w:szCs w:val="28"/>
        </w:rPr>
      </w:pPr>
      <w:r>
        <w:rPr>
          <w:rFonts w:ascii="Times New Roman" w:hAnsi="Times New Roman" w:cs="Times New Roman"/>
          <w:b/>
          <w:bCs/>
          <w:szCs w:val="28"/>
        </w:rPr>
        <w:t>完成及时性：</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抽检任务均在2022年12月份之前完成。2022年7月完成全部非食品抽检工作。2022年9月底完成全部食品抽检工作。</w:t>
      </w:r>
      <w:r>
        <w:rPr>
          <w:rFonts w:ascii="Times New Roman" w:hAnsi="Times New Roman" w:cs="Times New Roman"/>
          <w:szCs w:val="28"/>
        </w:rPr>
        <w:t>故完成及时性得分为</w:t>
      </w:r>
      <w:r>
        <w:rPr>
          <w:rFonts w:hint="eastAsia" w:ascii="Times New Roman" w:hAnsi="Times New Roman" w:cs="Times New Roman"/>
          <w:szCs w:val="28"/>
        </w:rPr>
        <w:t>10。</w:t>
      </w:r>
    </w:p>
    <w:p>
      <w:pPr>
        <w:pStyle w:val="2"/>
        <w:spacing w:before="0" w:after="0" w:line="360" w:lineRule="auto"/>
        <w:ind w:firstLine="643"/>
        <w:jc w:val="left"/>
        <w:rPr>
          <w:rFonts w:ascii="Times New Roman" w:hAnsi="Times New Roman" w:eastAsia="仿宋" w:cs="Times New Roman"/>
          <w:sz w:val="32"/>
          <w:szCs w:val="32"/>
          <w:lang w:bidi="en-US"/>
        </w:rPr>
      </w:pPr>
      <w:bookmarkStart w:id="46" w:name="_Toc100784611"/>
      <w:r>
        <w:rPr>
          <w:rFonts w:ascii="Times New Roman" w:hAnsi="Times New Roman" w:eastAsia="仿宋" w:cs="Times New Roman"/>
          <w:sz w:val="32"/>
          <w:szCs w:val="32"/>
          <w:lang w:bidi="en-US"/>
        </w:rPr>
        <w:t>4.产出成本</w:t>
      </w:r>
      <w:bookmarkEnd w:id="46"/>
    </w:p>
    <w:p>
      <w:pPr>
        <w:spacing w:line="360" w:lineRule="auto"/>
        <w:ind w:firstLine="560"/>
        <w:rPr>
          <w:rFonts w:ascii="Times New Roman" w:hAnsi="Times New Roman" w:cs="Times New Roman"/>
          <w:b/>
          <w:bCs/>
          <w:szCs w:val="28"/>
        </w:rPr>
      </w:pPr>
      <w:r>
        <w:rPr>
          <w:rFonts w:hint="eastAsia" w:ascii="Times New Roman" w:hAnsi="Times New Roman" w:cs="Times New Roman"/>
          <w:szCs w:val="28"/>
        </w:rPr>
        <w:t>非食品抽检成本核算小于10万元，实际成本6.36万元。实际成本小于预算成本是因为未能准确预测成本，在做计划时，只能根据上年度数据测算，跟实际计划有差入，成</w:t>
      </w:r>
      <w:r>
        <w:rPr>
          <w:rFonts w:ascii="Times New Roman" w:hAnsi="Times New Roman" w:cs="Times New Roman"/>
          <w:szCs w:val="28"/>
        </w:rPr>
        <w:t>本节约率：</w:t>
      </w:r>
      <w:r>
        <w:rPr>
          <w:rFonts w:hint="eastAsia" w:ascii="Times New Roman" w:hAnsi="Times New Roman" w:cs="Times New Roman"/>
          <w:szCs w:val="28"/>
        </w:rPr>
        <w:t>36.4%。食品抽检成本核算小于30万元，实际成本29.8万元，成本</w:t>
      </w:r>
      <w:r>
        <w:rPr>
          <w:rFonts w:ascii="Times New Roman" w:hAnsi="Times New Roman" w:cs="Times New Roman"/>
          <w:szCs w:val="28"/>
        </w:rPr>
        <w:t>节约率：成本节约率：</w:t>
      </w:r>
      <w:r>
        <w:rPr>
          <w:rFonts w:hint="eastAsia" w:ascii="Times New Roman" w:hAnsi="Times New Roman" w:cs="Times New Roman"/>
          <w:szCs w:val="28"/>
        </w:rPr>
        <w:t>0.67%</w:t>
      </w:r>
      <w:r>
        <w:rPr>
          <w:rFonts w:hint="eastAsia" w:ascii="Times New Roman" w:hAnsi="Times New Roman" w:cs="Times New Roman"/>
          <w:szCs w:val="28"/>
          <w:lang w:eastAsia="zh-CN"/>
        </w:rPr>
        <w:t>，</w:t>
      </w:r>
      <w:r>
        <w:rPr>
          <w:rFonts w:ascii="Times New Roman" w:hAnsi="Times New Roman" w:cs="Times New Roman"/>
          <w:szCs w:val="28"/>
        </w:rPr>
        <w:t>故得分为</w:t>
      </w:r>
      <w:r>
        <w:rPr>
          <w:rFonts w:hint="eastAsia" w:ascii="Times New Roman" w:hAnsi="Times New Roman" w:cs="Times New Roman"/>
          <w:szCs w:val="28"/>
          <w:lang w:val="en-US" w:eastAsia="zh-CN"/>
        </w:rPr>
        <w:t>10</w:t>
      </w:r>
      <w:r>
        <w:rPr>
          <w:rFonts w:ascii="Times New Roman" w:hAnsi="Times New Roman" w:cs="Times New Roman"/>
          <w:szCs w:val="28"/>
        </w:rPr>
        <w:t>分。</w:t>
      </w:r>
    </w:p>
    <w:p>
      <w:pPr>
        <w:autoSpaceDE w:val="0"/>
        <w:spacing w:line="600" w:lineRule="exact"/>
        <w:ind w:firstLine="560"/>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40</w:t>
      </w:r>
      <w:r>
        <w:rPr>
          <w:rFonts w:ascii="Times New Roman" w:hAnsi="Times New Roman" w:cs="Times New Roman"/>
          <w:b/>
          <w:kern w:val="0"/>
          <w:szCs w:val="28"/>
        </w:rPr>
        <w:t>分，得分</w:t>
      </w:r>
      <w:r>
        <w:rPr>
          <w:rFonts w:hint="eastAsia" w:ascii="Times New Roman" w:hAnsi="Times New Roman" w:cs="Times New Roman"/>
          <w:b/>
          <w:kern w:val="0"/>
          <w:szCs w:val="28"/>
          <w:lang w:val="en-US" w:eastAsia="zh-CN"/>
        </w:rPr>
        <w:t>40</w:t>
      </w:r>
      <w:r>
        <w:rPr>
          <w:rFonts w:ascii="Times New Roman" w:hAnsi="Times New Roman" w:cs="Times New Roman"/>
          <w:b/>
          <w:kern w:val="0"/>
          <w:szCs w:val="28"/>
        </w:rPr>
        <w:t>分。</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47" w:name="_Toc100784612"/>
      <w:bookmarkStart w:id="48" w:name="_Toc67911615"/>
      <w:r>
        <w:rPr>
          <w:rFonts w:ascii="Times New Roman" w:hAnsi="Times New Roman" w:eastAsia="仿宋" w:cs="Times New Roman"/>
          <w:sz w:val="32"/>
          <w:szCs w:val="32"/>
          <w:lang w:bidi="en-US"/>
        </w:rPr>
        <w:t>（四）项目效益情况</w:t>
      </w:r>
      <w:bookmarkEnd w:id="47"/>
      <w:bookmarkEnd w:id="48"/>
    </w:p>
    <w:p>
      <w:pPr>
        <w:spacing w:line="360" w:lineRule="auto"/>
        <w:ind w:firstLine="560"/>
        <w:rPr>
          <w:rFonts w:ascii="Times New Roman" w:hAnsi="Times New Roman" w:cs="Times New Roman"/>
          <w:szCs w:val="28"/>
        </w:rPr>
      </w:pPr>
      <w:r>
        <w:rPr>
          <w:rFonts w:ascii="Times New Roman" w:hAnsi="Times New Roman" w:cs="Times New Roman"/>
          <w:szCs w:val="28"/>
        </w:rPr>
        <w:t>项目效益指标由</w:t>
      </w:r>
      <w:r>
        <w:rPr>
          <w:rFonts w:hint="eastAsia" w:ascii="Times New Roman" w:hAnsi="Times New Roman" w:cs="Times New Roman"/>
          <w:szCs w:val="28"/>
          <w:lang w:val="en-US" w:eastAsia="zh-CN"/>
        </w:rPr>
        <w:t>2</w:t>
      </w:r>
      <w:r>
        <w:rPr>
          <w:rFonts w:ascii="Times New Roman" w:hAnsi="Times New Roman" w:cs="Times New Roman"/>
          <w:szCs w:val="28"/>
        </w:rPr>
        <w:t>个二级指标和</w:t>
      </w:r>
      <w:r>
        <w:rPr>
          <w:rFonts w:hint="eastAsia" w:ascii="Times New Roman" w:hAnsi="Times New Roman" w:cs="Times New Roman"/>
          <w:szCs w:val="28"/>
          <w:lang w:val="en-US" w:eastAsia="zh-CN"/>
        </w:rPr>
        <w:t>3</w:t>
      </w:r>
      <w:r>
        <w:rPr>
          <w:rFonts w:ascii="Times New Roman" w:hAnsi="Times New Roman" w:cs="Times New Roman"/>
          <w:szCs w:val="28"/>
        </w:rPr>
        <w:t>个三级指标构成，权重为</w:t>
      </w:r>
      <w:r>
        <w:rPr>
          <w:rFonts w:hint="eastAsia" w:ascii="Times New Roman" w:hAnsi="Times New Roman" w:cs="Times New Roman"/>
          <w:szCs w:val="28"/>
          <w:lang w:val="en-US" w:eastAsia="zh-CN"/>
        </w:rPr>
        <w:t>20</w:t>
      </w:r>
      <w:r>
        <w:rPr>
          <w:rFonts w:ascii="Times New Roman" w:hAnsi="Times New Roman" w:cs="Times New Roman"/>
          <w:szCs w:val="28"/>
        </w:rPr>
        <w:t>分，实际得分</w:t>
      </w:r>
      <w:r>
        <w:rPr>
          <w:rFonts w:hint="eastAsia" w:ascii="Times New Roman" w:hAnsi="Times New Roman" w:cs="Times New Roman"/>
          <w:szCs w:val="28"/>
          <w:lang w:val="en-US" w:eastAsia="zh-CN"/>
        </w:rPr>
        <w:t>20</w:t>
      </w:r>
      <w:r>
        <w:rPr>
          <w:rFonts w:ascii="Times New Roman" w:hAnsi="Times New Roman" w:cs="Times New Roman"/>
          <w:szCs w:val="28"/>
        </w:rPr>
        <w:t xml:space="preserve">分。 </w:t>
      </w:r>
    </w:p>
    <w:p>
      <w:pPr>
        <w:pStyle w:val="2"/>
        <w:spacing w:before="0" w:after="0" w:line="360" w:lineRule="auto"/>
        <w:ind w:firstLine="643"/>
        <w:jc w:val="left"/>
        <w:rPr>
          <w:rFonts w:ascii="Times New Roman" w:hAnsi="Times New Roman" w:eastAsia="仿宋" w:cs="Times New Roman"/>
          <w:sz w:val="32"/>
          <w:szCs w:val="32"/>
          <w:lang w:bidi="en-US"/>
        </w:rPr>
      </w:pPr>
      <w:bookmarkStart w:id="49" w:name="_Toc100784613"/>
      <w:r>
        <w:rPr>
          <w:rFonts w:ascii="Times New Roman" w:hAnsi="Times New Roman" w:eastAsia="仿宋" w:cs="Times New Roman"/>
          <w:sz w:val="32"/>
          <w:szCs w:val="32"/>
          <w:lang w:bidi="en-US"/>
        </w:rPr>
        <w:t>1.项目效益</w:t>
      </w:r>
      <w:bookmarkEnd w:id="49"/>
      <w:bookmarkStart w:id="62" w:name="_GoBack"/>
      <w:bookmarkEnd w:id="62"/>
    </w:p>
    <w:p>
      <w:pPr>
        <w:spacing w:line="360" w:lineRule="auto"/>
        <w:ind w:firstLine="560"/>
        <w:rPr>
          <w:rFonts w:ascii="Times New Roman" w:hAnsi="Times New Roman" w:cs="Times New Roman"/>
          <w:b/>
          <w:bCs/>
          <w:szCs w:val="28"/>
        </w:rPr>
      </w:pPr>
      <w:r>
        <w:rPr>
          <w:rFonts w:ascii="Times New Roman" w:hAnsi="Times New Roman" w:cs="Times New Roman"/>
          <w:b/>
          <w:bCs/>
          <w:szCs w:val="28"/>
        </w:rPr>
        <w:t>（1）实施效益</w:t>
      </w:r>
    </w:p>
    <w:p>
      <w:pPr>
        <w:spacing w:line="360" w:lineRule="auto"/>
        <w:ind w:firstLine="560"/>
        <w:rPr>
          <w:rFonts w:ascii="Times New Roman" w:hAnsi="Times New Roman" w:cs="Times New Roman"/>
          <w:b w:val="0"/>
          <w:kern w:val="2"/>
          <w:szCs w:val="28"/>
        </w:rPr>
      </w:pPr>
      <w:r>
        <w:rPr>
          <w:rFonts w:ascii="Times New Roman" w:hAnsi="Times New Roman" w:cs="Times New Roman"/>
          <w:b/>
          <w:bCs/>
          <w:szCs w:val="28"/>
        </w:rPr>
        <w:t>经济效益指标：</w:t>
      </w:r>
      <w:r>
        <w:rPr>
          <w:rFonts w:ascii="Times New Roman" w:hAnsi="Times New Roman" w:cs="Times New Roman"/>
          <w:szCs w:val="28"/>
        </w:rPr>
        <w:t>评价指标“</w:t>
      </w:r>
      <w:r>
        <w:rPr>
          <w:rFonts w:hint="eastAsia" w:ascii="Times New Roman" w:hAnsi="Times New Roman" w:cs="Times New Roman"/>
          <w:szCs w:val="28"/>
        </w:rPr>
        <w:t>减少消费者经济损失</w:t>
      </w:r>
      <w:r>
        <w:rPr>
          <w:rFonts w:ascii="Times New Roman" w:hAnsi="Times New Roman" w:cs="Times New Roman"/>
          <w:szCs w:val="28"/>
        </w:rPr>
        <w:t>”，指标值：</w:t>
      </w:r>
      <w:r>
        <w:rPr>
          <w:rFonts w:hint="eastAsia" w:ascii="Times New Roman" w:hAnsi="Times New Roman" w:cs="Times New Roman"/>
          <w:szCs w:val="28"/>
        </w:rPr>
        <w:t>减少消费者经济损失2%。</w:t>
      </w:r>
      <w:r>
        <w:rPr>
          <w:rFonts w:ascii="Times New Roman" w:hAnsi="Times New Roman" w:cs="Times New Roman"/>
          <w:szCs w:val="28"/>
        </w:rPr>
        <w:t>实际完成值：达成年度指标。</w:t>
      </w:r>
      <w:r>
        <w:rPr>
          <w:rFonts w:ascii="Times New Roman" w:hAnsi="Times New Roman" w:cs="Times New Roman"/>
          <w:b w:val="0"/>
          <w:kern w:val="2"/>
          <w:szCs w:val="28"/>
        </w:rPr>
        <w:t>该指标满分</w:t>
      </w:r>
      <w:r>
        <w:rPr>
          <w:rFonts w:hint="default" w:ascii="Times New Roman" w:hAnsi="Times New Roman" w:cs="Times New Roman"/>
          <w:b w:val="0"/>
          <w:kern w:val="2"/>
          <w:szCs w:val="28"/>
        </w:rPr>
        <w:t>7</w:t>
      </w:r>
      <w:r>
        <w:rPr>
          <w:rFonts w:ascii="Times New Roman" w:hAnsi="Times New Roman" w:cs="Times New Roman"/>
          <w:b w:val="0"/>
          <w:kern w:val="2"/>
          <w:szCs w:val="28"/>
        </w:rPr>
        <w:t>分，得分</w:t>
      </w:r>
      <w:r>
        <w:rPr>
          <w:rFonts w:hint="default" w:ascii="Times New Roman" w:hAnsi="Times New Roman" w:cs="Times New Roman"/>
          <w:b w:val="0"/>
          <w:kern w:val="2"/>
          <w:szCs w:val="28"/>
        </w:rPr>
        <w:t>7</w:t>
      </w:r>
      <w:r>
        <w:rPr>
          <w:rFonts w:ascii="Times New Roman" w:hAnsi="Times New Roman" w:cs="Times New Roman"/>
          <w:b w:val="0"/>
          <w:kern w:val="2"/>
          <w:szCs w:val="28"/>
        </w:rPr>
        <w:t>分。</w:t>
      </w:r>
    </w:p>
    <w:p>
      <w:pPr>
        <w:spacing w:line="360" w:lineRule="auto"/>
        <w:ind w:firstLine="560"/>
        <w:rPr>
          <w:rFonts w:hint="eastAsia" w:ascii="Times New Roman" w:hAnsi="Times New Roman" w:cs="Times New Roman"/>
          <w:b w:val="0"/>
          <w:kern w:val="2"/>
          <w:szCs w:val="28"/>
        </w:rPr>
      </w:pPr>
      <w:r>
        <w:rPr>
          <w:rFonts w:ascii="Times New Roman" w:hAnsi="Times New Roman" w:cs="Times New Roman"/>
          <w:b/>
          <w:bCs/>
          <w:szCs w:val="28"/>
        </w:rPr>
        <w:t>社会效益指标</w:t>
      </w:r>
      <w:r>
        <w:rPr>
          <w:rFonts w:ascii="Times New Roman" w:hAnsi="Times New Roman" w:cs="Times New Roman"/>
          <w:szCs w:val="28"/>
        </w:rPr>
        <w:t>：评价指标“</w:t>
      </w:r>
      <w:r>
        <w:rPr>
          <w:rFonts w:hint="eastAsia" w:ascii="Times New Roman" w:hAnsi="Times New Roman" w:cs="Times New Roman"/>
          <w:szCs w:val="28"/>
        </w:rPr>
        <w:t>人民群众对食品安全的自我保护意识和知晓率</w:t>
      </w:r>
      <w:r>
        <w:rPr>
          <w:rFonts w:ascii="Times New Roman" w:hAnsi="Times New Roman" w:cs="Times New Roman"/>
          <w:szCs w:val="28"/>
        </w:rPr>
        <w:t>”，指标值：</w:t>
      </w:r>
      <w:r>
        <w:rPr>
          <w:rFonts w:hint="eastAsia" w:ascii="Times New Roman" w:hAnsi="Times New Roman" w:cs="Times New Roman"/>
          <w:szCs w:val="28"/>
        </w:rPr>
        <w:t>显著提高人民群众对食品安全的自我保护意识和知晓率</w:t>
      </w:r>
      <w:r>
        <w:rPr>
          <w:rFonts w:ascii="Times New Roman" w:hAnsi="Times New Roman" w:cs="Times New Roman"/>
          <w:szCs w:val="28"/>
        </w:rPr>
        <w:t>，实际完成值：达成年度指标。本项目</w:t>
      </w:r>
      <w:r>
        <w:rPr>
          <w:rFonts w:hint="eastAsia" w:ascii="Times New Roman" w:hAnsi="Times New Roman" w:cs="Times New Roman"/>
          <w:szCs w:val="28"/>
        </w:rPr>
        <w:t>制定并实施食品安全抽检计划，及时按照自治区、市食品药品安全监督管理部门开展食品流通、餐饮以及食用农产品经营的食品安全监管工作，组织完成国家食品安全监督抽检和风险监测年度计划任务，就是为了提高食品安全质量，提升人民群众餐桌上的“幸福感”，通过日常监督检查，宣传教育等多个方面提高人民在群众对食品安全的自我保护意识和知晓率。</w:t>
      </w:r>
      <w:r>
        <w:rPr>
          <w:rFonts w:hint="eastAsia" w:ascii="Times New Roman" w:hAnsi="Times New Roman" w:cs="Times New Roman"/>
          <w:b w:val="0"/>
          <w:kern w:val="2"/>
          <w:szCs w:val="28"/>
        </w:rPr>
        <w:t>该指标满分8分，得分</w:t>
      </w:r>
      <w:r>
        <w:rPr>
          <w:rFonts w:hint="eastAsia" w:ascii="Times New Roman" w:hAnsi="Times New Roman" w:cs="Times New Roman"/>
          <w:b w:val="0"/>
          <w:kern w:val="2"/>
          <w:szCs w:val="28"/>
          <w:lang w:val="en-US" w:eastAsia="zh-CN"/>
        </w:rPr>
        <w:t>8</w:t>
      </w:r>
      <w:r>
        <w:rPr>
          <w:rFonts w:hint="eastAsia" w:ascii="Times New Roman" w:hAnsi="Times New Roman" w:cs="Times New Roman"/>
          <w:b w:val="0"/>
          <w:kern w:val="2"/>
          <w:szCs w:val="28"/>
        </w:rPr>
        <w:t>分。</w:t>
      </w:r>
    </w:p>
    <w:p>
      <w:pPr>
        <w:spacing w:line="360" w:lineRule="auto"/>
        <w:ind w:firstLine="560"/>
        <w:rPr>
          <w:rFonts w:hint="eastAsia" w:ascii="Times New Roman" w:hAnsi="Times New Roman" w:cs="Times New Roman"/>
          <w:b w:val="0"/>
          <w:kern w:val="2"/>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15</w:t>
      </w:r>
      <w:r>
        <w:rPr>
          <w:rFonts w:hint="default" w:ascii="Times New Roman" w:hAnsi="Times New Roman" w:cs="Times New Roman"/>
          <w:b/>
          <w:kern w:val="0"/>
          <w:szCs w:val="28"/>
        </w:rPr>
        <w:t>分</w:t>
      </w:r>
      <w:r>
        <w:rPr>
          <w:rFonts w:hint="eastAsia" w:ascii="Times New Roman" w:hAnsi="Times New Roman" w:cs="Times New Roman"/>
          <w:b/>
          <w:kern w:val="0"/>
          <w:szCs w:val="28"/>
          <w:lang w:eastAsia="zh-CN"/>
        </w:rPr>
        <w:t>。</w:t>
      </w:r>
    </w:p>
    <w:p>
      <w:pPr>
        <w:pStyle w:val="4"/>
        <w:ind w:firstLine="640"/>
        <w:rPr>
          <w:rFonts w:ascii="Times New Roman" w:hAnsi="Times New Roman" w:cs="Times New Roman"/>
        </w:rPr>
      </w:pPr>
      <w:bookmarkStart w:id="50" w:name="_Toc100784614"/>
      <w:r>
        <w:rPr>
          <w:rFonts w:ascii="Times New Roman" w:hAnsi="Times New Roman" w:cs="Times New Roman"/>
        </w:rPr>
        <w:t>2. 满意度指标完成情况分析</w:t>
      </w:r>
      <w:bookmarkEnd w:id="50"/>
    </w:p>
    <w:p>
      <w:pPr>
        <w:spacing w:line="360" w:lineRule="auto"/>
        <w:ind w:firstLine="560"/>
        <w:rPr>
          <w:rFonts w:ascii="Times New Roman" w:hAnsi="Times New Roman" w:cs="Times New Roman"/>
          <w:b/>
          <w:bCs/>
          <w:szCs w:val="28"/>
        </w:rPr>
      </w:pPr>
      <w:r>
        <w:rPr>
          <w:rFonts w:ascii="Times New Roman" w:hAnsi="Times New Roman" w:cs="Times New Roman"/>
          <w:b/>
          <w:bCs/>
          <w:szCs w:val="28"/>
        </w:rPr>
        <w:t>（1）满意度指标</w:t>
      </w:r>
    </w:p>
    <w:p>
      <w:pPr>
        <w:spacing w:line="360" w:lineRule="auto"/>
        <w:ind w:firstLine="560"/>
        <w:rPr>
          <w:rFonts w:ascii="Times New Roman" w:hAnsi="Times New Roman" w:cs="Times New Roman"/>
          <w:szCs w:val="28"/>
        </w:rPr>
      </w:pPr>
      <w:r>
        <w:rPr>
          <w:rFonts w:ascii="Times New Roman" w:hAnsi="Times New Roman" w:cs="Times New Roman"/>
          <w:b/>
          <w:bCs/>
          <w:szCs w:val="28"/>
        </w:rPr>
        <w:t>群众满意度：</w:t>
      </w:r>
      <w:r>
        <w:rPr>
          <w:rFonts w:ascii="Times New Roman" w:hAnsi="Times New Roman" w:cs="Times New Roman"/>
          <w:szCs w:val="28"/>
        </w:rPr>
        <w:t>评价指标“</w:t>
      </w:r>
      <w:r>
        <w:rPr>
          <w:rFonts w:hint="eastAsia" w:ascii="Times New Roman" w:hAnsi="Times New Roman" w:cs="Times New Roman"/>
          <w:szCs w:val="28"/>
        </w:rPr>
        <w:t>人民群众对食品安全监管工作的满意度</w:t>
      </w:r>
      <w:r>
        <w:rPr>
          <w:rFonts w:ascii="Times New Roman" w:hAnsi="Times New Roman" w:cs="Times New Roman"/>
          <w:szCs w:val="28"/>
        </w:rPr>
        <w:t>”，指标值：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%，实际完成值：</w:t>
      </w:r>
      <w:r>
        <w:rPr>
          <w:rFonts w:ascii="Times New Roman" w:hAnsi="Times New Roman" w:eastAsia="华文宋体" w:cs="Times New Roman"/>
          <w:szCs w:val="28"/>
        </w:rPr>
        <w:t>≥</w:t>
      </w:r>
      <w:r>
        <w:rPr>
          <w:rFonts w:hint="eastAsia" w:ascii="Times New Roman" w:hAnsi="Times New Roman" w:cs="Times New Roman"/>
          <w:szCs w:val="28"/>
        </w:rPr>
        <w:t>90</w:t>
      </w:r>
      <w:r>
        <w:rPr>
          <w:rFonts w:ascii="Times New Roman" w:hAnsi="Times New Roman" w:cs="Times New Roman"/>
          <w:szCs w:val="28"/>
        </w:rPr>
        <w:t>%。通过设置问卷调查的方式进行考评评价，共计调查样本总量为</w:t>
      </w:r>
      <w:r>
        <w:rPr>
          <w:rFonts w:hint="eastAsia" w:ascii="Times New Roman" w:hAnsi="Times New Roman" w:cs="Times New Roman"/>
          <w:szCs w:val="28"/>
        </w:rPr>
        <w:t>37</w:t>
      </w:r>
      <w:r>
        <w:rPr>
          <w:rFonts w:ascii="Times New Roman" w:hAnsi="Times New Roman" w:cs="Times New Roman"/>
          <w:szCs w:val="28"/>
        </w:rPr>
        <w:t>个样本，有效调查问卷</w:t>
      </w:r>
      <w:r>
        <w:rPr>
          <w:rFonts w:hint="eastAsia" w:ascii="Times New Roman" w:hAnsi="Times New Roman" w:cs="Times New Roman"/>
          <w:szCs w:val="28"/>
        </w:rPr>
        <w:t>37</w:t>
      </w:r>
      <w:r>
        <w:rPr>
          <w:rFonts w:ascii="Times New Roman" w:hAnsi="Times New Roman" w:cs="Times New Roman"/>
          <w:szCs w:val="28"/>
        </w:rPr>
        <w:t>份。其中，统计“</w:t>
      </w:r>
      <w:r>
        <w:rPr>
          <w:rFonts w:hint="eastAsia" w:ascii="Times New Roman" w:hAnsi="Times New Roman" w:cs="Times New Roman"/>
          <w:szCs w:val="28"/>
        </w:rPr>
        <w:t>人民群众对食品安全监管工作的满意度</w:t>
      </w:r>
      <w:r>
        <w:rPr>
          <w:rFonts w:ascii="Times New Roman" w:hAnsi="Times New Roman" w:cs="Times New Roman"/>
          <w:szCs w:val="28"/>
        </w:rPr>
        <w:t>”的平均值为</w:t>
      </w:r>
      <w:r>
        <w:rPr>
          <w:rFonts w:hint="eastAsia" w:ascii="Times New Roman" w:hAnsi="Times New Roman" w:cs="Times New Roman"/>
          <w:szCs w:val="28"/>
        </w:rPr>
        <w:t>90</w:t>
      </w:r>
      <w:r>
        <w:rPr>
          <w:rFonts w:ascii="Times New Roman" w:hAnsi="Times New Roman" w:cs="Times New Roman"/>
          <w:szCs w:val="28"/>
        </w:rPr>
        <w:t>%。故满意度指标得分为</w:t>
      </w:r>
      <w:r>
        <w:rPr>
          <w:rFonts w:hint="eastAsia" w:ascii="Times New Roman" w:hAnsi="Times New Roman" w:cs="Times New Roman"/>
          <w:szCs w:val="28"/>
          <w:lang w:val="en-US" w:eastAsia="zh-CN"/>
        </w:rPr>
        <w:t>5</w:t>
      </w:r>
      <w:r>
        <w:rPr>
          <w:rFonts w:ascii="Times New Roman" w:hAnsi="Times New Roman" w:cs="Times New Roman"/>
          <w:szCs w:val="28"/>
        </w:rPr>
        <w:t>分。</w:t>
      </w:r>
    </w:p>
    <w:p>
      <w:pPr>
        <w:autoSpaceDE w:val="0"/>
        <w:spacing w:line="600" w:lineRule="exact"/>
        <w:ind w:firstLine="560"/>
        <w:rPr>
          <w:rFonts w:ascii="Times New Roman" w:hAnsi="Times New Roman" w:cs="Times New Roman"/>
          <w:b/>
          <w:kern w:val="0"/>
          <w:szCs w:val="28"/>
        </w:rPr>
      </w:pPr>
      <w:r>
        <w:rPr>
          <w:rFonts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ascii="Times New Roman" w:hAnsi="Times New Roman" w:cs="Times New Roman"/>
          <w:b/>
          <w:kern w:val="0"/>
          <w:szCs w:val="28"/>
        </w:rPr>
        <w:t>分。</w:t>
      </w:r>
    </w:p>
    <w:p>
      <w:pPr>
        <w:autoSpaceDE w:val="0"/>
        <w:spacing w:line="600" w:lineRule="exact"/>
        <w:ind w:firstLine="560"/>
        <w:rPr>
          <w:rFonts w:ascii="Times New Roman" w:hAnsi="Times New Roman" w:cs="Times New Roman"/>
          <w:b/>
          <w:kern w:val="0"/>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1" w:name="_Toc67911616"/>
      <w:bookmarkStart w:id="52" w:name="_Toc100784615"/>
      <w:r>
        <w:rPr>
          <w:rFonts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ascii="Times New Roman" w:hAnsi="Times New Roman" w:cs="Times New Roman"/>
          <w:szCs w:val="28"/>
          <w:highlight w:val="none"/>
        </w:rPr>
      </w:pPr>
      <w:r>
        <w:rPr>
          <w:rFonts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100</w:t>
      </w:r>
      <w:r>
        <w:rPr>
          <w:rFonts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100</w:t>
      </w:r>
      <w:r>
        <w:rPr>
          <w:rFonts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0</w:t>
      </w:r>
      <w:r>
        <w:rPr>
          <w:rFonts w:ascii="Times New Roman" w:hAnsi="Times New Roman" w:cs="Times New Roman"/>
          <w:szCs w:val="28"/>
          <w:highlight w:val="none"/>
        </w:rPr>
        <w:t>%，小于20%。因此，本项目较好地完成了年度总体目标，财政资金使用效益和效率较高。</w:t>
      </w:r>
    </w:p>
    <w:p>
      <w:pPr>
        <w:pStyle w:val="2"/>
        <w:spacing w:before="0" w:after="0" w:line="360" w:lineRule="auto"/>
        <w:ind w:firstLine="0" w:firstLineChars="0"/>
        <w:jc w:val="left"/>
        <w:rPr>
          <w:rFonts w:ascii="Times New Roman" w:hAnsi="Times New Roman" w:eastAsia="仿宋" w:cs="Times New Roman"/>
          <w:sz w:val="36"/>
          <w:szCs w:val="36"/>
          <w:lang w:bidi="en-US"/>
        </w:rPr>
      </w:pPr>
      <w:bookmarkStart w:id="53" w:name="_Toc100784616"/>
      <w:bookmarkStart w:id="54" w:name="_Toc67911617"/>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六、主要经验及做法、存在的问题及原因分析</w:t>
      </w:r>
      <w:bookmarkEnd w:id="53"/>
      <w:bookmarkEnd w:id="54"/>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5" w:name="_Toc67911618"/>
      <w:bookmarkStart w:id="56" w:name="_Toc100784617"/>
      <w:r>
        <w:rPr>
          <w:rFonts w:ascii="Times New Roman" w:hAnsi="Times New Roman" w:eastAsia="仿宋" w:cs="Times New Roman"/>
          <w:sz w:val="32"/>
          <w:szCs w:val="32"/>
          <w:lang w:bidi="en-US"/>
        </w:rPr>
        <w:t>（一）主要经验及做法</w:t>
      </w:r>
      <w:bookmarkEnd w:id="55"/>
      <w:bookmarkEnd w:id="56"/>
    </w:p>
    <w:p>
      <w:pPr>
        <w:spacing w:line="360" w:lineRule="auto"/>
        <w:ind w:firstLine="560"/>
        <w:rPr>
          <w:rFonts w:ascii="Times New Roman" w:hAnsi="Times New Roman" w:cs="Times New Roman"/>
          <w:szCs w:val="28"/>
        </w:rPr>
      </w:pPr>
      <w:r>
        <w:rPr>
          <w:rFonts w:ascii="Times New Roman" w:hAnsi="Times New Roman" w:cs="Times New Roman"/>
          <w:szCs w:val="28"/>
        </w:rPr>
        <w:t>1</w:t>
      </w:r>
      <w:r>
        <w:rPr>
          <w:rFonts w:ascii="Times New Roman" w:hAnsi="Times New Roman" w:eastAsia="仿宋" w:cs="Times New Roman"/>
          <w:b/>
          <w:bCs/>
          <w:kern w:val="44"/>
          <w:sz w:val="32"/>
          <w:szCs w:val="32"/>
          <w:lang w:bidi="en-US"/>
        </w:rPr>
        <w:t>.</w:t>
      </w:r>
      <w:r>
        <w:rPr>
          <w:rFonts w:hint="eastAsia" w:ascii="Times New Roman" w:hAnsi="Times New Roman" w:eastAsia="仿宋" w:cs="Times New Roman"/>
          <w:b/>
          <w:bCs/>
          <w:kern w:val="44"/>
          <w:sz w:val="32"/>
          <w:szCs w:val="32"/>
          <w:lang w:bidi="en-US"/>
        </w:rPr>
        <w:t xml:space="preserve"> </w:t>
      </w:r>
      <w:r>
        <w:rPr>
          <w:rFonts w:hint="eastAsia" w:ascii="Times New Roman" w:hAnsi="Times New Roman" w:cs="Times New Roman"/>
          <w:szCs w:val="28"/>
        </w:rPr>
        <w:t>严格按年初预算执行，对每个项目进行跟踪问效，对执行中存在的问题及时进行改进，使专项经费得到专用，让有限的经费发挥较大的效益。</w:t>
      </w:r>
    </w:p>
    <w:p>
      <w:pPr>
        <w:spacing w:line="360" w:lineRule="auto"/>
        <w:ind w:firstLine="560"/>
        <w:rPr>
          <w:rFonts w:ascii="Times New Roman" w:hAnsi="Times New Roman" w:cs="Times New Roman"/>
          <w:szCs w:val="28"/>
        </w:rPr>
      </w:pPr>
      <w:r>
        <w:rPr>
          <w:rFonts w:hint="eastAsia" w:ascii="Times New Roman" w:hAnsi="Times New Roman" w:cs="Times New Roman"/>
          <w:szCs w:val="28"/>
        </w:rPr>
        <w:t>2.财务人员与业务人员交流沟通要及时高效，密切配合好每个节点的工作。</w:t>
      </w:r>
    </w:p>
    <w:p>
      <w:pPr>
        <w:pStyle w:val="2"/>
        <w:spacing w:before="0" w:after="0" w:line="360" w:lineRule="auto"/>
        <w:ind w:firstLine="0" w:firstLineChars="0"/>
        <w:jc w:val="left"/>
        <w:rPr>
          <w:rFonts w:ascii="Times New Roman" w:hAnsi="Times New Roman" w:eastAsia="仿宋" w:cs="Times New Roman"/>
          <w:sz w:val="32"/>
          <w:szCs w:val="32"/>
          <w:lang w:bidi="en-US"/>
        </w:rPr>
      </w:pPr>
      <w:bookmarkStart w:id="57" w:name="_Toc100784618"/>
      <w:r>
        <w:rPr>
          <w:rFonts w:ascii="Times New Roman" w:hAnsi="Times New Roman" w:eastAsia="仿宋" w:cs="Times New Roman"/>
          <w:sz w:val="32"/>
          <w:szCs w:val="32"/>
          <w:lang w:bidi="en-US"/>
        </w:rPr>
        <w:t>（二）存在的问题及原因分析</w:t>
      </w:r>
      <w:bookmarkEnd w:id="57"/>
    </w:p>
    <w:p>
      <w:pPr>
        <w:spacing w:line="360" w:lineRule="auto"/>
        <w:ind w:firstLine="560"/>
        <w:rPr>
          <w:rFonts w:ascii="Times New Roman" w:hAnsi="Times New Roman" w:cs="Times New Roman"/>
          <w:bCs/>
          <w:szCs w:val="28"/>
        </w:rPr>
      </w:pPr>
      <w:r>
        <w:rPr>
          <w:rFonts w:ascii="Times New Roman" w:hAnsi="Times New Roman" w:cs="Times New Roman"/>
          <w:bCs/>
          <w:szCs w:val="28"/>
        </w:rPr>
        <w:t>1.</w:t>
      </w:r>
      <w:bookmarkStart w:id="58" w:name="_Toc67911619"/>
      <w:bookmarkStart w:id="59" w:name="_Toc100784619"/>
      <w:r>
        <w:rPr>
          <w:rFonts w:hint="eastAsia" w:ascii="Times New Roman" w:hAnsi="Times New Roman" w:cs="Times New Roman"/>
          <w:bCs/>
          <w:szCs w:val="28"/>
        </w:rPr>
        <w:t xml:space="preserve"> 项目预算是在年底上报，而项目执行时会有很多文件任务新下达，不可避免的出现预算跟实际有偏差这种情况，只能依据文件精神、过往经验最大限度预测，做好年初项目预算。</w:t>
      </w:r>
    </w:p>
    <w:p>
      <w:pPr>
        <w:spacing w:line="360" w:lineRule="auto"/>
        <w:ind w:firstLine="560"/>
        <w:rPr>
          <w:rFonts w:ascii="Times New Roman" w:hAnsi="Times New Roman" w:cs="Times New Roman"/>
          <w:bCs/>
          <w:szCs w:val="28"/>
        </w:rPr>
      </w:pPr>
      <w:r>
        <w:rPr>
          <w:rFonts w:hint="eastAsia" w:ascii="Times New Roman" w:hAnsi="Times New Roman" w:cs="Times New Roman"/>
          <w:bCs/>
          <w:szCs w:val="28"/>
        </w:rPr>
        <w:t>2.评价范围未能做到全覆盖。基层财政绩效评价的内容，既应包括各类收入、支出，还应包括显性及隐性的政府债务。支出评价不能覆盖所有项目，特别是对部分政府投资大型负债建设项目、需要增支但受财力限制的发展项目，评价工作跟进不足。</w:t>
      </w:r>
    </w:p>
    <w:p>
      <w:pPr>
        <w:spacing w:line="360" w:lineRule="auto"/>
        <w:ind w:firstLine="560"/>
        <w:rPr>
          <w:rFonts w:hint="eastAsia" w:ascii="Times New Roman" w:hAnsi="Times New Roman" w:cs="Times New Roman"/>
          <w:bCs/>
          <w:szCs w:val="28"/>
        </w:rPr>
      </w:pPr>
      <w:r>
        <w:rPr>
          <w:rFonts w:hint="eastAsia" w:ascii="Times New Roman" w:hAnsi="Times New Roman" w:cs="Times New Roman"/>
          <w:bCs/>
          <w:szCs w:val="28"/>
        </w:rPr>
        <w:t>3. 评价结果应用不到位。绩效工作贯穿整个项目始终，几乎每个月份都有绩效工作下达。从线上培训到线下培训，线下提交报告，又是线上终审核，又到绩效真实性核查，绩效工作占到平日工作量的很大篇幅，尤其是对于基层项目多的单位而言。如此重要的绩效工作在但是很多人不能深刻理解财政绩效工作的作用和价值，无法对财政管理工作中存在的问题进行及时纠改，很多原因是评价结果应用不到位，不能深刻认识绩效评价结果的意义。</w:t>
      </w:r>
    </w:p>
    <w:p>
      <w:pPr>
        <w:spacing w:line="360" w:lineRule="auto"/>
        <w:ind w:firstLine="560"/>
        <w:rPr>
          <w:rFonts w:hint="eastAsia" w:ascii="Times New Roman" w:hAnsi="Times New Roman" w:cs="Times New Roman"/>
          <w:bCs/>
          <w:szCs w:val="28"/>
        </w:rPr>
      </w:pPr>
    </w:p>
    <w:p>
      <w:pPr>
        <w:pStyle w:val="2"/>
        <w:spacing w:before="0" w:after="0" w:line="360" w:lineRule="auto"/>
        <w:ind w:firstLine="0" w:firstLineChars="0"/>
        <w:jc w:val="left"/>
        <w:rPr>
          <w:rFonts w:ascii="Times New Roman" w:hAnsi="Times New Roman" w:eastAsia="仿宋" w:cs="Times New Roman"/>
          <w:sz w:val="36"/>
          <w:szCs w:val="36"/>
          <w:lang w:bidi="en-US"/>
        </w:rPr>
      </w:pPr>
      <w:r>
        <w:rPr>
          <w:rFonts w:ascii="Times New Roman" w:hAnsi="Times New Roman" w:eastAsia="仿宋" w:cs="Times New Roman"/>
          <w:sz w:val="36"/>
          <w:szCs w:val="36"/>
          <w:lang w:bidi="en-US"/>
        </w:rPr>
        <w:t>七、其他需要说明的问题</w:t>
      </w:r>
      <w:bookmarkEnd w:id="58"/>
      <w:bookmarkEnd w:id="59"/>
    </w:p>
    <w:p>
      <w:pPr>
        <w:spacing w:line="360" w:lineRule="auto"/>
        <w:ind w:firstLine="560"/>
        <w:rPr>
          <w:rFonts w:ascii="Times New Roman" w:hAnsi="Times New Roman" w:cs="Times New Roman"/>
          <w:szCs w:val="28"/>
        </w:rPr>
      </w:pPr>
      <w:r>
        <w:rPr>
          <w:rFonts w:ascii="Times New Roman" w:hAnsi="Times New Roman" w:cs="Times New Roman"/>
          <w:szCs w:val="28"/>
        </w:rPr>
        <w:t>1.项目支出政策和路径设计科学，符合实际需要；</w:t>
      </w:r>
    </w:p>
    <w:p>
      <w:pPr>
        <w:spacing w:line="360" w:lineRule="auto"/>
        <w:ind w:firstLine="560"/>
        <w:rPr>
          <w:rFonts w:ascii="Times New Roman" w:hAnsi="Times New Roman" w:cs="Times New Roman"/>
          <w:szCs w:val="28"/>
        </w:rPr>
      </w:pPr>
      <w:r>
        <w:rPr>
          <w:rFonts w:ascii="Times New Roman" w:hAnsi="Times New Roman" w:cs="Times New Roman"/>
          <w:szCs w:val="28"/>
        </w:rPr>
        <w:t>2.项目安排准确，未发现背离项目立项初衷的情况；</w:t>
      </w:r>
    </w:p>
    <w:p>
      <w:pPr>
        <w:spacing w:line="360" w:lineRule="auto"/>
        <w:ind w:firstLine="560"/>
        <w:rPr>
          <w:rFonts w:ascii="Times New Roman" w:hAnsi="Times New Roman" w:cs="Times New Roman"/>
          <w:szCs w:val="28"/>
        </w:rPr>
      </w:pPr>
      <w:r>
        <w:rPr>
          <w:rFonts w:ascii="Times New Roman" w:hAnsi="Times New Roman" w:cs="Times New Roman"/>
          <w:szCs w:val="28"/>
        </w:rPr>
        <w:t>3.项目的申报、审核机制完善；</w:t>
      </w:r>
    </w:p>
    <w:p>
      <w:pPr>
        <w:spacing w:line="360" w:lineRule="auto"/>
        <w:ind w:firstLine="560"/>
        <w:rPr>
          <w:rFonts w:ascii="Times New Roman" w:hAnsi="Times New Roman" w:cs="Times New Roman"/>
          <w:szCs w:val="28"/>
        </w:rPr>
      </w:pPr>
      <w:r>
        <w:rPr>
          <w:rFonts w:ascii="Times New Roman" w:hAnsi="Times New Roman" w:cs="Times New Roman"/>
          <w:szCs w:val="28"/>
        </w:rPr>
        <w:t>4.未发现虚假行为和骗取财政资金的问题。</w:t>
      </w:r>
    </w:p>
    <w:p>
      <w:pPr>
        <w:pStyle w:val="2"/>
        <w:ind w:firstLine="0" w:firstLineChars="0"/>
        <w:jc w:val="left"/>
        <w:rPr>
          <w:rFonts w:ascii="Times New Roman" w:hAnsi="Times New Roman" w:eastAsia="仿宋" w:cs="Times New Roman"/>
          <w:sz w:val="36"/>
          <w:szCs w:val="36"/>
          <w:lang w:bidi="en-US"/>
        </w:rPr>
      </w:pPr>
      <w:bookmarkStart w:id="60" w:name="_Toc100784620"/>
      <w:bookmarkStart w:id="61" w:name="_Toc67911620"/>
      <w:r>
        <w:rPr>
          <w:rFonts w:ascii="Times New Roman" w:hAnsi="Times New Roman" w:eastAsia="仿宋" w:cs="Times New Roman"/>
          <w:sz w:val="36"/>
          <w:szCs w:val="36"/>
          <w:lang w:bidi="en-US"/>
        </w:rPr>
        <w:t>八、有关建议</w:t>
      </w:r>
      <w:bookmarkEnd w:id="60"/>
      <w:bookmarkEnd w:id="61"/>
    </w:p>
    <w:p>
      <w:pPr>
        <w:spacing w:line="360" w:lineRule="auto"/>
        <w:ind w:firstLine="560"/>
        <w:rPr>
          <w:rFonts w:ascii="Times New Roman" w:hAnsi="Times New Roman" w:cs="Times New Roman"/>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13</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ascii="Times New Roman" w:hAnsi="Times New Roman" w:eastAsia="仿宋_GB2312" w:cs="Times New Roman"/>
            <w:sz w:val="21"/>
            <w:szCs w:val="21"/>
          </w:rPr>
          <w:fldChar w:fldCharType="begin"/>
        </w:r>
        <w:r>
          <w:rPr>
            <w:rFonts w:ascii="Times New Roman" w:hAnsi="Times New Roman" w:eastAsia="仿宋_GB2312" w:cs="Times New Roman"/>
            <w:sz w:val="21"/>
            <w:szCs w:val="21"/>
          </w:rPr>
          <w:instrText xml:space="preserve">PAGE   \* MERGEFORMAT</w:instrText>
        </w:r>
        <w:r>
          <w:rPr>
            <w:rFonts w:ascii="Times New Roman" w:hAnsi="Times New Roman" w:eastAsia="仿宋_GB2312" w:cs="Times New Roman"/>
            <w:sz w:val="21"/>
            <w:szCs w:val="21"/>
          </w:rPr>
          <w:fldChar w:fldCharType="separate"/>
        </w:r>
        <w:r>
          <w:rPr>
            <w:rFonts w:ascii="Times New Roman" w:hAnsi="Times New Roman" w:eastAsia="仿宋_GB2312" w:cs="Times New Roman"/>
            <w:sz w:val="21"/>
            <w:szCs w:val="21"/>
            <w:lang w:val="zh-CN"/>
          </w:rPr>
          <w:t>28</w:t>
        </w:r>
        <w:r>
          <w:rPr>
            <w:rFonts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Y3ZmQzMDYzMTJhMWRmMmRjZmQzZTE0Yjk2YmQ4ZGQifQ=="/>
  </w:docVars>
  <w:rsids>
    <w:rsidRoot w:val="00A43A0A"/>
    <w:rsid w:val="00031A7F"/>
    <w:rsid w:val="00042151"/>
    <w:rsid w:val="000438A0"/>
    <w:rsid w:val="000627E6"/>
    <w:rsid w:val="0007002C"/>
    <w:rsid w:val="00071C0F"/>
    <w:rsid w:val="00073563"/>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4468"/>
    <w:rsid w:val="001A79B9"/>
    <w:rsid w:val="001B0049"/>
    <w:rsid w:val="001B737B"/>
    <w:rsid w:val="001C50BA"/>
    <w:rsid w:val="001D66B5"/>
    <w:rsid w:val="001E754D"/>
    <w:rsid w:val="001E7E9F"/>
    <w:rsid w:val="00201C55"/>
    <w:rsid w:val="00213964"/>
    <w:rsid w:val="00220DC6"/>
    <w:rsid w:val="0022245F"/>
    <w:rsid w:val="0022294C"/>
    <w:rsid w:val="00225A82"/>
    <w:rsid w:val="00242EE8"/>
    <w:rsid w:val="00247354"/>
    <w:rsid w:val="00250131"/>
    <w:rsid w:val="00261F2F"/>
    <w:rsid w:val="00262B75"/>
    <w:rsid w:val="002810AA"/>
    <w:rsid w:val="002A5CBF"/>
    <w:rsid w:val="002B7C09"/>
    <w:rsid w:val="002C3101"/>
    <w:rsid w:val="002C3E94"/>
    <w:rsid w:val="002E1E67"/>
    <w:rsid w:val="002E608B"/>
    <w:rsid w:val="00302E15"/>
    <w:rsid w:val="003108DF"/>
    <w:rsid w:val="0032183D"/>
    <w:rsid w:val="0032329D"/>
    <w:rsid w:val="00332C71"/>
    <w:rsid w:val="00333EA5"/>
    <w:rsid w:val="003364ED"/>
    <w:rsid w:val="00340CED"/>
    <w:rsid w:val="00343485"/>
    <w:rsid w:val="00350839"/>
    <w:rsid w:val="003766AB"/>
    <w:rsid w:val="00377BA7"/>
    <w:rsid w:val="003A5A15"/>
    <w:rsid w:val="003C24DB"/>
    <w:rsid w:val="003C4BD9"/>
    <w:rsid w:val="003D74DE"/>
    <w:rsid w:val="003D7CF9"/>
    <w:rsid w:val="003E0888"/>
    <w:rsid w:val="00404C10"/>
    <w:rsid w:val="004249EE"/>
    <w:rsid w:val="00425C1F"/>
    <w:rsid w:val="00430311"/>
    <w:rsid w:val="00437C39"/>
    <w:rsid w:val="004925F6"/>
    <w:rsid w:val="004957B3"/>
    <w:rsid w:val="0049693F"/>
    <w:rsid w:val="004A432D"/>
    <w:rsid w:val="004B12BE"/>
    <w:rsid w:val="004B5A40"/>
    <w:rsid w:val="004B66AD"/>
    <w:rsid w:val="004C3357"/>
    <w:rsid w:val="004D0110"/>
    <w:rsid w:val="004D4759"/>
    <w:rsid w:val="004E0DF3"/>
    <w:rsid w:val="004F1590"/>
    <w:rsid w:val="004F17C9"/>
    <w:rsid w:val="004F1A24"/>
    <w:rsid w:val="004F66E9"/>
    <w:rsid w:val="005345BF"/>
    <w:rsid w:val="00534DD6"/>
    <w:rsid w:val="005417D4"/>
    <w:rsid w:val="0054442E"/>
    <w:rsid w:val="00553F30"/>
    <w:rsid w:val="005541CE"/>
    <w:rsid w:val="00563798"/>
    <w:rsid w:val="00566083"/>
    <w:rsid w:val="0056794C"/>
    <w:rsid w:val="0057395D"/>
    <w:rsid w:val="005764CD"/>
    <w:rsid w:val="005779FD"/>
    <w:rsid w:val="0058379D"/>
    <w:rsid w:val="00592653"/>
    <w:rsid w:val="00593474"/>
    <w:rsid w:val="005A12D0"/>
    <w:rsid w:val="005A2254"/>
    <w:rsid w:val="005A5ABF"/>
    <w:rsid w:val="005A5E3B"/>
    <w:rsid w:val="005B5CDB"/>
    <w:rsid w:val="005B7A28"/>
    <w:rsid w:val="005C353E"/>
    <w:rsid w:val="005C6EBA"/>
    <w:rsid w:val="005C7711"/>
    <w:rsid w:val="005D2F48"/>
    <w:rsid w:val="005D4D5B"/>
    <w:rsid w:val="005D78C0"/>
    <w:rsid w:val="005E2098"/>
    <w:rsid w:val="005F226E"/>
    <w:rsid w:val="005F273F"/>
    <w:rsid w:val="005F3A17"/>
    <w:rsid w:val="00604BA5"/>
    <w:rsid w:val="00607D5B"/>
    <w:rsid w:val="00611B95"/>
    <w:rsid w:val="00614CEC"/>
    <w:rsid w:val="00627F97"/>
    <w:rsid w:val="006442B7"/>
    <w:rsid w:val="0065079B"/>
    <w:rsid w:val="00655120"/>
    <w:rsid w:val="00656DB7"/>
    <w:rsid w:val="00662C67"/>
    <w:rsid w:val="006771F3"/>
    <w:rsid w:val="00697752"/>
    <w:rsid w:val="006B60FE"/>
    <w:rsid w:val="006C40AE"/>
    <w:rsid w:val="006D6E96"/>
    <w:rsid w:val="006E6431"/>
    <w:rsid w:val="006E6F34"/>
    <w:rsid w:val="006F3315"/>
    <w:rsid w:val="007027A1"/>
    <w:rsid w:val="00705854"/>
    <w:rsid w:val="00722A72"/>
    <w:rsid w:val="0073210F"/>
    <w:rsid w:val="00733402"/>
    <w:rsid w:val="0073417E"/>
    <w:rsid w:val="00743F96"/>
    <w:rsid w:val="0076734C"/>
    <w:rsid w:val="007728F6"/>
    <w:rsid w:val="00783118"/>
    <w:rsid w:val="007A3768"/>
    <w:rsid w:val="007B32C3"/>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B46C2"/>
    <w:rsid w:val="008C4803"/>
    <w:rsid w:val="008D387D"/>
    <w:rsid w:val="008D3FFC"/>
    <w:rsid w:val="008D6D96"/>
    <w:rsid w:val="009068E0"/>
    <w:rsid w:val="00907B15"/>
    <w:rsid w:val="00917782"/>
    <w:rsid w:val="00917C57"/>
    <w:rsid w:val="009214DF"/>
    <w:rsid w:val="00923604"/>
    <w:rsid w:val="009258BD"/>
    <w:rsid w:val="009266A3"/>
    <w:rsid w:val="00933961"/>
    <w:rsid w:val="009546FE"/>
    <w:rsid w:val="0095473C"/>
    <w:rsid w:val="00954936"/>
    <w:rsid w:val="00963948"/>
    <w:rsid w:val="009654C7"/>
    <w:rsid w:val="00981879"/>
    <w:rsid w:val="0098656D"/>
    <w:rsid w:val="00995079"/>
    <w:rsid w:val="00996B5B"/>
    <w:rsid w:val="009A33B6"/>
    <w:rsid w:val="009D4C5C"/>
    <w:rsid w:val="009E2DF1"/>
    <w:rsid w:val="009F55B0"/>
    <w:rsid w:val="00A00443"/>
    <w:rsid w:val="00A106CE"/>
    <w:rsid w:val="00A2064E"/>
    <w:rsid w:val="00A22963"/>
    <w:rsid w:val="00A425B1"/>
    <w:rsid w:val="00A43A0A"/>
    <w:rsid w:val="00A52E6C"/>
    <w:rsid w:val="00A52E72"/>
    <w:rsid w:val="00A6159B"/>
    <w:rsid w:val="00A657F2"/>
    <w:rsid w:val="00A92F9F"/>
    <w:rsid w:val="00AA4C15"/>
    <w:rsid w:val="00AB201E"/>
    <w:rsid w:val="00AB3D86"/>
    <w:rsid w:val="00AC29A9"/>
    <w:rsid w:val="00AC32DE"/>
    <w:rsid w:val="00AD5430"/>
    <w:rsid w:val="00AE1DCD"/>
    <w:rsid w:val="00AE6C31"/>
    <w:rsid w:val="00B22F6F"/>
    <w:rsid w:val="00B4167E"/>
    <w:rsid w:val="00B72218"/>
    <w:rsid w:val="00B76B2B"/>
    <w:rsid w:val="00B87EA2"/>
    <w:rsid w:val="00B90BA4"/>
    <w:rsid w:val="00B962E0"/>
    <w:rsid w:val="00BA0A35"/>
    <w:rsid w:val="00BA10B1"/>
    <w:rsid w:val="00BA13B7"/>
    <w:rsid w:val="00BA65B8"/>
    <w:rsid w:val="00BA76B5"/>
    <w:rsid w:val="00BC5C63"/>
    <w:rsid w:val="00BF1766"/>
    <w:rsid w:val="00C00DA2"/>
    <w:rsid w:val="00C10C79"/>
    <w:rsid w:val="00C20C51"/>
    <w:rsid w:val="00C31806"/>
    <w:rsid w:val="00C409B9"/>
    <w:rsid w:val="00C634EC"/>
    <w:rsid w:val="00C65B9B"/>
    <w:rsid w:val="00C66545"/>
    <w:rsid w:val="00C66D99"/>
    <w:rsid w:val="00C8191C"/>
    <w:rsid w:val="00C83EB0"/>
    <w:rsid w:val="00C927D9"/>
    <w:rsid w:val="00C967A3"/>
    <w:rsid w:val="00CA74C5"/>
    <w:rsid w:val="00CB3DFC"/>
    <w:rsid w:val="00CB6D38"/>
    <w:rsid w:val="00CE6337"/>
    <w:rsid w:val="00CF640C"/>
    <w:rsid w:val="00D04E2D"/>
    <w:rsid w:val="00D152B1"/>
    <w:rsid w:val="00D21EBF"/>
    <w:rsid w:val="00D23DCB"/>
    <w:rsid w:val="00D3320C"/>
    <w:rsid w:val="00D4562E"/>
    <w:rsid w:val="00D84293"/>
    <w:rsid w:val="00D9228E"/>
    <w:rsid w:val="00DA4BA7"/>
    <w:rsid w:val="00DB316E"/>
    <w:rsid w:val="00DC1EA8"/>
    <w:rsid w:val="00DC5F57"/>
    <w:rsid w:val="00DD4176"/>
    <w:rsid w:val="00DD54BF"/>
    <w:rsid w:val="00DF643F"/>
    <w:rsid w:val="00E00B28"/>
    <w:rsid w:val="00E014DB"/>
    <w:rsid w:val="00E04EC2"/>
    <w:rsid w:val="00E14FE5"/>
    <w:rsid w:val="00E24ACA"/>
    <w:rsid w:val="00E26770"/>
    <w:rsid w:val="00E30B1D"/>
    <w:rsid w:val="00E526C7"/>
    <w:rsid w:val="00E73F9C"/>
    <w:rsid w:val="00E75E83"/>
    <w:rsid w:val="00E87BB0"/>
    <w:rsid w:val="00EA63EF"/>
    <w:rsid w:val="00EA7E72"/>
    <w:rsid w:val="00EB0442"/>
    <w:rsid w:val="00EC5F03"/>
    <w:rsid w:val="00ED4525"/>
    <w:rsid w:val="00EE5F67"/>
    <w:rsid w:val="00EF3B51"/>
    <w:rsid w:val="00EF60F3"/>
    <w:rsid w:val="00F06D23"/>
    <w:rsid w:val="00F36E98"/>
    <w:rsid w:val="00F52C6D"/>
    <w:rsid w:val="00F55451"/>
    <w:rsid w:val="00F73710"/>
    <w:rsid w:val="00F872E7"/>
    <w:rsid w:val="00FA4373"/>
    <w:rsid w:val="00FA4EB8"/>
    <w:rsid w:val="00FB09C6"/>
    <w:rsid w:val="00FB2BBD"/>
    <w:rsid w:val="00FD7A36"/>
    <w:rsid w:val="00FD7C5F"/>
    <w:rsid w:val="00FE193C"/>
    <w:rsid w:val="00FE7DCA"/>
    <w:rsid w:val="00FF0452"/>
    <w:rsid w:val="09F124CB"/>
    <w:rsid w:val="0B20378F"/>
    <w:rsid w:val="119A3908"/>
    <w:rsid w:val="128679E9"/>
    <w:rsid w:val="15D50CCE"/>
    <w:rsid w:val="1E2521B6"/>
    <w:rsid w:val="21755D2F"/>
    <w:rsid w:val="2EF71D9D"/>
    <w:rsid w:val="2FCC22BF"/>
    <w:rsid w:val="34C82294"/>
    <w:rsid w:val="373279B8"/>
    <w:rsid w:val="38D679E9"/>
    <w:rsid w:val="4A5C08B9"/>
    <w:rsid w:val="4CF9325C"/>
    <w:rsid w:val="4F134CD9"/>
    <w:rsid w:val="50BF1379"/>
    <w:rsid w:val="52147D6D"/>
    <w:rsid w:val="55BF25B3"/>
    <w:rsid w:val="5A144EA7"/>
    <w:rsid w:val="5BBB3658"/>
    <w:rsid w:val="5EE329F1"/>
    <w:rsid w:val="5EF552A7"/>
    <w:rsid w:val="6EB42CE1"/>
    <w:rsid w:val="738F5872"/>
    <w:rsid w:val="75377F70"/>
    <w:rsid w:val="7A817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uiPriority w:val="99"/>
    <w:rPr>
      <w:b/>
      <w:bCs/>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uiPriority w:val="99"/>
    <w:rPr>
      <w:color w:val="0563C1" w:themeColor="hyperlink"/>
      <w:u w:val="single"/>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39045-E00D-4CB7-B9D9-2C87873DCA0F}">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11081</Words>
  <Characters>11668</Characters>
  <Lines>116</Lines>
  <Paragraphs>32</Paragraphs>
  <TotalTime>2</TotalTime>
  <ScaleCrop>false</ScaleCrop>
  <LinksUpToDate>false</LinksUpToDate>
  <CharactersWithSpaces>13820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杨楠</cp:lastModifiedBy>
  <cp:lastPrinted>2023-04-11T02:57:00Z</cp:lastPrinted>
  <dcterms:modified xsi:type="dcterms:W3CDTF">2023-05-17T03:52:06Z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C72CFD68021D41D8BC351CC4CC9D8637_12</vt:lpwstr>
  </property>
</Properties>
</file>