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highlight w:val="none"/>
          <w:lang w:bidi="en-US"/>
        </w:rPr>
      </w:pPr>
    </w:p>
    <w:p>
      <w:pPr>
        <w:spacing w:line="480" w:lineRule="auto"/>
        <w:ind w:firstLine="0" w:firstLineChars="0"/>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before="120" w:after="120" w:line="480" w:lineRule="auto"/>
        <w:ind w:firstLine="0" w:firstLineChars="0"/>
        <w:jc w:val="center"/>
        <w:rPr>
          <w:rFonts w:hint="default" w:ascii="Times New Roman" w:hAnsi="Times New Roman" w:cs="Times New Roman"/>
          <w:b/>
          <w:sz w:val="44"/>
          <w:szCs w:val="44"/>
          <w:highlight w:val="none"/>
        </w:rPr>
      </w:pPr>
      <w:r>
        <w:rPr>
          <w:rFonts w:hint="default" w:ascii="Times New Roman" w:hAnsi="Times New Roman" w:cs="Times New Roman"/>
          <w:b/>
          <w:sz w:val="44"/>
          <w:szCs w:val="44"/>
          <w:highlight w:val="none"/>
        </w:rPr>
        <w:t>财政项目支出绩效</w:t>
      </w:r>
      <w:bookmarkStart w:id="62" w:name="_GoBack"/>
      <w:bookmarkEnd w:id="62"/>
      <w:r>
        <w:rPr>
          <w:rFonts w:hint="default" w:ascii="Times New Roman" w:hAnsi="Times New Roman" w:cs="Times New Roman"/>
          <w:b/>
          <w:sz w:val="44"/>
          <w:szCs w:val="44"/>
          <w:highlight w:val="none"/>
        </w:rPr>
        <w:t>评价报告</w:t>
      </w: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cs="Times New Roman"/>
          <w:kern w:val="0"/>
          <w:sz w:val="30"/>
          <w:szCs w:val="30"/>
          <w:highlight w:val="none"/>
          <w:lang w:bidi="en-US"/>
        </w:rPr>
      </w:pPr>
    </w:p>
    <w:p>
      <w:pPr>
        <w:spacing w:line="480" w:lineRule="auto"/>
        <w:ind w:firstLine="1411" w:firstLineChars="441"/>
        <w:jc w:val="left"/>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项目名称：乌财科教【2021】102号关于提前下达2022年新疆西藏等地区教育特殊补助资金农村学前三年免费教育保障机制经费</w:t>
      </w:r>
    </w:p>
    <w:p>
      <w:pPr>
        <w:spacing w:line="480" w:lineRule="auto"/>
        <w:ind w:left="280" w:leftChars="100" w:firstLine="1091" w:firstLineChars="341"/>
        <w:jc w:val="left"/>
        <w:rPr>
          <w:rFonts w:hint="default" w:ascii="Times New Roman" w:hAnsi="Times New Roman" w:cs="Times New Roman"/>
          <w:kern w:val="0"/>
          <w:sz w:val="32"/>
          <w:szCs w:val="32"/>
          <w:highlight w:val="none"/>
          <w:lang w:val="en-US" w:eastAsia="zh-CN" w:bidi="en-US"/>
        </w:rPr>
      </w:pPr>
      <w:r>
        <w:rPr>
          <w:rFonts w:hint="default" w:ascii="Times New Roman" w:hAnsi="Times New Roman" w:cs="Times New Roman"/>
          <w:kern w:val="0"/>
          <w:sz w:val="32"/>
          <w:szCs w:val="32"/>
          <w:highlight w:val="none"/>
          <w:lang w:bidi="en-US"/>
        </w:rPr>
        <w:t>项目单位：</w:t>
      </w:r>
      <w:r>
        <w:rPr>
          <w:rFonts w:hint="eastAsia" w:ascii="Times New Roman" w:hAnsi="Times New Roman" w:cs="Times New Roman"/>
          <w:kern w:val="0"/>
          <w:sz w:val="32"/>
          <w:szCs w:val="32"/>
          <w:highlight w:val="none"/>
          <w:lang w:val="en-US" w:eastAsia="zh-CN" w:bidi="en-US"/>
        </w:rPr>
        <w:t>乌鲁木齐县团结民汉小学</w:t>
      </w:r>
    </w:p>
    <w:p>
      <w:pPr>
        <w:spacing w:line="480" w:lineRule="auto"/>
        <w:ind w:left="280" w:leftChars="100" w:firstLine="1091" w:firstLineChars="341"/>
        <w:jc w:val="left"/>
        <w:rPr>
          <w:rFonts w:hint="default" w:ascii="Times New Roman" w:hAnsi="Times New Roman" w:eastAsia="仿宋_GB2312" w:cs="Times New Roman"/>
          <w:kern w:val="0"/>
          <w:sz w:val="32"/>
          <w:szCs w:val="32"/>
          <w:highlight w:val="none"/>
          <w:lang w:val="en-US" w:eastAsia="zh-CN" w:bidi="en-US"/>
        </w:rPr>
      </w:pPr>
      <w:r>
        <w:rPr>
          <w:rFonts w:hint="default" w:ascii="Times New Roman" w:hAnsi="Times New Roman" w:cs="Times New Roman"/>
          <w:kern w:val="0"/>
          <w:sz w:val="32"/>
          <w:szCs w:val="32"/>
          <w:highlight w:val="none"/>
          <w:lang w:bidi="en-US"/>
        </w:rPr>
        <w:t>主管部门：</w:t>
      </w:r>
      <w:r>
        <w:rPr>
          <w:rFonts w:hint="eastAsia" w:ascii="Times New Roman" w:hAnsi="Times New Roman" w:cs="Times New Roman"/>
          <w:kern w:val="0"/>
          <w:sz w:val="32"/>
          <w:szCs w:val="32"/>
          <w:highlight w:val="none"/>
          <w:lang w:val="en-US" w:eastAsia="zh-CN" w:bidi="en-US"/>
        </w:rPr>
        <w:t>乌鲁木齐县教育局</w:t>
      </w:r>
    </w:p>
    <w:p>
      <w:pPr>
        <w:spacing w:line="480" w:lineRule="auto"/>
        <w:ind w:firstLine="1411" w:firstLineChars="441"/>
        <w:jc w:val="left"/>
        <w:rPr>
          <w:rFonts w:hint="default" w:ascii="Times New Roman" w:hAnsi="Times New Roman" w:cs="Times New Roman"/>
          <w:kern w:val="0"/>
          <w:sz w:val="32"/>
          <w:szCs w:val="32"/>
          <w:highlight w:val="none"/>
          <w:lang w:bidi="en-US"/>
        </w:rPr>
      </w:pPr>
    </w:p>
    <w:p>
      <w:pPr>
        <w:spacing w:line="480" w:lineRule="auto"/>
        <w:ind w:firstLine="0" w:firstLineChars="0"/>
        <w:rPr>
          <w:rFonts w:hint="default" w:ascii="Times New Roman" w:hAnsi="Times New Roman" w:eastAsia="黑体" w:cs="Times New Roman"/>
          <w:b/>
          <w:kern w:val="0"/>
          <w:sz w:val="32"/>
          <w:szCs w:val="32"/>
          <w:highlight w:val="none"/>
          <w:lang w:bidi="en-US"/>
        </w:rPr>
      </w:pPr>
    </w:p>
    <w:p>
      <w:pPr>
        <w:spacing w:line="480" w:lineRule="auto"/>
        <w:ind w:firstLine="0" w:firstLineChars="0"/>
        <w:rPr>
          <w:rFonts w:hint="default" w:ascii="Times New Roman" w:hAnsi="Times New Roman" w:eastAsia="黑体" w:cs="Times New Roman"/>
          <w:b/>
          <w:kern w:val="0"/>
          <w:sz w:val="32"/>
          <w:szCs w:val="32"/>
          <w:highlight w:val="none"/>
          <w:lang w:bidi="en-US"/>
        </w:rPr>
      </w:pPr>
    </w:p>
    <w:p>
      <w:pPr>
        <w:spacing w:line="480" w:lineRule="auto"/>
        <w:ind w:firstLine="0" w:firstLineChars="0"/>
        <w:jc w:val="center"/>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2023年04月</w:t>
      </w:r>
    </w:p>
    <w:p>
      <w:pPr>
        <w:spacing w:line="480" w:lineRule="auto"/>
        <w:ind w:firstLine="0" w:firstLineChars="0"/>
        <w:jc w:val="center"/>
        <w:rPr>
          <w:rFonts w:hint="default" w:ascii="Times New Roman" w:hAnsi="Times New Roman" w:cs="Times New Roman"/>
          <w:kern w:val="0"/>
          <w:sz w:val="32"/>
          <w:szCs w:val="32"/>
          <w:highlight w:val="none"/>
          <w:lang w:bidi="en-US"/>
        </w:rPr>
      </w:pPr>
    </w:p>
    <w:p>
      <w:pPr>
        <w:tabs>
          <w:tab w:val="left" w:pos="3324"/>
        </w:tabs>
        <w:spacing w:line="480" w:lineRule="auto"/>
        <w:ind w:firstLine="0" w:firstLineChars="0"/>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ab/>
      </w:r>
    </w:p>
    <w:p>
      <w:pPr>
        <w:ind w:firstLine="640"/>
        <w:rPr>
          <w:rFonts w:hint="default" w:ascii="Times New Roman" w:hAnsi="Times New Roman" w:cs="Times New Roman"/>
          <w:kern w:val="0"/>
          <w:sz w:val="32"/>
          <w:szCs w:val="32"/>
          <w:highlight w:val="none"/>
          <w:lang w:bidi="en-US"/>
        </w:rPr>
      </w:pPr>
    </w:p>
    <w:sdt>
      <w:sdtPr>
        <w:rPr>
          <w:rFonts w:hint="default" w:ascii="Times New Roman" w:hAnsi="Times New Roman" w:eastAsia="仿宋_GB2312" w:cs="Times New Roman"/>
          <w:color w:val="auto"/>
          <w:kern w:val="2"/>
          <w:sz w:val="28"/>
          <w:szCs w:val="22"/>
          <w:highlight w:val="none"/>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highlight w:val="none"/>
          <w:lang w:val="zh-CN"/>
        </w:rPr>
      </w:sdtEndPr>
      <w:sdtContent>
        <w:p>
          <w:pPr>
            <w:pStyle w:val="30"/>
            <w:ind w:firstLine="560"/>
            <w:jc w:val="center"/>
            <w:rPr>
              <w:rFonts w:hint="default" w:ascii="Times New Roman" w:hAnsi="Times New Roman" w:cs="Times New Roman"/>
              <w:highlight w:val="none"/>
            </w:rPr>
          </w:pPr>
          <w:r>
            <w:rPr>
              <w:rFonts w:hint="default" w:ascii="Times New Roman" w:hAnsi="Times New Roman" w:cs="Times New Roman"/>
              <w:color w:val="000000" w:themeColor="text1"/>
              <w:highlight w:val="none"/>
              <w:lang w:val="zh-CN"/>
              <w14:textFill>
                <w14:solidFill>
                  <w14:schemeClr w14:val="tx1"/>
                </w14:solidFill>
              </w14:textFill>
            </w:rPr>
            <w:t>目录</w:t>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TOC \o "1-3" \h \z \u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"_Toc100784583"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一、基本情况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"_Toc100784584"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（一）项目概况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"_Toc100784585"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（二）项目绩效目标</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"_Toc100784586"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二、绩效评价工作开展情况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"_Toc100784587"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（一）绩效评价目的、对象和范围</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"_Toc100784588"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1.评价目的</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"_Toc100784589"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2.评价对象和范围</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"_Toc100784590"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（二）绩效评价原则、指标体系、方法及标准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"_Toc100784591"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1.评价原则</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"_Toc100784592"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2.评价指标体系</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_Toc100784592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"_Toc100784593"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3.评价方法</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"_Toc100784594"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4.评价标准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"_Toc100784595"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（三）绩效评价工作过程</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"_Toc100784596"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三、综合评价情况及评价结论</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"_Toc100784597"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（一）评价结论</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"_Toc100784598"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（二）主要绩效</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"_Toc100784599"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四、绩效评价指标分析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15</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"_Toc100784600"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（一）项目决策情况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15</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"_Toc100784601"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1.项目立项</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15</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"_Toc100784602"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2.绩效目标</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_Toc100784602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15</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"_Toc100784603"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3.资金投入</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"_Toc100784604"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（二）项目过程情况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"_Toc100784605"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1.资金管理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"_Toc100784606"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2.组织实施</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"_Toc100784607"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（三）项目产出情况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"_Toc100784608"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1.产出数量</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"_Toc100784609"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2.产出质量</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"_Toc100784610"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3.产出时效</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19</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"_Toc100784611"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4.产出成本</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19</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"_Toc100784612"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（四）项目效益情况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_Toc100784612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19</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"_Toc100784613"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1.项目效益</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19</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"_Toc100784614"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2. 满意度指标完成情况分析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20</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"_Toc100784615"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五、预算执行进度与绩效指标偏差</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20</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"_Toc100784616"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六、主要经验及做法、存在的问题及原因分析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"_Toc100784617"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（一）主要经验及做法</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"_Toc100784618"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（二）存在的问题及原因分析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"_Toc100784619"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七、其他需要说明的问题</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"_Toc100784620"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八、有关建议</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_Toc100784620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ind w:firstLine="562"/>
            <w:rPr>
              <w:rFonts w:hint="default" w:ascii="Times New Roman" w:hAnsi="Times New Roman" w:cs="Times New Roman"/>
              <w:highlight w:val="none"/>
            </w:rPr>
          </w:pPr>
          <w:r>
            <w:rPr>
              <w:rFonts w:hint="default" w:ascii="Times New Roman" w:hAnsi="Times New Roman" w:cs="Times New Roman"/>
              <w:b/>
              <w:bCs/>
              <w:highlight w:val="none"/>
              <w:lang w:val="zh-CN"/>
            </w:rPr>
            <w:fldChar w:fldCharType="end"/>
          </w:r>
        </w:p>
      </w:sdtContent>
    </w:sdt>
    <w:p>
      <w:pPr>
        <w:ind w:firstLine="598" w:firstLineChars="187"/>
        <w:rPr>
          <w:rFonts w:hint="default" w:ascii="Times New Roman" w:hAnsi="Times New Roman" w:cs="Times New Roman"/>
          <w:sz w:val="32"/>
          <w:szCs w:val="32"/>
          <w:highlight w:val="none"/>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0" w:name="_Toc67911601"/>
      <w:bookmarkStart w:id="1" w:name="_Toc100784583"/>
      <w:r>
        <w:rPr>
          <w:rFonts w:hint="default" w:ascii="Times New Roman" w:hAnsi="Times New Roman" w:eastAsia="仿宋" w:cs="Times New Roman"/>
          <w:sz w:val="36"/>
          <w:szCs w:val="36"/>
          <w:highlight w:val="none"/>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2" w:name="_Toc67911602"/>
      <w:bookmarkStart w:id="3" w:name="_Toc100784584"/>
      <w:r>
        <w:rPr>
          <w:rFonts w:hint="default" w:ascii="Times New Roman" w:hAnsi="Times New Roman" w:eastAsia="仿宋" w:cs="Times New Roman"/>
          <w:sz w:val="32"/>
          <w:szCs w:val="32"/>
          <w:highlight w:val="none"/>
          <w:lang w:val="en-US" w:eastAsia="zh-CN" w:bidi="en-US"/>
        </w:rPr>
        <w:t>（一）项目概况</w:t>
      </w:r>
      <w:bookmarkEnd w:id="2"/>
      <w:bookmarkEnd w:id="3"/>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根据乌财科教【2021】102号关于提前下达2022年新疆西藏等地区教育特殊补助资金农村学前三年免费教育保障机制经费</w:t>
      </w:r>
      <w:r>
        <w:rPr>
          <w:rFonts w:hint="eastAsia" w:ascii="Times New Roman" w:hAnsi="Times New Roman" w:cs="Times New Roman"/>
          <w:highlight w:val="none"/>
          <w:lang w:val="en-US" w:eastAsia="zh-CN"/>
        </w:rPr>
        <w:t>的通知，</w:t>
      </w:r>
      <w:r>
        <w:rPr>
          <w:rStyle w:val="18"/>
          <w:rFonts w:hint="eastAsia" w:ascii="仿宋_GB2312" w:hAnsi="仿宋_GB2312" w:eastAsia="仿宋_GB2312" w:cs="仿宋_GB2312"/>
          <w:b w:val="0"/>
          <w:bCs w:val="0"/>
          <w:spacing w:val="-4"/>
          <w:sz w:val="28"/>
          <w:szCs w:val="28"/>
          <w:highlight w:val="none"/>
        </w:rPr>
        <w:t>该项目经费保障我辖区适龄幼儿免费接受学前三年教育，其细分为学前三年免费教育保障机制公用经费（办公费和商品和服务支出）为保障适龄幼儿应入尽入，学前经费应保尽保的基础上，每一笔经费严格按照项目申报计划规范支出，确保转款专用。年度预期</w:t>
      </w:r>
      <w:r>
        <w:rPr>
          <w:rStyle w:val="18"/>
          <w:rFonts w:hint="eastAsia" w:ascii="仿宋_GB2312" w:hAnsi="仿宋_GB2312" w:eastAsia="仿宋_GB2312" w:cs="仿宋_GB2312"/>
          <w:b w:val="0"/>
          <w:bCs w:val="0"/>
          <w:spacing w:val="-4"/>
          <w:sz w:val="28"/>
          <w:szCs w:val="28"/>
          <w:highlight w:val="none"/>
          <w:lang w:eastAsia="zh-CN"/>
        </w:rPr>
        <w:t>目</w:t>
      </w:r>
      <w:r>
        <w:rPr>
          <w:rStyle w:val="18"/>
          <w:rFonts w:hint="eastAsia" w:ascii="仿宋_GB2312" w:hAnsi="仿宋_GB2312" w:eastAsia="仿宋_GB2312" w:cs="仿宋_GB2312"/>
          <w:b w:val="0"/>
          <w:bCs w:val="0"/>
          <w:spacing w:val="-4"/>
          <w:sz w:val="28"/>
          <w:szCs w:val="28"/>
          <w:highlight w:val="none"/>
        </w:rPr>
        <w:t>标</w:t>
      </w:r>
      <w:r>
        <w:rPr>
          <w:rStyle w:val="18"/>
          <w:rFonts w:hint="eastAsia" w:ascii="仿宋_GB2312" w:hAnsi="仿宋_GB2312" w:eastAsia="仿宋_GB2312" w:cs="仿宋_GB2312"/>
          <w:b w:val="0"/>
          <w:bCs w:val="0"/>
          <w:spacing w:val="-4"/>
          <w:sz w:val="28"/>
          <w:szCs w:val="28"/>
          <w:highlight w:val="none"/>
          <w:lang w:eastAsia="zh-CN"/>
        </w:rPr>
        <w:t>：</w:t>
      </w:r>
      <w:r>
        <w:rPr>
          <w:rStyle w:val="18"/>
          <w:rFonts w:hint="eastAsia" w:ascii="仿宋_GB2312" w:hAnsi="仿宋_GB2312" w:eastAsia="仿宋_GB2312" w:cs="仿宋_GB2312"/>
          <w:b w:val="0"/>
          <w:bCs w:val="0"/>
          <w:spacing w:val="-4"/>
          <w:sz w:val="28"/>
          <w:szCs w:val="28"/>
          <w:highlight w:val="none"/>
        </w:rPr>
        <w:t>全面普及农村学前三年免费教育，保障幼儿园正常运转</w:t>
      </w:r>
    </w:p>
    <w:p>
      <w:pPr>
        <w:spacing w:line="360" w:lineRule="auto"/>
        <w:ind w:firstLine="560"/>
        <w:rPr>
          <w:rStyle w:val="18"/>
          <w:rFonts w:hint="default" w:ascii="Times New Roman" w:hAnsi="Times New Roman" w:eastAsia="仿宋_GB2312" w:cs="Times New Roman"/>
          <w:b w:val="0"/>
          <w:bCs w:val="0"/>
          <w:spacing w:val="-4"/>
          <w:sz w:val="28"/>
          <w:szCs w:val="28"/>
          <w:highlight w:val="none"/>
          <w:lang w:val="en-US" w:eastAsia="zh-CN"/>
        </w:rPr>
      </w:pPr>
      <w:r>
        <w:rPr>
          <w:rStyle w:val="18"/>
          <w:rFonts w:hint="default" w:ascii="Times New Roman" w:hAnsi="Times New Roman" w:eastAsia="仿宋_GB2312" w:cs="Times New Roman"/>
          <w:b w:val="0"/>
          <w:bCs w:val="0"/>
          <w:spacing w:val="-4"/>
          <w:sz w:val="28"/>
          <w:szCs w:val="28"/>
          <w:highlight w:val="none"/>
        </w:rPr>
        <w:t>经乌财科教【2021】102号关于提前下达2022年新疆西藏等地区教育特殊补助资金农村学前三年免费教育保障机制经费</w:t>
      </w:r>
      <w:r>
        <w:rPr>
          <w:rStyle w:val="18"/>
          <w:rFonts w:hint="default" w:ascii="Times New Roman" w:hAnsi="Times New Roman" w:eastAsia="仿宋_GB2312" w:cs="Times New Roman"/>
          <w:b w:val="0"/>
          <w:bCs w:val="0"/>
          <w:spacing w:val="-4"/>
          <w:sz w:val="28"/>
          <w:szCs w:val="28"/>
          <w:highlight w:val="none"/>
          <w:lang w:val="en-US" w:eastAsia="zh-CN"/>
        </w:rPr>
        <w:t>的通知</w:t>
      </w:r>
      <w:r>
        <w:rPr>
          <w:rStyle w:val="18"/>
          <w:rFonts w:hint="default" w:ascii="Times New Roman" w:hAnsi="Times New Roman" w:eastAsia="仿宋_GB2312" w:cs="Times New Roman"/>
          <w:b w:val="0"/>
          <w:bCs w:val="0"/>
          <w:spacing w:val="-4"/>
          <w:sz w:val="28"/>
          <w:szCs w:val="28"/>
          <w:highlight w:val="none"/>
        </w:rPr>
        <w:t>，</w:t>
      </w:r>
      <w:r>
        <w:rPr>
          <w:rStyle w:val="18"/>
          <w:rFonts w:hint="default" w:ascii="Times New Roman" w:hAnsi="Times New Roman" w:eastAsia="仿宋_GB2312" w:cs="Times New Roman"/>
          <w:b w:val="0"/>
          <w:bCs w:val="0"/>
          <w:spacing w:val="-4"/>
          <w:sz w:val="28"/>
          <w:szCs w:val="28"/>
          <w:highlight w:val="none"/>
          <w:lang w:val="en-US" w:eastAsia="zh-CN"/>
        </w:rPr>
        <w:t>该</w:t>
      </w:r>
      <w:r>
        <w:rPr>
          <w:rStyle w:val="18"/>
          <w:rFonts w:hint="default" w:ascii="Times New Roman" w:hAnsi="Times New Roman" w:eastAsia="仿宋_GB2312" w:cs="Times New Roman"/>
          <w:b w:val="0"/>
          <w:bCs w:val="0"/>
          <w:spacing w:val="-4"/>
          <w:sz w:val="28"/>
          <w:szCs w:val="28"/>
          <w:highlight w:val="none"/>
        </w:rPr>
        <w:t>项目系2022年中央资金，共安排预算</w:t>
      </w:r>
      <w:r>
        <w:rPr>
          <w:rStyle w:val="18"/>
          <w:rFonts w:hint="default" w:ascii="Times New Roman" w:hAnsi="Times New Roman" w:eastAsia="仿宋_GB2312" w:cs="Times New Roman"/>
          <w:b w:val="0"/>
          <w:bCs w:val="0"/>
          <w:spacing w:val="-4"/>
          <w:sz w:val="28"/>
          <w:szCs w:val="28"/>
          <w:highlight w:val="none"/>
          <w:lang w:val="en-US" w:eastAsia="zh-CN"/>
        </w:rPr>
        <w:t>5.19</w:t>
      </w:r>
      <w:r>
        <w:rPr>
          <w:rStyle w:val="18"/>
          <w:rFonts w:hint="default" w:ascii="Times New Roman" w:hAnsi="Times New Roman" w:eastAsia="仿宋_GB2312" w:cs="Times New Roman"/>
          <w:b w:val="0"/>
          <w:bCs w:val="0"/>
          <w:spacing w:val="-4"/>
          <w:sz w:val="28"/>
          <w:szCs w:val="28"/>
          <w:highlight w:val="none"/>
        </w:rPr>
        <w:t>万元，于2022年年中追加项目，</w:t>
      </w:r>
      <w:r>
        <w:rPr>
          <w:rStyle w:val="18"/>
          <w:rFonts w:hint="default" w:ascii="Times New Roman" w:hAnsi="Times New Roman" w:eastAsia="仿宋_GB2312" w:cs="Times New Roman"/>
          <w:b w:val="0"/>
          <w:bCs w:val="0"/>
          <w:spacing w:val="-4"/>
          <w:sz w:val="28"/>
          <w:szCs w:val="28"/>
          <w:highlight w:val="none"/>
          <w:lang w:val="en-US" w:eastAsia="zh-CN"/>
        </w:rPr>
        <w:t>截止2022年12月31日，该项目共支出3.95万元，结余1.24万元，全年执行率76.11%。</w:t>
      </w:r>
    </w:p>
    <w:p>
      <w:pPr>
        <w:spacing w:line="360" w:lineRule="auto"/>
        <w:ind w:firstLine="560"/>
        <w:rPr>
          <w:rStyle w:val="18"/>
          <w:rFonts w:hint="default" w:ascii="Times New Roman" w:hAnsi="Times New Roman" w:eastAsia="仿宋_GB2312" w:cs="Times New Roman"/>
          <w:b w:val="0"/>
          <w:bCs w:val="0"/>
          <w:spacing w:val="-4"/>
          <w:sz w:val="28"/>
          <w:szCs w:val="28"/>
          <w:highlight w:val="none"/>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4" w:name="_Toc67911603"/>
      <w:bookmarkStart w:id="5" w:name="_Toc100784585"/>
      <w:r>
        <w:rPr>
          <w:rFonts w:hint="default" w:ascii="Times New Roman" w:hAnsi="Times New Roman" w:eastAsia="仿宋" w:cs="Times New Roman"/>
          <w:sz w:val="32"/>
          <w:szCs w:val="32"/>
          <w:highlight w:val="none"/>
          <w:lang w:val="en-US" w:eastAsia="zh-CN" w:bidi="en-US"/>
        </w:rPr>
        <w:t>（二）项目绩效目标</w:t>
      </w:r>
      <w:bookmarkEnd w:id="4"/>
      <w:bookmarkEnd w:id="5"/>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highlight w:val="none"/>
        </w:rPr>
        <w:t>〔2018〕56号</w:t>
      </w:r>
      <w:bookmarkEnd w:id="6"/>
      <w:r>
        <w:rPr>
          <w:rFonts w:hint="default" w:ascii="Times New Roman" w:hAnsi="Times New Roman" w:cs="Times New Roman"/>
          <w:szCs w:val="28"/>
          <w:highlight w:val="none"/>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eastAsia" w:ascii="Times New Roman" w:hAnsi="Times New Roman" w:cs="Times New Roman"/>
          <w:szCs w:val="28"/>
          <w:highlight w:val="none"/>
          <w:lang w:eastAsia="zh-CN"/>
        </w:rPr>
      </w:pPr>
      <w:r>
        <w:rPr>
          <w:rFonts w:hint="eastAsia" w:ascii="Times New Roman" w:hAnsi="Times New Roman" w:cs="Times New Roman"/>
          <w:szCs w:val="28"/>
          <w:highlight w:val="none"/>
          <w:lang w:val="en-US" w:eastAsia="zh-CN"/>
        </w:rPr>
        <w:t>该项目经费保障我辖区适龄幼儿免费接受学前三年教育，其细分为学前三年免费教育保障机制公用经费（办公费和商品和服务支出）为保障适龄幼儿应入尽入，学前经费应保尽保的基础上，每一笔经费严格按照项目申报计划规范支出，确保转款专用。资金分配为：办公费2万元，其他商品和服务支出3.19万元</w:t>
      </w:r>
      <w:bookmarkStart w:id="7" w:name="_Toc67911604"/>
      <w:bookmarkStart w:id="8" w:name="_Toc100784586"/>
      <w:r>
        <w:rPr>
          <w:rFonts w:hint="eastAsia" w:ascii="Times New Roman" w:hAnsi="Times New Roman" w:cs="Times New Roman"/>
          <w:szCs w:val="28"/>
          <w:highlight w:val="none"/>
          <w:lang w:val="en-US" w:eastAsia="zh-CN"/>
        </w:rPr>
        <w:t>。</w:t>
      </w:r>
      <w:r>
        <w:rPr>
          <w:rFonts w:hint="default" w:ascii="Times New Roman" w:hAnsi="Times New Roman" w:cs="Times New Roman"/>
          <w:szCs w:val="28"/>
          <w:highlight w:val="none"/>
        </w:rPr>
        <w:t>享受学前三年免费教育惠及幼儿园数量</w:t>
      </w:r>
      <w:r>
        <w:rPr>
          <w:rFonts w:hint="eastAsia" w:ascii="Times New Roman" w:hAnsi="Times New Roman" w:cs="Times New Roman"/>
          <w:szCs w:val="28"/>
          <w:highlight w:val="none"/>
          <w:lang w:val="en-US" w:eastAsia="zh-CN"/>
        </w:rPr>
        <w:t>1所，享受学前三年免费教育惠及幼儿园人数61人，</w:t>
      </w:r>
      <w:r>
        <w:rPr>
          <w:rFonts w:hint="default" w:ascii="Times New Roman" w:hAnsi="Times New Roman" w:cs="Times New Roman"/>
          <w:szCs w:val="28"/>
          <w:highlight w:val="none"/>
        </w:rPr>
        <w:t>农村学前三年免费教育幼儿园入园率</w:t>
      </w:r>
      <w:r>
        <w:rPr>
          <w:rFonts w:hint="eastAsia" w:ascii="Times New Roman" w:hAnsi="Times New Roman" w:cs="Times New Roman"/>
          <w:szCs w:val="28"/>
          <w:highlight w:val="none"/>
          <w:lang w:val="en-US" w:eastAsia="zh-CN"/>
        </w:rPr>
        <w:t>100%。项目能够有效的减轻我县农牧民家庭经济负担，落实教育惠民政策</w:t>
      </w:r>
      <w:r>
        <w:rPr>
          <w:rFonts w:hint="eastAsia" w:ascii="Times New Roman" w:hAnsi="Times New Roman" w:cs="Times New Roman"/>
          <w:szCs w:val="28"/>
          <w:highlight w:val="none"/>
          <w:lang w:eastAsia="zh-CN"/>
        </w:rPr>
        <w:t>。</w:t>
      </w:r>
    </w:p>
    <w:p>
      <w:pPr>
        <w:spacing w:line="360" w:lineRule="auto"/>
        <w:ind w:firstLine="560"/>
        <w:rPr>
          <w:rFonts w:hint="default" w:ascii="Times New Roman" w:hAnsi="Times New Roman" w:cs="Times New Roman"/>
          <w:szCs w:val="28"/>
          <w:highlight w:val="none"/>
          <w:lang w:eastAsia="zh-CN"/>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9" w:name="_Toc67911605"/>
      <w:bookmarkStart w:id="10" w:name="_Toc100784587"/>
      <w:r>
        <w:rPr>
          <w:rFonts w:hint="default" w:ascii="Times New Roman" w:hAnsi="Times New Roman" w:eastAsia="仿宋" w:cs="Times New Roman"/>
          <w:sz w:val="32"/>
          <w:szCs w:val="32"/>
          <w:highlight w:val="none"/>
          <w:lang w:val="en-US" w:eastAsia="zh-CN" w:bidi="en-US"/>
        </w:rPr>
        <w:t>（一）绩效评价目的、对象和范围</w:t>
      </w:r>
      <w:bookmarkEnd w:id="9"/>
      <w:bookmarkEnd w:id="10"/>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1" w:name="_Toc100784588"/>
      <w:r>
        <w:rPr>
          <w:rFonts w:hint="default" w:ascii="Times New Roman" w:hAnsi="Times New Roman" w:eastAsia="仿宋" w:cs="Times New Roman"/>
          <w:sz w:val="32"/>
          <w:szCs w:val="32"/>
          <w:highlight w:val="none"/>
          <w:lang w:bidi="en-US"/>
        </w:rPr>
        <w:t>1.评价目的</w:t>
      </w:r>
      <w:bookmarkEnd w:id="11"/>
    </w:p>
    <w:p>
      <w:pPr>
        <w:spacing w:line="360" w:lineRule="auto"/>
        <w:ind w:firstLine="560"/>
        <w:rPr>
          <w:rFonts w:hint="default" w:ascii="Times New Roman" w:hAnsi="Times New Roman" w:cs="Times New Roman"/>
          <w:b/>
          <w:bCs/>
          <w:highlight w:val="none"/>
        </w:rPr>
      </w:pPr>
      <w:r>
        <w:rPr>
          <w:rFonts w:hint="default" w:ascii="Times New Roman" w:hAnsi="Times New Roman" w:cs="Times New Roman"/>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2" w:name="_Toc100784589"/>
      <w:r>
        <w:rPr>
          <w:rFonts w:hint="default" w:ascii="Times New Roman" w:hAnsi="Times New Roman" w:eastAsia="仿宋" w:cs="Times New Roman"/>
          <w:sz w:val="32"/>
          <w:szCs w:val="32"/>
          <w:highlight w:val="none"/>
          <w:lang w:bidi="en-US"/>
        </w:rPr>
        <w:t>2.评价对象和范围</w:t>
      </w:r>
      <w:bookmarkEnd w:id="12"/>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 xml:space="preserve">（1）绩效评价的对象：乌财科教【2021】102号关于提前下达2022年新疆西藏等地区教育特殊补助资金农村学前三年免费教育保障机制经费项目 </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（2）绩效评价范围：</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1.项目范围：乌财科教【2021】102号关于提前下达2022年新疆西藏等地区教育特殊补助资金农村学前三年免费教育保障机制经费的完成情况、资金投入的运行情况、项目实施后产生的绩效及影响效果。</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13" w:name="_Toc67911606"/>
      <w:bookmarkStart w:id="14" w:name="_Toc100784590"/>
      <w:bookmarkStart w:id="15" w:name="_Hlk67586765"/>
      <w:r>
        <w:rPr>
          <w:rFonts w:hint="default" w:ascii="Times New Roman" w:hAnsi="Times New Roman" w:eastAsia="仿宋" w:cs="Times New Roman"/>
          <w:sz w:val="32"/>
          <w:szCs w:val="32"/>
          <w:highlight w:val="none"/>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6" w:name="_Toc100784591"/>
      <w:r>
        <w:rPr>
          <w:rFonts w:hint="default" w:ascii="Times New Roman" w:hAnsi="Times New Roman" w:eastAsia="仿宋" w:cs="Times New Roman"/>
          <w:sz w:val="32"/>
          <w:szCs w:val="32"/>
          <w:highlight w:val="none"/>
          <w:lang w:bidi="en-US"/>
        </w:rPr>
        <w:t>1.评价原则</w:t>
      </w:r>
      <w:bookmarkEnd w:id="16"/>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（2）公正公开原则：绩效评价应当符合真实、客观、公正的要求，依法公开并接受监督。</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（3）分级分类原则：根据评价对象特点分类组织实施。</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根据以上原则，绩效评价应遵循如下要求：</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（1）在数据收集时，采取客观数据，并结合问卷调查结果，以保证各项指标的真实性。</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（2）保证评价结果的真实性、公正性，提高评价报告的公信力。</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7" w:name="_Toc100784592"/>
      <w:r>
        <w:rPr>
          <w:rFonts w:hint="default" w:ascii="Times New Roman" w:hAnsi="Times New Roman" w:eastAsia="仿宋" w:cs="Times New Roman"/>
          <w:sz w:val="32"/>
          <w:szCs w:val="32"/>
          <w:highlight w:val="none"/>
          <w:lang w:bidi="en-US"/>
        </w:rPr>
        <w:t>2.评价指标体系</w:t>
      </w:r>
      <w:bookmarkEnd w:id="17"/>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绩效评价指标体系作为衡量绩效目标实现程度的考核工具，一般遵循以下原则：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（1）相关性原则：绩效评价指标应当与绩效目标有直接的联系，能够恰当反映目标的实现程度。</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（2）重要性原则：应当优先使用最具评价对象代表性、最能反映评价要求的核心指标。</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（3）可比性原则：对同类评价对象要设定共性的绩效评价指标，以便于评价结果可以相互比较。</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本项目的评价指标体系建立如附件所示。</w:t>
      </w:r>
    </w:p>
    <w:p>
      <w:pPr>
        <w:spacing w:line="360" w:lineRule="auto"/>
        <w:ind w:firstLine="560"/>
        <w:rPr>
          <w:rFonts w:hint="default" w:ascii="Times New Roman" w:hAnsi="Times New Roman" w:cs="Times New Roman"/>
          <w:highlight w:val="none"/>
        </w:rPr>
      </w:pPr>
    </w:p>
    <w:p>
      <w:pPr>
        <w:spacing w:line="360" w:lineRule="auto"/>
        <w:ind w:firstLine="560"/>
        <w:rPr>
          <w:rFonts w:hint="default" w:ascii="Times New Roman" w:hAnsi="Times New Roman" w:cs="Times New Roman"/>
          <w:highlight w:val="none"/>
        </w:rPr>
      </w:pPr>
    </w:p>
    <w:p>
      <w:pPr>
        <w:spacing w:line="360" w:lineRule="auto"/>
        <w:ind w:firstLine="560"/>
        <w:rPr>
          <w:rFonts w:hint="default" w:ascii="Times New Roman" w:hAnsi="Times New Roman" w:cs="Times New Roman"/>
          <w:highlight w:val="none"/>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highlight w:val="none"/>
        </w:rPr>
      </w:pPr>
      <w:r>
        <w:rPr>
          <w:rFonts w:hint="default" w:ascii="Times New Roman" w:hAnsi="Times New Roman" w:cs="Times New Roman"/>
          <w:b/>
          <w:bCs/>
          <w:highlight w:val="none"/>
        </w:rPr>
        <w:t xml:space="preserve">  项目支出绩效评价指标体系</w:t>
      </w:r>
    </w:p>
    <w:tbl>
      <w:tblPr>
        <w:tblStyle w:val="15"/>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253"/>
        <w:gridCol w:w="1170"/>
        <w:gridCol w:w="1830"/>
        <w:gridCol w:w="2710"/>
        <w:gridCol w:w="69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25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一级指标</w:t>
            </w:r>
          </w:p>
        </w:tc>
        <w:tc>
          <w:tcPr>
            <w:tcW w:w="1170"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二级指标</w:t>
            </w:r>
          </w:p>
        </w:tc>
        <w:tc>
          <w:tcPr>
            <w:tcW w:w="1830"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三级指标</w:t>
            </w:r>
          </w:p>
        </w:tc>
        <w:tc>
          <w:tcPr>
            <w:tcW w:w="2710"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指标解释</w:t>
            </w:r>
          </w:p>
        </w:tc>
        <w:tc>
          <w:tcPr>
            <w:tcW w:w="6932"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253"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7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w:t>
            </w: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立项依据</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充分性</w:t>
            </w:r>
          </w:p>
        </w:tc>
        <w:tc>
          <w:tcPr>
            <w:tcW w:w="2710"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项目立项是否符合法律法规、相关政策、发展规划以及部门职责，用以反映和考核项目立项依据情况。</w:t>
            </w:r>
          </w:p>
        </w:tc>
        <w:tc>
          <w:tcPr>
            <w:tcW w:w="6932"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①项目立项是否符合国家法律法规、国民经济发展规划和相关政策；</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②项目立项是否符合行业发展规划和政策要求；</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③项目立项是否与部门职责范围相符，属于部门履职所需；</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④项目是否属于公共财政支持范围，是否符合中央、地方事权支出责任划分原则；</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253"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7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立项程序</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规范性</w:t>
            </w:r>
          </w:p>
        </w:tc>
        <w:tc>
          <w:tcPr>
            <w:tcW w:w="2710"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项目申请、设立过程是否符合相关要求，用以反映和考核项目立项的规范情况。</w:t>
            </w:r>
          </w:p>
        </w:tc>
        <w:tc>
          <w:tcPr>
            <w:tcW w:w="6932"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①项目是否按照规定的程序申请设立；</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②审批文件、材料是否符合相关要求；</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253"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7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10"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项目所设定的绩效目标是否依据充分，是否符合客观实际，用以反映和考核项目绩效目标与项目实施的相符情况。</w:t>
            </w:r>
          </w:p>
        </w:tc>
        <w:tc>
          <w:tcPr>
            <w:tcW w:w="6932"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（如未设定预算绩效目标，也可考核其他工作任务目标）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①项目是否有绩效目标；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②项目绩效目标与实际工作内容是否具有相关性；</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253"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7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绩效指标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明确性</w:t>
            </w:r>
          </w:p>
        </w:tc>
        <w:tc>
          <w:tcPr>
            <w:tcW w:w="2710"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依据绩效目标设定的绩效指标是否清晰、细化、可衡量等，用以反映和考核项目绩效目标的明细化情况。</w:t>
            </w:r>
          </w:p>
        </w:tc>
        <w:tc>
          <w:tcPr>
            <w:tcW w:w="6932"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①是否将项目绩效目标细化分解为具体的绩效指标；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②是否通过清晰、可衡量的指标值予以体现；</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③是否与项目目标任务数或计划数相对应。</w:t>
            </w:r>
            <w:r>
              <w:rPr>
                <w:rFonts w:hint="default" w:ascii="Times New Roman" w:hAnsi="Times New Roman" w:eastAsia="宋体" w:cs="Times New Roman"/>
                <w:color w:val="000000"/>
                <w:kern w:val="0"/>
                <w:sz w:val="22"/>
                <w:highlight w:val="none"/>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253"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7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资金投入</w:t>
            </w: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预算编制</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科学性</w:t>
            </w:r>
          </w:p>
        </w:tc>
        <w:tc>
          <w:tcPr>
            <w:tcW w:w="2710"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项目预算编制是否经过科学论证、有明确标准，资金额度与年度目标是否相适应，用以反映和考核项目预算编制的科学性、合理性情况。</w:t>
            </w:r>
          </w:p>
        </w:tc>
        <w:tc>
          <w:tcPr>
            <w:tcW w:w="6932"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①预算编制是否经过科学论证；</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②预算内容与项目内容是否匹配；</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③预算额度测算依据是否充分，是否按照标准编制；</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76" w:hRule="atLeast"/>
          <w:jc w:val="center"/>
        </w:trPr>
        <w:tc>
          <w:tcPr>
            <w:tcW w:w="1253"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7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资金分配</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10"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项目预算资金分配是否有测算依据，与补助单位或地方实际是否相适应，用以反映和考核项目预算资金分配的科学性、合理性情况。</w:t>
            </w:r>
          </w:p>
        </w:tc>
        <w:tc>
          <w:tcPr>
            <w:tcW w:w="6932"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①预算资金分配依据是否充分；</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253"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7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w:t>
            </w:r>
          </w:p>
        </w:tc>
        <w:tc>
          <w:tcPr>
            <w:tcW w:w="2710"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实际到位资金与预算资金的比率，用以反映和考核资金落实情况对项目实施的总体保障程度。</w:t>
            </w:r>
          </w:p>
        </w:tc>
        <w:tc>
          <w:tcPr>
            <w:tcW w:w="6932"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资金到位率=（实际到位资金/预算资金）×100%。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253"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70"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w:t>
            </w:r>
          </w:p>
        </w:tc>
        <w:tc>
          <w:tcPr>
            <w:tcW w:w="2710"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项目预算资金是否按照计划执行，用以反映或考核项目预算执行情况。</w:t>
            </w:r>
          </w:p>
        </w:tc>
        <w:tc>
          <w:tcPr>
            <w:tcW w:w="6932"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预算执行率=（实际支出资金/实际到位资金）×100%。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253"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7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资金使用</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合规性</w:t>
            </w:r>
          </w:p>
        </w:tc>
        <w:tc>
          <w:tcPr>
            <w:tcW w:w="2710"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项目资金使用是否符合相关的财务管理制度规定，用以反映和考核项目资金的规范运行情况。</w:t>
            </w:r>
          </w:p>
        </w:tc>
        <w:tc>
          <w:tcPr>
            <w:tcW w:w="6932"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①是否符合国家财经法规和财务管理制度以及有关专项资金管理办法的规定；</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②资金的拨付是否有完整的审批程序和手续；</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③是否符合项目预算批复或合同规定的用途；</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253"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7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组织实施</w:t>
            </w: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管理制度</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健全性</w:t>
            </w:r>
          </w:p>
        </w:tc>
        <w:tc>
          <w:tcPr>
            <w:tcW w:w="2710"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项目实施单位的财务和业务管理制度是否健全，用以反映和考核财务和业务管理制度对项目顺利实施的保障情况。</w:t>
            </w:r>
          </w:p>
        </w:tc>
        <w:tc>
          <w:tcPr>
            <w:tcW w:w="6932"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①是否已制定或具有相应的财务和业务管理制度；</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253"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7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制度执行</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有效性</w:t>
            </w:r>
          </w:p>
        </w:tc>
        <w:tc>
          <w:tcPr>
            <w:tcW w:w="2710"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项目实施是否符合相关管理规定，用以反映和考核相关管理制度的有效执行情况。</w:t>
            </w:r>
          </w:p>
        </w:tc>
        <w:tc>
          <w:tcPr>
            <w:tcW w:w="6932"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①是否遵守相关法律法规和相关管理规定；</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②项目调整及支出调整手续是否完备；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③项目合同书、验收报告、技术鉴定等资料是否齐全并及时归档；</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253"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7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产出数量</w:t>
            </w: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享受学前三年免费教育惠及幼儿园数量</w:t>
            </w:r>
          </w:p>
        </w:tc>
        <w:tc>
          <w:tcPr>
            <w:tcW w:w="2710"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项目实施的实际产出数与计划产出数的比率，用以反映和考核项目产出数量目标的实现程度。</w:t>
            </w:r>
          </w:p>
        </w:tc>
        <w:tc>
          <w:tcPr>
            <w:tcW w:w="6932"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实际完成率=（实际产出数/计划产出数）×100%。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实际产出数：一定时期（本年度或项目期）内项目实际产出的产品或提供的服务数量。</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33" w:hRule="atLeast"/>
          <w:jc w:val="center"/>
        </w:trPr>
        <w:tc>
          <w:tcPr>
            <w:tcW w:w="1253"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7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享受学前三年免费教育惠及幼儿园人数</w:t>
            </w:r>
          </w:p>
        </w:tc>
        <w:tc>
          <w:tcPr>
            <w:tcW w:w="2710"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6932"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28" w:hRule="atLeast"/>
          <w:jc w:val="center"/>
        </w:trPr>
        <w:tc>
          <w:tcPr>
            <w:tcW w:w="1253"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7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产出质量</w:t>
            </w: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农村学前三年免费教育幼儿园入园率</w:t>
            </w:r>
          </w:p>
        </w:tc>
        <w:tc>
          <w:tcPr>
            <w:tcW w:w="2710"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项目完成的质量达标产出数与实际产出数的比率，用以反映和考核项目产出质量目标的实现程度。</w:t>
            </w:r>
          </w:p>
        </w:tc>
        <w:tc>
          <w:tcPr>
            <w:tcW w:w="6932"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质量达标率=（质量达标产出数/实际产出数）×100%。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8" w:hRule="atLeast"/>
          <w:jc w:val="center"/>
        </w:trPr>
        <w:tc>
          <w:tcPr>
            <w:tcW w:w="1253"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7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国家通用语言覆盖率</w:t>
            </w:r>
          </w:p>
        </w:tc>
        <w:tc>
          <w:tcPr>
            <w:tcW w:w="2710"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6932"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4" w:hRule="atLeast"/>
          <w:jc w:val="center"/>
        </w:trPr>
        <w:tc>
          <w:tcPr>
            <w:tcW w:w="1253"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7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产出时效</w:t>
            </w: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项目完成及时率</w:t>
            </w:r>
          </w:p>
        </w:tc>
        <w:tc>
          <w:tcPr>
            <w:tcW w:w="2710"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项目实际完成时间与计划完成时间的比较，用以反映和考核项目产出时效目标的实现程度。</w:t>
            </w:r>
          </w:p>
        </w:tc>
        <w:tc>
          <w:tcPr>
            <w:tcW w:w="6932"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实际完成时间：项目实施单位完成该项目实际所耗用的时间。</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26" w:hRule="atLeast"/>
          <w:jc w:val="center"/>
        </w:trPr>
        <w:tc>
          <w:tcPr>
            <w:tcW w:w="1253"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7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成本控制率</w:t>
            </w:r>
          </w:p>
        </w:tc>
        <w:tc>
          <w:tcPr>
            <w:tcW w:w="2710"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完成项目计划工作目标的实际节约成本与计划成本的比率，用以反映和考核项目的成本节约程度。</w:t>
            </w:r>
          </w:p>
        </w:tc>
        <w:tc>
          <w:tcPr>
            <w:tcW w:w="6932"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成本节约率=[（计划成本-实际成本）/计划成本]×100%。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实际成本：项目实施单位如期、保质、保量完成既定工作目标实际所耗费的支出。</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253"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7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减轻我县农牧民家庭经济负担</w:t>
            </w:r>
          </w:p>
        </w:tc>
        <w:tc>
          <w:tcPr>
            <w:tcW w:w="271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项目实施所产生的效益。</w:t>
            </w:r>
          </w:p>
        </w:tc>
        <w:tc>
          <w:tcPr>
            <w:tcW w:w="6932"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7" w:hRule="atLeast"/>
          <w:jc w:val="center"/>
        </w:trPr>
        <w:tc>
          <w:tcPr>
            <w:tcW w:w="1253"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7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可持续影响指标</w:t>
            </w: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落实教育惠民政策率</w:t>
            </w:r>
          </w:p>
        </w:tc>
        <w:tc>
          <w:tcPr>
            <w:tcW w:w="2710"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6932"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77" w:hRule="atLeast"/>
          <w:jc w:val="center"/>
        </w:trPr>
        <w:tc>
          <w:tcPr>
            <w:tcW w:w="1253"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满意度指标完成情况分析</w:t>
            </w:r>
          </w:p>
        </w:tc>
        <w:tc>
          <w:tcPr>
            <w:tcW w:w="117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w:t>
            </w: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家长满意率</w:t>
            </w:r>
          </w:p>
        </w:tc>
        <w:tc>
          <w:tcPr>
            <w:tcW w:w="2710"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社会公众或服务对象对项目实施效果的满意程度。</w:t>
            </w:r>
          </w:p>
        </w:tc>
        <w:tc>
          <w:tcPr>
            <w:tcW w:w="6932"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253"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7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学生满意率</w:t>
            </w:r>
          </w:p>
        </w:tc>
        <w:tc>
          <w:tcPr>
            <w:tcW w:w="2710"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6932"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r>
    </w:tbl>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8" w:name="_Toc100784593"/>
      <w:bookmarkStart w:id="19" w:name="_Hlk67586038"/>
      <w:r>
        <w:rPr>
          <w:rFonts w:hint="default" w:ascii="Times New Roman" w:hAnsi="Times New Roman" w:eastAsia="仿宋" w:cs="Times New Roman"/>
          <w:sz w:val="32"/>
          <w:szCs w:val="32"/>
          <w:highlight w:val="none"/>
          <w:lang w:bidi="en-US"/>
        </w:rPr>
        <w:t>3.评价方法</w:t>
      </w:r>
      <w:bookmarkEnd w:id="18"/>
    </w:p>
    <w:bookmarkEnd w:id="19"/>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（1）成本效益分析法。是指将投入与产出、效益进行关联性分析的方法。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（3）因素分析法。是指综合分析影响绩效目标实现、实施效果的内外部因素的方法。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（4）最低成本法。是指在绩效目标确定的前提下，成本最小者为优的方法。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（5）公众评判法。是指通过专家评估、公众问卷及抽样调查等方式进行评判的方法。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（6）标杆管理法。是指以国内外同行业中较高的绩效水平为标杆进行评判的方法。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（7）其他评价方法。</w:t>
      </w:r>
    </w:p>
    <w:p>
      <w:pPr>
        <w:spacing w:line="360" w:lineRule="auto"/>
        <w:ind w:firstLine="560"/>
        <w:rPr>
          <w:rFonts w:hint="default" w:ascii="Times New Roman" w:hAnsi="Times New Roman" w:eastAsia="仿宋_GB2312" w:cs="Times New Roman"/>
          <w:highlight w:val="none"/>
          <w:lang w:val="en-US" w:eastAsia="zh-CN"/>
        </w:rPr>
      </w:pPr>
      <w:r>
        <w:rPr>
          <w:rFonts w:hint="default" w:ascii="Times New Roman" w:hAnsi="Times New Roman" w:cs="Times New Roman"/>
          <w:highlight w:val="none"/>
        </w:rPr>
        <w:t>根据本项目（乌财科教【2021】102号关于提前下达2022年新疆西藏等地区教育特殊补助资金农村学前三年免费教育保障机制经费项目 ）的特点，本次评价主要采用</w:t>
      </w:r>
      <w:r>
        <w:rPr>
          <w:rFonts w:hint="eastAsia" w:ascii="Times New Roman" w:hAnsi="Times New Roman" w:cs="Times New Roman"/>
          <w:highlight w:val="none"/>
          <w:lang w:val="en-US" w:eastAsia="zh-CN"/>
        </w:rPr>
        <w:t>比较法</w:t>
      </w:r>
      <w:r>
        <w:rPr>
          <w:rFonts w:hint="eastAsia" w:ascii="Times New Roman" w:hAnsi="Times New Roman" w:cs="Times New Roman"/>
          <w:highlight w:val="none"/>
          <w:lang w:eastAsia="zh-CN"/>
        </w:rPr>
        <w:t>。</w:t>
      </w:r>
      <w:r>
        <w:rPr>
          <w:rFonts w:hint="eastAsia" w:ascii="Times New Roman" w:hAnsi="Times New Roman" w:cs="Times New Roman"/>
          <w:highlight w:val="none"/>
          <w:lang w:val="en-US" w:eastAsia="zh-CN"/>
        </w:rPr>
        <w:t>2021年东梁幼儿园保障经费预算32.77万元，执行20.87万元，执行率63.67%；今年该项目实际支付3.95万元，结余1.24万元，主要原因是2022年8月至10月受疫情影响，学校开展线上上课，所以导致剩余资金。变化原因是2021年只有县级配套保障机制经费，2022年除了有保障机制经费，还有中央直达资金。</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20" w:name="_Toc100784594"/>
      <w:r>
        <w:rPr>
          <w:rFonts w:hint="default" w:ascii="Times New Roman" w:hAnsi="Times New Roman" w:eastAsia="仿宋" w:cs="Times New Roman"/>
          <w:sz w:val="32"/>
          <w:szCs w:val="32"/>
          <w:highlight w:val="none"/>
          <w:lang w:bidi="en-US"/>
        </w:rPr>
        <w:t>4.评价标准</w:t>
      </w:r>
      <w:bookmarkEnd w:id="20"/>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（1）计划标准。指以预先制定的目标、计划、预算、定额等作为评价标准。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（2）行业标准。指参照国家公布的行业指标数据制定的评价标准。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在上述评价标准的基础上，本次评价依据以下文件为重要指导和准绳：</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《中共中央国务院关于全面实施预算绩效管理的意见》（中发〔2018〕34号）</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《关于做好2019年部门预算项目支出绩效目标管理有关事宜的通知》（乌财预〔2018〕76号）</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《项目支出绩效评价管理办法》（财预〔2020〕10号）</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r>
        <w:rPr>
          <w:rFonts w:hint="default" w:ascii="Times New Roman" w:hAnsi="Times New Roman" w:eastAsia="仿宋" w:cs="Times New Roman"/>
          <w:sz w:val="32"/>
          <w:szCs w:val="32"/>
          <w:highlight w:val="none"/>
          <w:lang w:val="en-US" w:eastAsia="zh-CN" w:bidi="en-US"/>
        </w:rPr>
        <w:t xml:space="preserve"> </w:t>
      </w:r>
      <w:bookmarkStart w:id="21" w:name="_Toc100784595"/>
      <w:bookmarkStart w:id="22" w:name="_Toc67911607"/>
      <w:r>
        <w:rPr>
          <w:rFonts w:hint="default" w:ascii="Times New Roman" w:hAnsi="Times New Roman" w:eastAsia="仿宋" w:cs="Times New Roman"/>
          <w:sz w:val="32"/>
          <w:szCs w:val="32"/>
          <w:highlight w:val="none"/>
          <w:lang w:val="en-US" w:eastAsia="zh-CN" w:bidi="en-US"/>
        </w:rPr>
        <w:t>（三）绩效评价工作过程</w:t>
      </w:r>
      <w:bookmarkEnd w:id="21"/>
      <w:bookmarkEnd w:id="22"/>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1"/>
          <w:rFonts w:hint="default" w:ascii="Times New Roman" w:hAnsi="Times New Roman" w:cs="Times New Roman"/>
          <w:highlight w:val="none"/>
        </w:rPr>
        <w:footnoteReference w:id="0"/>
      </w:r>
      <w:r>
        <w:rPr>
          <w:rFonts w:hint="default" w:ascii="Times New Roman" w:hAnsi="Times New Roman" w:cs="Times New Roman"/>
          <w:highlight w:val="none"/>
        </w:rPr>
        <w:t>、材料审核分析、现场核查评价、综合分析评价及报告撰写，评价项目实施情况，展现资金使用效益。</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723" w:firstLineChars="200"/>
        <w:jc w:val="left"/>
        <w:textAlignment w:val="auto"/>
        <w:rPr>
          <w:rFonts w:hint="default" w:ascii="Times New Roman" w:hAnsi="Times New Roman" w:eastAsia="仿宋" w:cs="Times New Roman"/>
          <w:sz w:val="36"/>
          <w:szCs w:val="36"/>
          <w:highlight w:val="none"/>
          <w:lang w:bidi="en-US"/>
        </w:rPr>
      </w:pPr>
      <w:bookmarkStart w:id="23" w:name="_Toc100784596"/>
      <w:bookmarkStart w:id="24" w:name="_Toc6791160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三、综合评价情况及评价结论</w:t>
      </w:r>
      <w:bookmarkEnd w:id="23"/>
      <w:bookmarkEnd w:id="2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25" w:name="_Toc67911609"/>
      <w:bookmarkStart w:id="26" w:name="_Toc100784597"/>
      <w:r>
        <w:rPr>
          <w:rFonts w:hint="default" w:ascii="Times New Roman" w:hAnsi="Times New Roman" w:eastAsia="仿宋" w:cs="Times New Roman"/>
          <w:sz w:val="32"/>
          <w:szCs w:val="32"/>
          <w:highlight w:val="none"/>
          <w:lang w:val="en-US" w:eastAsia="zh-CN" w:bidi="en-US"/>
        </w:rPr>
        <w:t>（一）评价结论</w:t>
      </w:r>
      <w:bookmarkEnd w:id="25"/>
      <w:bookmarkEnd w:id="26"/>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结合项目特点，制定符合项目实际的绩效评价指标体系及评分标准，通过数据采集、问卷调查及访谈等形式，对2022年</w:t>
      </w:r>
      <w:r>
        <w:rPr>
          <w:rFonts w:hint="default" w:ascii="Times New Roman" w:hAnsi="Times New Roman" w:cs="Times New Roman"/>
          <w:highlight w:val="none"/>
        </w:rPr>
        <w:t xml:space="preserve">乌财科教【2021】102号关于提前下达2022年新疆西藏等地区教育特殊补助资金农村学前三年免费教育保障机制经费项目 </w:t>
      </w:r>
      <w:r>
        <w:rPr>
          <w:rFonts w:hint="default" w:ascii="Times New Roman" w:hAnsi="Times New Roman" w:cs="Times New Roman"/>
          <w:szCs w:val="28"/>
          <w:highlight w:val="none"/>
        </w:rPr>
        <w:t>进行客观评价，最终评分结果为：总分为</w:t>
      </w:r>
      <w:r>
        <w:rPr>
          <w:rFonts w:hint="eastAsia" w:ascii="Times New Roman" w:hAnsi="Times New Roman" w:cs="Times New Roman"/>
          <w:szCs w:val="28"/>
          <w:highlight w:val="none"/>
          <w:lang w:val="en-US" w:eastAsia="zh-CN"/>
        </w:rPr>
        <w:t>96.81</w:t>
      </w:r>
      <w:r>
        <w:rPr>
          <w:rFonts w:hint="default" w:ascii="Times New Roman" w:hAnsi="Times New Roman" w:cs="Times New Roman"/>
          <w:szCs w:val="28"/>
          <w:highlight w:val="none"/>
        </w:rPr>
        <w:t>分，绩效评级为“</w:t>
      </w:r>
      <w:r>
        <w:rPr>
          <w:rFonts w:hint="eastAsia" w:ascii="Times New Roman" w:hAnsi="Times New Roman" w:cs="Times New Roman"/>
          <w:szCs w:val="28"/>
          <w:highlight w:val="none"/>
          <w:lang w:val="en-US" w:eastAsia="zh-CN"/>
        </w:rPr>
        <w:t>优</w:t>
      </w:r>
      <w:r>
        <w:rPr>
          <w:rFonts w:hint="default" w:ascii="Times New Roman" w:hAnsi="Times New Roman" w:cs="Times New Roman"/>
          <w:szCs w:val="28"/>
          <w:highlight w:val="none"/>
        </w:rPr>
        <w:t>”</w:t>
      </w:r>
      <w:r>
        <w:rPr>
          <w:rStyle w:val="21"/>
          <w:rFonts w:hint="default" w:ascii="Times New Roman" w:hAnsi="Times New Roman" w:cs="Times New Roman"/>
          <w:szCs w:val="28"/>
          <w:highlight w:val="none"/>
        </w:rPr>
        <w:footnoteReference w:id="1"/>
      </w:r>
      <w:r>
        <w:rPr>
          <w:rFonts w:hint="default" w:ascii="Times New Roman" w:hAnsi="Times New Roman" w:cs="Times New Roman"/>
          <w:szCs w:val="28"/>
          <w:highlight w:val="none"/>
        </w:rPr>
        <w:t>。</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2022年</w:t>
      </w:r>
      <w:r>
        <w:rPr>
          <w:rFonts w:hint="default" w:ascii="Times New Roman" w:hAnsi="Times New Roman" w:cs="Times New Roman"/>
          <w:highlight w:val="none"/>
        </w:rPr>
        <w:t>乌财科教【2021】102号关于提前下达2022年新疆西藏等地区教育</w:t>
      </w:r>
      <w:r>
        <w:rPr>
          <w:rFonts w:hint="default" w:ascii="Times New Roman" w:hAnsi="Times New Roman" w:cs="Times New Roman"/>
          <w:szCs w:val="28"/>
          <w:highlight w:val="none"/>
        </w:rPr>
        <w:t>特殊补助资金农村学前三年免费教育保障机制经费各部分权重和绩效分值如附表所示：</w:t>
      </w:r>
    </w:p>
    <w:p>
      <w:pPr>
        <w:spacing w:line="360" w:lineRule="auto"/>
        <w:ind w:firstLine="0" w:firstLineChars="0"/>
        <w:jc w:val="center"/>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 xml:space="preserve">  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926"/>
        <w:gridCol w:w="101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分值</w:t>
            </w:r>
          </w:p>
        </w:tc>
        <w:tc>
          <w:tcPr>
            <w:tcW w:w="926"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得分</w:t>
            </w:r>
          </w:p>
        </w:tc>
        <w:tc>
          <w:tcPr>
            <w:tcW w:w="10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926"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4</w:t>
            </w:r>
          </w:p>
        </w:tc>
        <w:tc>
          <w:tcPr>
            <w:tcW w:w="10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926"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4</w:t>
            </w:r>
          </w:p>
        </w:tc>
        <w:tc>
          <w:tcPr>
            <w:tcW w:w="10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926"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11"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926"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11"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926"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926"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926"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11" w:type="dxa"/>
            <w:tcBorders>
              <w:tl2br w:val="nil"/>
              <w:tr2bl w:val="nil"/>
            </w:tcBorders>
            <w:shd w:val="clear" w:color="000000" w:fill="FFFFFF"/>
            <w:vAlign w:val="center"/>
          </w:tcPr>
          <w:p>
            <w:pPr>
              <w:widowControl/>
              <w:ind w:firstLine="0" w:firstLineChars="0"/>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926"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3.81</w:t>
            </w:r>
          </w:p>
        </w:tc>
        <w:tc>
          <w:tcPr>
            <w:tcW w:w="1011"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76.2%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926"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11"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926"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2</w:t>
            </w:r>
          </w:p>
        </w:tc>
        <w:tc>
          <w:tcPr>
            <w:tcW w:w="1011"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66.67%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926"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11"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75%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693" w:type="dxa"/>
            <w:tcBorders>
              <w:tl2br w:val="nil"/>
              <w:tr2bl w:val="nil"/>
            </w:tcBorders>
            <w:shd w:val="clear" w:color="auto" w:fill="FFFFFF"/>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享受学前三年免费教育惠及幼儿园数量</w:t>
            </w:r>
          </w:p>
        </w:tc>
        <w:tc>
          <w:tcPr>
            <w:tcW w:w="898" w:type="dxa"/>
            <w:tcBorders>
              <w:tl2br w:val="nil"/>
              <w:tr2bl w:val="nil"/>
            </w:tcBorders>
            <w:shd w:val="clear" w:color="000000" w:fill="FFFFFF"/>
            <w:vAlign w:val="center"/>
          </w:tcPr>
          <w:p>
            <w:pPr>
              <w:ind w:firstLine="0" w:firstLineChars="0"/>
              <w:jc w:val="center"/>
              <w:rPr>
                <w:rFonts w:hint="eastAsia" w:ascii="Times New Roman" w:hAnsi="Times New Roman"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5</w:t>
            </w:r>
          </w:p>
        </w:tc>
        <w:tc>
          <w:tcPr>
            <w:tcW w:w="926" w:type="dxa"/>
            <w:tcBorders>
              <w:tl2br w:val="nil"/>
              <w:tr2bl w:val="nil"/>
            </w:tcBorders>
            <w:shd w:val="clear" w:color="000000" w:fill="FFFFFF"/>
            <w:vAlign w:val="center"/>
          </w:tcPr>
          <w:p>
            <w:pPr>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11" w:type="dxa"/>
            <w:vMerge w:val="restart"/>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享受学前三年免费教育惠及幼儿园人数</w:t>
            </w:r>
          </w:p>
        </w:tc>
        <w:tc>
          <w:tcPr>
            <w:tcW w:w="898"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926" w:type="dxa"/>
            <w:tcBorders>
              <w:tl2br w:val="nil"/>
              <w:tr2bl w:val="nil"/>
            </w:tcBorders>
            <w:shd w:val="clear" w:color="000000" w:fill="FFFFFF"/>
            <w:vAlign w:val="center"/>
          </w:tcPr>
          <w:p>
            <w:pPr>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11" w:type="dxa"/>
            <w:vMerge w:val="continue"/>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产出质量</w:t>
            </w:r>
          </w:p>
        </w:tc>
        <w:tc>
          <w:tcPr>
            <w:tcW w:w="2693"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农村学前三年免费教育幼儿园入园率</w:t>
            </w:r>
          </w:p>
        </w:tc>
        <w:tc>
          <w:tcPr>
            <w:tcW w:w="898" w:type="dxa"/>
            <w:tcBorders>
              <w:tl2br w:val="nil"/>
              <w:tr2bl w:val="nil"/>
            </w:tcBorders>
            <w:shd w:val="clear" w:color="000000" w:fill="FFFFFF"/>
            <w:vAlign w:val="center"/>
          </w:tcPr>
          <w:p>
            <w:pPr>
              <w:ind w:firstLine="0" w:firstLineChars="0"/>
              <w:jc w:val="center"/>
              <w:rPr>
                <w:rFonts w:hint="eastAsia" w:ascii="Times New Roman" w:hAnsi="Times New Roman"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5</w:t>
            </w:r>
          </w:p>
        </w:tc>
        <w:tc>
          <w:tcPr>
            <w:tcW w:w="926" w:type="dxa"/>
            <w:tcBorders>
              <w:tl2br w:val="nil"/>
              <w:tr2bl w:val="nil"/>
            </w:tcBorders>
            <w:shd w:val="clear" w:color="000000" w:fill="FFFFFF"/>
            <w:vAlign w:val="center"/>
          </w:tcPr>
          <w:p>
            <w:pPr>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11"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国家通用语言覆盖率</w:t>
            </w:r>
          </w:p>
        </w:tc>
        <w:tc>
          <w:tcPr>
            <w:tcW w:w="898" w:type="dxa"/>
            <w:tcBorders>
              <w:tl2br w:val="nil"/>
              <w:tr2bl w:val="nil"/>
            </w:tcBorders>
            <w:shd w:val="clear" w:color="000000" w:fill="FFFFFF"/>
            <w:vAlign w:val="center"/>
          </w:tcPr>
          <w:p>
            <w:pPr>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926" w:type="dxa"/>
            <w:tcBorders>
              <w:tl2br w:val="nil"/>
              <w:tr2bl w:val="nil"/>
            </w:tcBorders>
            <w:shd w:val="clear" w:color="000000" w:fill="FFFFFF"/>
            <w:vAlign w:val="center"/>
          </w:tcPr>
          <w:p>
            <w:pPr>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11"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产出时效</w:t>
            </w:r>
          </w:p>
        </w:tc>
        <w:tc>
          <w:tcPr>
            <w:tcW w:w="2693"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项目完成及时率</w:t>
            </w:r>
          </w:p>
        </w:tc>
        <w:tc>
          <w:tcPr>
            <w:tcW w:w="898"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926" w:type="dxa"/>
            <w:tcBorders>
              <w:tl2br w:val="nil"/>
              <w:tr2bl w:val="nil"/>
            </w:tcBorders>
            <w:shd w:val="clear" w:color="000000" w:fill="FFFFFF"/>
            <w:vAlign w:val="center"/>
          </w:tcPr>
          <w:p>
            <w:pPr>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11"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产出成本</w:t>
            </w:r>
          </w:p>
        </w:tc>
        <w:tc>
          <w:tcPr>
            <w:tcW w:w="2693"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成本控制率</w:t>
            </w:r>
          </w:p>
        </w:tc>
        <w:tc>
          <w:tcPr>
            <w:tcW w:w="898"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926"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11"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效益</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项目效益</w:t>
            </w:r>
          </w:p>
        </w:tc>
        <w:tc>
          <w:tcPr>
            <w:tcW w:w="2693"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减轻我县农牧民家庭经济负担</w:t>
            </w:r>
          </w:p>
        </w:tc>
        <w:tc>
          <w:tcPr>
            <w:tcW w:w="898"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926"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11"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落实教育惠民政策率</w:t>
            </w:r>
          </w:p>
        </w:tc>
        <w:tc>
          <w:tcPr>
            <w:tcW w:w="898"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926" w:type="dxa"/>
            <w:tcBorders>
              <w:tl2br w:val="nil"/>
              <w:tr2bl w:val="nil"/>
            </w:tcBorders>
            <w:shd w:val="clear" w:color="000000" w:fill="FFFFFF"/>
            <w:vAlign w:val="center"/>
          </w:tcPr>
          <w:p>
            <w:pPr>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11"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满意度指标完成情况分析</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满意度指标</w:t>
            </w:r>
          </w:p>
        </w:tc>
        <w:tc>
          <w:tcPr>
            <w:tcW w:w="2693"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家长满意率</w:t>
            </w:r>
          </w:p>
        </w:tc>
        <w:tc>
          <w:tcPr>
            <w:tcW w:w="898" w:type="dxa"/>
            <w:tcBorders>
              <w:tl2br w:val="nil"/>
              <w:tr2bl w:val="nil"/>
            </w:tcBorders>
            <w:shd w:val="clear" w:color="000000" w:fill="FFFFFF"/>
            <w:vAlign w:val="center"/>
          </w:tcPr>
          <w:p>
            <w:pPr>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2</w:t>
            </w:r>
          </w:p>
        </w:tc>
        <w:tc>
          <w:tcPr>
            <w:tcW w:w="926" w:type="dxa"/>
            <w:tcBorders>
              <w:tl2br w:val="nil"/>
              <w:tr2bl w:val="nil"/>
            </w:tcBorders>
            <w:shd w:val="clear" w:color="000000" w:fill="FFFFFF"/>
            <w:vAlign w:val="center"/>
          </w:tcPr>
          <w:p>
            <w:pPr>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2</w:t>
            </w:r>
          </w:p>
        </w:tc>
        <w:tc>
          <w:tcPr>
            <w:tcW w:w="1011"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学生满意率</w:t>
            </w:r>
          </w:p>
        </w:tc>
        <w:tc>
          <w:tcPr>
            <w:tcW w:w="898" w:type="dxa"/>
            <w:tcBorders>
              <w:tl2br w:val="nil"/>
              <w:tr2bl w:val="nil"/>
            </w:tcBorders>
            <w:shd w:val="clear" w:color="000000" w:fill="FFFFFF"/>
            <w:vAlign w:val="center"/>
          </w:tcPr>
          <w:p>
            <w:pPr>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926" w:type="dxa"/>
            <w:tcBorders>
              <w:tl2br w:val="nil"/>
              <w:tr2bl w:val="nil"/>
            </w:tcBorders>
            <w:shd w:val="clear" w:color="000000" w:fill="FFFFFF"/>
            <w:vAlign w:val="center"/>
          </w:tcPr>
          <w:p>
            <w:pPr>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11"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bookmarkStart w:id="27" w:name="_Toc100784598"/>
            <w:bookmarkStart w:id="28" w:name="_Toc67911610"/>
            <w:r>
              <w:rPr>
                <w:rFonts w:hint="eastAsia" w:ascii="Times New Roman" w:hAnsi="Times New Roman" w:cs="Times New Roman"/>
                <w:b/>
                <w:bCs/>
                <w:kern w:val="0"/>
                <w:sz w:val="24"/>
                <w:szCs w:val="24"/>
                <w:highlight w:val="none"/>
                <w:lang w:eastAsia="zh-CN"/>
              </w:rPr>
              <w:t>合计</w:t>
            </w:r>
          </w:p>
        </w:tc>
        <w:tc>
          <w:tcPr>
            <w:tcW w:w="1757"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898"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c>
          <w:tcPr>
            <w:tcW w:w="926"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96.81</w:t>
            </w:r>
          </w:p>
        </w:tc>
        <w:tc>
          <w:tcPr>
            <w:tcW w:w="1011"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96.81%</w:t>
            </w:r>
          </w:p>
        </w:tc>
      </w:tr>
    </w:tbl>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val="en-US" w:eastAsia="zh-CN" w:bidi="en-US"/>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r>
        <w:rPr>
          <w:rFonts w:hint="default" w:ascii="Times New Roman" w:hAnsi="Times New Roman" w:eastAsia="仿宋" w:cs="Times New Roman"/>
          <w:sz w:val="32"/>
          <w:szCs w:val="32"/>
          <w:highlight w:val="none"/>
          <w:lang w:val="en-US" w:eastAsia="zh-CN" w:bidi="en-US"/>
        </w:rPr>
        <w:t>（二）主要绩效</w:t>
      </w:r>
      <w:bookmarkEnd w:id="27"/>
      <w:bookmarkEnd w:id="28"/>
    </w:p>
    <w:p>
      <w:pPr>
        <w:spacing w:line="360" w:lineRule="auto"/>
        <w:ind w:firstLine="560"/>
        <w:rPr>
          <w:rFonts w:hint="eastAsia" w:ascii="Times New Roman" w:hAnsi="Times New Roman" w:cs="Times New Roman"/>
          <w:szCs w:val="28"/>
          <w:highlight w:val="none"/>
          <w:lang w:val="en-US" w:eastAsia="zh-CN"/>
        </w:rPr>
      </w:pPr>
      <w:r>
        <w:rPr>
          <w:rFonts w:hint="default" w:ascii="Times New Roman" w:hAnsi="Times New Roman" w:cs="Times New Roman"/>
          <w:szCs w:val="28"/>
          <w:highlight w:val="none"/>
        </w:rPr>
        <w:t>该项目资金区财政及时拨付，单位在此次评价期间内，有序完成设定目标的部分工作任务</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rPr>
        <w:t>该项目资金</w:t>
      </w:r>
      <w:r>
        <w:rPr>
          <w:rFonts w:hint="eastAsia" w:ascii="Times New Roman" w:hAnsi="Times New Roman" w:cs="Times New Roman"/>
          <w:szCs w:val="28"/>
          <w:highlight w:val="none"/>
          <w:lang w:eastAsia="zh-CN"/>
        </w:rPr>
        <w:t>为中央资金</w:t>
      </w:r>
      <w:r>
        <w:rPr>
          <w:rFonts w:hint="eastAsia" w:ascii="Times New Roman" w:hAnsi="Times New Roman" w:cs="Times New Roman"/>
          <w:szCs w:val="28"/>
          <w:highlight w:val="none"/>
        </w:rPr>
        <w:t>及时拨付，全面普及农村学前三年免费教育，保障了我县幼儿园各项工作正常运转，做到了适龄幼儿应入尽入，学前经费应保尽保，规范并优化了幼儿园办园环境，提升了办园品质，促进幼儿园向内函发展，为幼儿的健康发展营造了一个有力量的，可以互动的环境。受到幼儿家长的一致好评。乌财科教【2021】102号关于提前下达2022年新疆西藏等地区教育特殊补助资金农村学前三年免费教育保障机制经费</w:t>
      </w:r>
      <w:r>
        <w:rPr>
          <w:rFonts w:hint="eastAsia" w:ascii="Times New Roman" w:hAnsi="Times New Roman" w:cs="Times New Roman"/>
          <w:szCs w:val="28"/>
          <w:highlight w:val="none"/>
          <w:lang w:val="en-US" w:eastAsia="zh-CN"/>
        </w:rPr>
        <w:t>的</w:t>
      </w:r>
      <w:r>
        <w:rPr>
          <w:rFonts w:hint="eastAsia" w:ascii="Times New Roman" w:hAnsi="Times New Roman" w:cs="Times New Roman"/>
          <w:szCs w:val="28"/>
          <w:highlight w:val="none"/>
          <w:lang w:eastAsia="zh-CN"/>
        </w:rPr>
        <w:t>通知，</w:t>
      </w:r>
      <w:r>
        <w:rPr>
          <w:rFonts w:hint="eastAsia" w:ascii="Times New Roman" w:hAnsi="Times New Roman" w:cs="Times New Roman"/>
          <w:szCs w:val="28"/>
          <w:highlight w:val="none"/>
        </w:rPr>
        <w:t>2022年中央资金，共安排预算</w:t>
      </w:r>
      <w:r>
        <w:rPr>
          <w:rFonts w:hint="eastAsia" w:ascii="Times New Roman" w:hAnsi="Times New Roman" w:cs="Times New Roman"/>
          <w:szCs w:val="28"/>
          <w:highlight w:val="none"/>
          <w:lang w:val="en-US" w:eastAsia="zh-CN"/>
        </w:rPr>
        <w:t>5.19</w:t>
      </w:r>
      <w:r>
        <w:rPr>
          <w:rFonts w:hint="eastAsia" w:ascii="Times New Roman" w:hAnsi="Times New Roman" w:cs="Times New Roman"/>
          <w:szCs w:val="28"/>
          <w:highlight w:val="none"/>
        </w:rPr>
        <w:t>万元，于2022年年中追加资金</w:t>
      </w:r>
      <w:r>
        <w:rPr>
          <w:rFonts w:hint="eastAsia" w:ascii="Times New Roman" w:hAnsi="Times New Roman" w:cs="Times New Roman"/>
          <w:szCs w:val="28"/>
          <w:highlight w:val="none"/>
          <w:lang w:eastAsia="zh-CN"/>
        </w:rPr>
        <w:t>，资金安排</w:t>
      </w:r>
      <w:r>
        <w:rPr>
          <w:rFonts w:hint="eastAsia" w:ascii="Times New Roman" w:hAnsi="Times New Roman" w:cs="Times New Roman"/>
          <w:szCs w:val="28"/>
          <w:highlight w:val="none"/>
        </w:rPr>
        <w:t>到位情况</w:t>
      </w:r>
      <w:r>
        <w:rPr>
          <w:rFonts w:hint="eastAsia" w:ascii="Times New Roman" w:hAnsi="Times New Roman" w:cs="Times New Roman"/>
          <w:szCs w:val="28"/>
          <w:highlight w:val="none"/>
          <w:lang w:val="en-US" w:eastAsia="zh-CN"/>
        </w:rPr>
        <w:t>5.19万元，其细分为：办公费2万元，其他商品和服务支出3.19万元。截止2022年12月31日，该项目共支出3.95万元，结余1.24万元，全年执行率76.11%。</w:t>
      </w:r>
      <w:bookmarkStart w:id="29" w:name="_Toc100784599"/>
      <w:bookmarkStart w:id="30" w:name="_Toc67911611"/>
    </w:p>
    <w:p>
      <w:pPr>
        <w:spacing w:line="360" w:lineRule="auto"/>
        <w:ind w:firstLine="560"/>
        <w:rPr>
          <w:rFonts w:hint="default" w:ascii="Times New Roman" w:hAnsi="Times New Roman" w:cs="Times New Roman"/>
          <w:color w:val="auto"/>
          <w:highlight w:val="none"/>
          <w:lang w:val="en-US" w:eastAsia="zh-CN"/>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四、绩效评价指标分析</w:t>
      </w:r>
      <w:bookmarkEnd w:id="29"/>
      <w:bookmarkEnd w:id="3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31" w:name="_Toc67911612"/>
      <w:bookmarkStart w:id="32" w:name="_Toc100784600"/>
      <w:r>
        <w:rPr>
          <w:rFonts w:hint="default" w:ascii="Times New Roman" w:hAnsi="Times New Roman" w:eastAsia="仿宋" w:cs="Times New Roman"/>
          <w:sz w:val="32"/>
          <w:szCs w:val="32"/>
          <w:highlight w:val="none"/>
          <w:lang w:bidi="en-US"/>
        </w:rPr>
        <w:t>（一）项目决策情况</w:t>
      </w:r>
      <w:bookmarkEnd w:id="31"/>
      <w:bookmarkEnd w:id="32"/>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项目决算指标由3个二级指标和6个三级指标构成，权重为20分，实际得分</w:t>
      </w:r>
      <w:r>
        <w:rPr>
          <w:rFonts w:hint="eastAsia" w:ascii="Times New Roman" w:hAnsi="Times New Roman" w:cs="Times New Roman"/>
          <w:szCs w:val="28"/>
          <w:highlight w:val="none"/>
          <w:lang w:val="en-US" w:eastAsia="zh-CN"/>
        </w:rPr>
        <w:t>20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3" w:name="_Toc100784601"/>
      <w:r>
        <w:rPr>
          <w:rFonts w:hint="default" w:ascii="Times New Roman" w:hAnsi="Times New Roman" w:eastAsia="仿宋" w:cs="Times New Roman"/>
          <w:sz w:val="32"/>
          <w:szCs w:val="32"/>
          <w:highlight w:val="none"/>
          <w:lang w:bidi="en-US"/>
        </w:rPr>
        <w:t>1.项目立项</w:t>
      </w:r>
      <w:bookmarkEnd w:id="33"/>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立项依据充分性：</w:t>
      </w:r>
      <w:r>
        <w:rPr>
          <w:rFonts w:hint="default" w:ascii="Times New Roman" w:hAnsi="Times New Roman" w:cs="Times New Roman"/>
          <w:szCs w:val="28"/>
          <w:highlight w:val="none"/>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立项程序规范性:</w:t>
      </w:r>
      <w:r>
        <w:rPr>
          <w:rFonts w:hint="default" w:ascii="Times New Roman" w:hAnsi="Times New Roman" w:cs="Times New Roman"/>
          <w:highlight w:val="none"/>
        </w:rPr>
        <w:t xml:space="preserve"> </w:t>
      </w:r>
      <w:r>
        <w:rPr>
          <w:rFonts w:hint="default" w:ascii="Times New Roman" w:hAnsi="Times New Roman" w:cs="Times New Roman"/>
          <w:szCs w:val="28"/>
          <w:highlight w:val="none"/>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综上，该指标满分8分，得分8分。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4" w:name="_Toc100784602"/>
      <w:r>
        <w:rPr>
          <w:rFonts w:hint="default" w:ascii="Times New Roman" w:hAnsi="Times New Roman" w:eastAsia="仿宋" w:cs="Times New Roman"/>
          <w:sz w:val="32"/>
          <w:szCs w:val="32"/>
          <w:highlight w:val="none"/>
          <w:lang w:bidi="en-US"/>
        </w:rPr>
        <w:t>2.绩效目标</w:t>
      </w:r>
      <w:bookmarkEnd w:id="34"/>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绩效目标合理性：</w:t>
      </w:r>
      <w:r>
        <w:rPr>
          <w:rFonts w:hint="default" w:ascii="Times New Roman" w:hAnsi="Times New Roman" w:cs="Times New Roman"/>
          <w:szCs w:val="28"/>
          <w:highlight w:val="none"/>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kern w:val="0"/>
          <w:szCs w:val="28"/>
          <w:highlight w:val="none"/>
        </w:rPr>
      </w:pPr>
      <w:r>
        <w:rPr>
          <w:rFonts w:hint="default" w:ascii="Times New Roman" w:hAnsi="Times New Roman" w:cs="Times New Roman"/>
          <w:b/>
          <w:kern w:val="0"/>
          <w:szCs w:val="28"/>
          <w:highlight w:val="none"/>
        </w:rPr>
        <w:t>绩效目标明确性：</w:t>
      </w:r>
      <w:r>
        <w:rPr>
          <w:rFonts w:hint="eastAsia" w:ascii="仿宋_GB2312" w:hAnsi="仿宋_GB2312" w:eastAsia="仿宋_GB2312" w:cs="仿宋_GB2312"/>
          <w:sz w:val="28"/>
          <w:szCs w:val="28"/>
          <w:highlight w:val="none"/>
        </w:rPr>
        <w:t>本单位年初编制《绩效目标申报表》，依据充分，项目的总体绩效目标为通过学前教育发展保障机制经费支出，保障了我县幼儿园正常运转，做到了适龄幼儿应入尽入，学前经费应保尽保，规范并优化了幼儿园办园环境，提升了办园品质，促进幼儿园向内函发展，为幼儿的健康发展营造了一个有力量的，为幼儿的健康发展营造了一个有力量的，可以互动的环境。受到幼儿家长的一致好评。目标已细化为具体的绩效指标，可通过数量指标、质量指标、时效指标和成本指标予以量化，并具有确切的评价标准，且指标设定均与目标相关。</w:t>
      </w:r>
      <w:r>
        <w:rPr>
          <w:rFonts w:hint="default" w:ascii="Times New Roman" w:hAnsi="Times New Roman" w:cs="Times New Roman"/>
          <w:kern w:val="0"/>
          <w:szCs w:val="28"/>
          <w:highlight w:val="none"/>
        </w:rPr>
        <w:t>故绩效目标明确性指标得分3分。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综上，该指标满分6分，得分6分。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5" w:name="_Toc100784603"/>
      <w:r>
        <w:rPr>
          <w:rFonts w:hint="default" w:ascii="Times New Roman" w:hAnsi="Times New Roman" w:eastAsia="仿宋" w:cs="Times New Roman"/>
          <w:sz w:val="32"/>
          <w:szCs w:val="32"/>
          <w:highlight w:val="none"/>
          <w:lang w:bidi="en-US"/>
        </w:rPr>
        <w:t>3.资金投入</w:t>
      </w:r>
      <w:bookmarkEnd w:id="35"/>
    </w:p>
    <w:p>
      <w:pPr>
        <w:autoSpaceDE w:val="0"/>
        <w:spacing w:line="600" w:lineRule="exact"/>
        <w:ind w:firstLine="562"/>
        <w:rPr>
          <w:rFonts w:hint="default" w:ascii="Times New Roman" w:hAnsi="Times New Roman" w:cs="Times New Roman"/>
          <w:bCs/>
          <w:kern w:val="0"/>
          <w:szCs w:val="28"/>
          <w:highlight w:val="none"/>
        </w:rPr>
      </w:pPr>
      <w:r>
        <w:rPr>
          <w:rFonts w:hint="default" w:ascii="Times New Roman" w:hAnsi="Times New Roman" w:cs="Times New Roman"/>
          <w:b/>
          <w:kern w:val="0"/>
          <w:szCs w:val="28"/>
          <w:highlight w:val="none"/>
        </w:rPr>
        <w:t>预算编制科学性：</w:t>
      </w:r>
      <w:r>
        <w:rPr>
          <w:rFonts w:hint="eastAsia" w:ascii="仿宋_GB2312" w:hAnsi="仿宋_GB2312" w:eastAsia="仿宋_GB2312" w:cs="仿宋_GB2312"/>
          <w:sz w:val="28"/>
          <w:szCs w:val="28"/>
          <w:highlight w:val="none"/>
        </w:rPr>
        <w:t>项</w:t>
      </w:r>
      <w:r>
        <w:rPr>
          <w:rFonts w:hint="eastAsia" w:ascii="Times New Roman" w:hAnsi="Times New Roman" w:cs="Times New Roman"/>
          <w:highlight w:val="none"/>
          <w:lang w:val="en-US" w:eastAsia="zh-CN"/>
        </w:rPr>
        <w:t>目预算编制有明确的标准，资金与年度目标相适应。</w:t>
      </w:r>
      <w:r>
        <w:rPr>
          <w:rFonts w:hint="eastAsia" w:ascii="Times New Roman" w:hAnsi="Times New Roman" w:cs="Times New Roman"/>
          <w:color w:val="auto"/>
          <w:highlight w:val="none"/>
        </w:rPr>
        <w:t>乌财科教【2021】102号关于提前下达2022年新疆西藏等地区教育特殊补助资金农村学前三年免费教育保障机制经费</w:t>
      </w:r>
      <w:r>
        <w:rPr>
          <w:rFonts w:hint="eastAsia" w:ascii="Times New Roman" w:hAnsi="Times New Roman" w:cs="Times New Roman"/>
          <w:color w:val="auto"/>
          <w:highlight w:val="none"/>
          <w:lang w:val="en-US" w:eastAsia="zh-CN"/>
        </w:rPr>
        <w:t>的</w:t>
      </w:r>
      <w:r>
        <w:rPr>
          <w:rFonts w:hint="eastAsia" w:ascii="Times New Roman" w:hAnsi="Times New Roman" w:cs="Times New Roman"/>
          <w:color w:val="auto"/>
          <w:highlight w:val="none"/>
          <w:lang w:eastAsia="zh-CN"/>
        </w:rPr>
        <w:t>通知</w:t>
      </w:r>
      <w:r>
        <w:rPr>
          <w:rFonts w:hint="eastAsia" w:ascii="Times New Roman" w:hAnsi="Times New Roman" w:cs="Times New Roman"/>
          <w:highlight w:val="none"/>
          <w:lang w:val="en-US" w:eastAsia="zh-CN"/>
        </w:rPr>
        <w:t>，2022年中央资金，共安排预算5.19万元，于2022年年中追加资金，资金安排到位情况5.19万元。</w:t>
      </w:r>
      <w:r>
        <w:rPr>
          <w:rFonts w:hint="default" w:ascii="Times New Roman" w:hAnsi="Times New Roman" w:cs="Times New Roman"/>
          <w:kern w:val="0"/>
          <w:szCs w:val="28"/>
          <w:highlight w:val="none"/>
        </w:rPr>
        <w:t>故预算编制科学性指标得分3分。</w:t>
      </w:r>
    </w:p>
    <w:p>
      <w:pPr>
        <w:spacing w:line="360" w:lineRule="auto"/>
        <w:ind w:firstLine="562"/>
        <w:rPr>
          <w:rFonts w:hint="default" w:ascii="Times New Roman" w:hAnsi="Times New Roman" w:cs="Times New Roman"/>
          <w:highlight w:val="none"/>
        </w:rPr>
      </w:pPr>
      <w:r>
        <w:rPr>
          <w:rFonts w:hint="default" w:ascii="Times New Roman" w:hAnsi="Times New Roman" w:cs="Times New Roman"/>
          <w:b/>
          <w:bCs/>
          <w:highlight w:val="none"/>
        </w:rPr>
        <w:t>资金分配合理性</w:t>
      </w:r>
      <w:r>
        <w:rPr>
          <w:rFonts w:hint="default" w:ascii="Times New Roman" w:hAnsi="Times New Roman" w:cs="Times New Roman"/>
          <w:highlight w:val="none"/>
        </w:rPr>
        <w:t>：</w:t>
      </w:r>
      <w:r>
        <w:rPr>
          <w:rFonts w:hint="eastAsia" w:ascii="Times New Roman" w:hAnsi="Times New Roman" w:cs="Times New Roman"/>
          <w:highlight w:val="none"/>
          <w:lang w:val="en-US" w:eastAsia="zh-CN"/>
        </w:rPr>
        <w:t>我单位项目预算资金有详细的测算依据，与单位实际相适应，</w:t>
      </w:r>
      <w:r>
        <w:rPr>
          <w:rFonts w:hint="eastAsia" w:ascii="Times New Roman" w:hAnsi="Times New Roman" w:cs="Times New Roman"/>
          <w:color w:val="auto"/>
          <w:highlight w:val="none"/>
        </w:rPr>
        <w:t>乌财科教【2021】102号关于提前下达2022年新疆西藏等地区教育特殊补助资金农村学前三年免费教育保障机制经费</w:t>
      </w:r>
      <w:r>
        <w:rPr>
          <w:rFonts w:hint="eastAsia" w:ascii="Times New Roman" w:hAnsi="Times New Roman" w:cs="Times New Roman"/>
          <w:color w:val="auto"/>
          <w:highlight w:val="none"/>
          <w:lang w:val="en-US" w:eastAsia="zh-CN"/>
        </w:rPr>
        <w:t>的</w:t>
      </w:r>
      <w:r>
        <w:rPr>
          <w:rFonts w:hint="eastAsia" w:ascii="Times New Roman" w:hAnsi="Times New Roman" w:cs="Times New Roman"/>
          <w:color w:val="auto"/>
          <w:highlight w:val="none"/>
          <w:lang w:eastAsia="zh-CN"/>
        </w:rPr>
        <w:t>通知</w:t>
      </w:r>
      <w:r>
        <w:rPr>
          <w:rFonts w:hint="eastAsia" w:ascii="Times New Roman" w:hAnsi="Times New Roman" w:cs="Times New Roman"/>
          <w:highlight w:val="none"/>
          <w:lang w:val="en-US" w:eastAsia="zh-CN"/>
        </w:rPr>
        <w:t>，2022年中央资金，共安排预算5.19万元（</w:t>
      </w:r>
      <w:r>
        <w:rPr>
          <w:rFonts w:hint="eastAsia" w:ascii="Times New Roman" w:hAnsi="Times New Roman" w:cs="Times New Roman"/>
          <w:szCs w:val="28"/>
          <w:highlight w:val="none"/>
          <w:lang w:val="en-US" w:eastAsia="zh-CN"/>
        </w:rPr>
        <w:t>办公费2万元、其他商品和服务支出3.19万元</w:t>
      </w:r>
      <w:r>
        <w:rPr>
          <w:rFonts w:hint="eastAsia" w:ascii="Times New Roman" w:hAnsi="Times New Roman" w:cs="Times New Roman"/>
          <w:highlight w:val="none"/>
          <w:lang w:val="en-US" w:eastAsia="zh-CN"/>
        </w:rPr>
        <w:t>），在项目运作后，可以完全覆盖成本</w:t>
      </w:r>
      <w:r>
        <w:rPr>
          <w:rFonts w:hint="default" w:ascii="Times New Roman" w:hAnsi="Times New Roman" w:cs="Times New Roman"/>
          <w:b/>
          <w:kern w:val="0"/>
          <w:szCs w:val="28"/>
          <w:highlight w:val="none"/>
        </w:rPr>
        <w:t>。</w:t>
      </w:r>
      <w:r>
        <w:rPr>
          <w:rFonts w:hint="default" w:ascii="Times New Roman" w:hAnsi="Times New Roman" w:cs="Times New Roman"/>
          <w:kern w:val="0"/>
          <w:szCs w:val="28"/>
          <w:highlight w:val="none"/>
        </w:rPr>
        <w:t>故资金分配合理性指标得分3分。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综上，该指标满分6分，得分</w:t>
      </w:r>
      <w:r>
        <w:rPr>
          <w:rFonts w:hint="eastAsia" w:ascii="Times New Roman" w:hAnsi="Times New Roman" w:cs="Times New Roman"/>
          <w:b/>
          <w:kern w:val="0"/>
          <w:szCs w:val="28"/>
          <w:highlight w:val="none"/>
          <w:lang w:val="en-US" w:eastAsia="zh-CN"/>
        </w:rPr>
        <w:t>6</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36" w:name="_Toc67911613"/>
      <w:bookmarkStart w:id="37" w:name="_Toc100784604"/>
      <w:r>
        <w:rPr>
          <w:rFonts w:hint="default" w:ascii="Times New Roman" w:hAnsi="Times New Roman" w:eastAsia="仿宋" w:cs="Times New Roman"/>
          <w:sz w:val="32"/>
          <w:szCs w:val="32"/>
          <w:highlight w:val="none"/>
          <w:lang w:bidi="en-US"/>
        </w:rPr>
        <w:t>（二）项目过程情况</w:t>
      </w:r>
      <w:bookmarkEnd w:id="36"/>
      <w:bookmarkEnd w:id="37"/>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项目过程指标由2个二级指标和5个三级指标构成，权重为20分，实际得分</w:t>
      </w:r>
      <w:r>
        <w:rPr>
          <w:rFonts w:hint="eastAsia" w:ascii="Times New Roman" w:hAnsi="Times New Roman" w:cs="Times New Roman"/>
          <w:szCs w:val="28"/>
          <w:highlight w:val="none"/>
          <w:lang w:val="en-US" w:eastAsia="zh-CN"/>
        </w:rPr>
        <w:t>16.81</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8" w:name="_Toc100784605"/>
      <w:r>
        <w:rPr>
          <w:rFonts w:hint="default" w:ascii="Times New Roman" w:hAnsi="Times New Roman" w:eastAsia="仿宋" w:cs="Times New Roman"/>
          <w:sz w:val="32"/>
          <w:szCs w:val="32"/>
          <w:highlight w:val="none"/>
          <w:lang w:bidi="en-US"/>
        </w:rPr>
        <w:t>1.资金管理</w:t>
      </w:r>
      <w:bookmarkEnd w:id="38"/>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资金到位率：</w:t>
      </w:r>
      <w:r>
        <w:rPr>
          <w:rFonts w:hint="eastAsia" w:ascii="Times New Roman" w:hAnsi="Times New Roman" w:cs="Times New Roman"/>
          <w:szCs w:val="28"/>
          <w:highlight w:val="none"/>
        </w:rPr>
        <w:t>乌财科教【2021】102号关于提前下达2022年新疆西藏等地区教育特殊补助资金农村学前三年免费教育保障机制经费</w:t>
      </w:r>
      <w:r>
        <w:rPr>
          <w:rFonts w:hint="eastAsia" w:ascii="Times New Roman" w:hAnsi="Times New Roman" w:cs="Times New Roman"/>
          <w:szCs w:val="28"/>
          <w:highlight w:val="none"/>
          <w:lang w:val="en-US" w:eastAsia="zh-CN"/>
        </w:rPr>
        <w:t>的</w:t>
      </w:r>
      <w:r>
        <w:rPr>
          <w:rFonts w:hint="eastAsia" w:ascii="Times New Roman" w:hAnsi="Times New Roman" w:cs="Times New Roman"/>
          <w:szCs w:val="28"/>
          <w:highlight w:val="none"/>
          <w:lang w:eastAsia="zh-CN"/>
        </w:rPr>
        <w:t>通知。</w:t>
      </w:r>
      <w:r>
        <w:rPr>
          <w:rFonts w:hint="eastAsia" w:ascii="Times New Roman" w:hAnsi="Times New Roman" w:cs="Times New Roman"/>
          <w:szCs w:val="28"/>
          <w:highlight w:val="none"/>
          <w:lang w:val="en-US" w:eastAsia="zh-CN"/>
        </w:rPr>
        <w:t>2022年1月份，</w:t>
      </w:r>
      <w:r>
        <w:rPr>
          <w:rFonts w:hint="eastAsia" w:ascii="Times New Roman" w:hAnsi="Times New Roman" w:cs="Times New Roman"/>
          <w:szCs w:val="28"/>
          <w:highlight w:val="none"/>
          <w:lang w:eastAsia="zh-CN"/>
        </w:rPr>
        <w:t>收到中央资金</w:t>
      </w:r>
      <w:r>
        <w:rPr>
          <w:rFonts w:hint="eastAsia" w:ascii="Times New Roman" w:hAnsi="Times New Roman" w:cs="Times New Roman"/>
          <w:szCs w:val="28"/>
          <w:highlight w:val="none"/>
          <w:lang w:val="en-US" w:eastAsia="zh-CN"/>
        </w:rPr>
        <w:t>5.19万元，资金到位率100%，</w:t>
      </w:r>
      <w:r>
        <w:rPr>
          <w:rFonts w:hint="default" w:ascii="Times New Roman" w:hAnsi="Times New Roman" w:cs="Times New Roman"/>
          <w:szCs w:val="28"/>
          <w:highlight w:val="none"/>
        </w:rPr>
        <w:t>故资金到位率指标得分</w:t>
      </w:r>
      <w:r>
        <w:rPr>
          <w:rFonts w:hint="eastAsia" w:ascii="Times New Roman" w:hAnsi="Times New Roman" w:cs="Times New Roman"/>
          <w:szCs w:val="28"/>
          <w:highlight w:val="none"/>
          <w:lang w:val="en-US" w:eastAsia="zh-CN"/>
        </w:rPr>
        <w:t>5</w:t>
      </w:r>
      <w:r>
        <w:rPr>
          <w:rFonts w:hint="default" w:ascii="Times New Roman" w:hAnsi="Times New Roman" w:cs="Times New Roman"/>
          <w:szCs w:val="28"/>
          <w:highlight w:val="none"/>
        </w:rPr>
        <w:t>分。</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b/>
          <w:bCs/>
          <w:szCs w:val="28"/>
          <w:highlight w:val="none"/>
        </w:rPr>
        <w:t>预算执行率：</w:t>
      </w:r>
      <w:r>
        <w:rPr>
          <w:rFonts w:hint="eastAsia" w:ascii="Times New Roman" w:hAnsi="Times New Roman" w:cs="Times New Roman"/>
          <w:color w:val="auto"/>
          <w:highlight w:val="none"/>
        </w:rPr>
        <w:t>乌财科教【2021】102号关于提前下达2022年新疆西藏等地区教育特殊补助资金农村学前三年免费教育保障机制经费</w:t>
      </w:r>
      <w:r>
        <w:rPr>
          <w:rFonts w:hint="eastAsia" w:ascii="Times New Roman" w:hAnsi="Times New Roman" w:cs="Times New Roman"/>
          <w:color w:val="auto"/>
          <w:highlight w:val="none"/>
          <w:lang w:val="en-US" w:eastAsia="zh-CN"/>
        </w:rPr>
        <w:t>的</w:t>
      </w:r>
      <w:r>
        <w:rPr>
          <w:rFonts w:hint="eastAsia" w:ascii="Times New Roman" w:hAnsi="Times New Roman" w:cs="Times New Roman"/>
          <w:color w:val="auto"/>
          <w:highlight w:val="none"/>
          <w:lang w:eastAsia="zh-CN"/>
        </w:rPr>
        <w:t>通知</w:t>
      </w:r>
      <w:r>
        <w:rPr>
          <w:rFonts w:hint="eastAsia" w:ascii="Times New Roman" w:hAnsi="Times New Roman" w:cs="Times New Roman"/>
          <w:szCs w:val="28"/>
          <w:highlight w:val="none"/>
          <w:lang w:eastAsia="zh-CN"/>
        </w:rPr>
        <w:t>截止</w:t>
      </w:r>
      <w:r>
        <w:rPr>
          <w:rFonts w:hint="eastAsia" w:ascii="Times New Roman" w:hAnsi="Times New Roman" w:cs="Times New Roman"/>
          <w:szCs w:val="28"/>
          <w:highlight w:val="none"/>
          <w:lang w:val="en-US" w:eastAsia="zh-CN"/>
        </w:rPr>
        <w:t>2022年12月31日</w:t>
      </w:r>
      <w:r>
        <w:rPr>
          <w:rFonts w:hint="eastAsia" w:ascii="Times New Roman" w:hAnsi="Times New Roman" w:cs="Times New Roman"/>
          <w:szCs w:val="28"/>
          <w:highlight w:val="none"/>
        </w:rPr>
        <w:t>经费共支出</w:t>
      </w:r>
      <w:r>
        <w:rPr>
          <w:rFonts w:hint="eastAsia" w:ascii="Times New Roman" w:hAnsi="Times New Roman" w:cs="Times New Roman"/>
          <w:szCs w:val="28"/>
          <w:highlight w:val="none"/>
          <w:lang w:val="en-US" w:eastAsia="zh-CN"/>
        </w:rPr>
        <w:t>3.95</w:t>
      </w:r>
      <w:r>
        <w:rPr>
          <w:rFonts w:hint="eastAsia" w:ascii="Times New Roman" w:hAnsi="Times New Roman" w:cs="Times New Roman"/>
          <w:szCs w:val="28"/>
          <w:highlight w:val="none"/>
        </w:rPr>
        <w:t>万元，执行率为</w:t>
      </w:r>
      <w:r>
        <w:rPr>
          <w:rFonts w:hint="eastAsia" w:ascii="Times New Roman" w:hAnsi="Times New Roman" w:cs="Times New Roman"/>
          <w:szCs w:val="28"/>
          <w:highlight w:val="none"/>
          <w:lang w:val="en-US" w:eastAsia="zh-CN"/>
        </w:rPr>
        <w:t>76.11</w:t>
      </w:r>
      <w:r>
        <w:rPr>
          <w:rFonts w:hint="eastAsia" w:ascii="Times New Roman" w:hAnsi="Times New Roman" w:cs="Times New Roman"/>
          <w:szCs w:val="28"/>
          <w:highlight w:val="none"/>
        </w:rPr>
        <w:t>%</w:t>
      </w:r>
      <w:r>
        <w:rPr>
          <w:rFonts w:hint="eastAsia" w:ascii="Times New Roman" w:hAnsi="Times New Roman" w:cs="Times New Roman"/>
          <w:szCs w:val="28"/>
          <w:highlight w:val="none"/>
          <w:lang w:eastAsia="zh-CN"/>
        </w:rPr>
        <w:t>，</w:t>
      </w:r>
      <w:r>
        <w:rPr>
          <w:rFonts w:hint="default" w:ascii="Times New Roman" w:hAnsi="Times New Roman" w:cs="Times New Roman"/>
          <w:szCs w:val="28"/>
          <w:highlight w:val="none"/>
        </w:rPr>
        <w:t>故预算执行率得分为</w:t>
      </w:r>
      <w:r>
        <w:rPr>
          <w:rFonts w:hint="eastAsia" w:ascii="Times New Roman" w:hAnsi="Times New Roman" w:cs="Times New Roman"/>
          <w:szCs w:val="28"/>
          <w:highlight w:val="none"/>
          <w:lang w:val="en-US" w:eastAsia="zh-CN"/>
        </w:rPr>
        <w:t>3.81</w:t>
      </w:r>
      <w:r>
        <w:rPr>
          <w:rFonts w:hint="default" w:ascii="Times New Roman" w:hAnsi="Times New Roman" w:cs="Times New Roman"/>
          <w:szCs w:val="28"/>
          <w:highlight w:val="none"/>
        </w:rPr>
        <w:t>分。</w:t>
      </w:r>
    </w:p>
    <w:p>
      <w:pPr>
        <w:spacing w:line="360" w:lineRule="auto"/>
        <w:ind w:firstLine="560"/>
        <w:rPr>
          <w:rFonts w:hint="default"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具体支出情况：2022年6月共计支出2笔，支出金额0.2639万元，主要用于保健医培训和园长培训；7月支出1笔，支出金额0.4109万元，主要用于购置教师图书；8月支出1笔，支出金额0.0608万元，主要用于继续教育培训费；11月支出3笔，支出金额0.0354万元，主要用于健康证费；12月支出5笔，支出金额1.1755万元，主要用于12-5月车费、校责险、订购长安法制报、六一幕布。</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资金使用合规性：</w:t>
      </w:r>
      <w:r>
        <w:rPr>
          <w:rFonts w:hint="default" w:ascii="Times New Roman" w:hAnsi="Times New Roman" w:cs="Times New Roman"/>
          <w:szCs w:val="28"/>
          <w:highlight w:val="none"/>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综上，该指标满分13分，得分</w:t>
      </w:r>
      <w:r>
        <w:rPr>
          <w:rFonts w:hint="eastAsia" w:ascii="Times New Roman" w:hAnsi="Times New Roman" w:cs="Times New Roman"/>
          <w:b/>
          <w:kern w:val="0"/>
          <w:szCs w:val="28"/>
          <w:highlight w:val="none"/>
          <w:lang w:val="en-US" w:eastAsia="zh-CN"/>
        </w:rPr>
        <w:t>11.81</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9" w:name="_Toc100784606"/>
      <w:r>
        <w:rPr>
          <w:rFonts w:hint="default" w:ascii="Times New Roman" w:hAnsi="Times New Roman" w:eastAsia="仿宋" w:cs="Times New Roman"/>
          <w:sz w:val="32"/>
          <w:szCs w:val="32"/>
          <w:highlight w:val="none"/>
          <w:lang w:bidi="en-US"/>
        </w:rPr>
        <w:t>2.组织实施</w:t>
      </w:r>
      <w:bookmarkEnd w:id="39"/>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管理制度健全性</w:t>
      </w:r>
      <w:r>
        <w:rPr>
          <w:rFonts w:hint="default" w:ascii="Times New Roman" w:hAnsi="Times New Roman" w:cs="Times New Roman"/>
          <w:szCs w:val="28"/>
          <w:highlight w:val="none"/>
        </w:rPr>
        <w:t>：</w:t>
      </w:r>
      <w:r>
        <w:rPr>
          <w:rFonts w:hint="eastAsia" w:ascii="Times New Roman" w:hAnsi="Times New Roman" w:cs="Times New Roman"/>
          <w:szCs w:val="28"/>
          <w:highlight w:val="none"/>
          <w:lang w:val="en-US" w:eastAsia="zh-CN"/>
        </w:rPr>
        <w:t>乌鲁木齐县团结民汉小学</w:t>
      </w:r>
      <w:r>
        <w:rPr>
          <w:rFonts w:hint="default" w:ascii="Times New Roman" w:hAnsi="Times New Roman" w:cs="Times New Roman"/>
          <w:szCs w:val="28"/>
          <w:highlight w:val="none"/>
        </w:rPr>
        <w:t>已制定相应的财务和业务管理制度，且制度合法、合规、完整，为项目顺利实施提供重要保障。</w:t>
      </w:r>
      <w:r>
        <w:rPr>
          <w:rFonts w:hint="eastAsia" w:ascii="Times New Roman" w:hAnsi="Times New Roman" w:cs="Times New Roman"/>
          <w:szCs w:val="28"/>
          <w:highlight w:val="none"/>
        </w:rPr>
        <w:t>各项财务和业务管理制度随着业务和经济发展需要不断的完善和优化。</w:t>
      </w:r>
      <w:r>
        <w:rPr>
          <w:rFonts w:ascii="Times New Roman" w:hAnsi="Times New Roman" w:cs="Times New Roman"/>
          <w:szCs w:val="28"/>
          <w:highlight w:val="none"/>
        </w:rPr>
        <w:t>故管理制度健全性得分为</w:t>
      </w:r>
      <w:r>
        <w:rPr>
          <w:rFonts w:hint="eastAsia" w:ascii="Times New Roman" w:hAnsi="Times New Roman" w:cs="Times New Roman"/>
          <w:szCs w:val="28"/>
          <w:highlight w:val="none"/>
          <w:lang w:val="en-US" w:eastAsia="zh-CN"/>
        </w:rPr>
        <w:t>2</w:t>
      </w:r>
      <w:r>
        <w:rPr>
          <w:rFonts w:ascii="Times New Roman" w:hAnsi="Times New Roman" w:cs="Times New Roman"/>
          <w:szCs w:val="28"/>
          <w:highlight w:val="none"/>
        </w:rPr>
        <w:t>分</w:t>
      </w:r>
      <w:r>
        <w:rPr>
          <w:rFonts w:hint="default" w:ascii="Times New Roman" w:hAnsi="Times New Roman" w:cs="Times New Roman"/>
          <w:szCs w:val="28"/>
          <w:highlight w:val="none"/>
        </w:rPr>
        <w:t>。</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制度执行有效性：</w:t>
      </w:r>
      <w:r>
        <w:rPr>
          <w:rFonts w:hint="default" w:ascii="Times New Roman" w:hAnsi="Times New Roman" w:cs="Times New Roman"/>
          <w:szCs w:val="28"/>
          <w:highlight w:val="none"/>
        </w:rPr>
        <w:t>根据现场调研和资料抽查情况，</w:t>
      </w:r>
      <w:r>
        <w:rPr>
          <w:rFonts w:hint="eastAsia" w:ascii="Times New Roman" w:hAnsi="Times New Roman" w:cs="Times New Roman"/>
          <w:szCs w:val="28"/>
          <w:highlight w:val="none"/>
          <w:lang w:val="en-US" w:eastAsia="zh-CN"/>
        </w:rPr>
        <w:t>乌鲁木齐县团结民汉小学</w:t>
      </w:r>
      <w:r>
        <w:rPr>
          <w:rFonts w:hint="default" w:ascii="Times New Roman" w:hAnsi="Times New Roman" w:cs="Times New Roman"/>
          <w:szCs w:val="28"/>
          <w:highlight w:val="none"/>
        </w:rPr>
        <w:t>严格遵守相关法律法规和相关管理规定，项目调整及支出调整手续完备，整体管理合理有序，项目完成后，及时将会计凭证、固定资产入库单等相关资料分类归档，制度执行</w:t>
      </w:r>
      <w:r>
        <w:rPr>
          <w:rFonts w:hint="eastAsia" w:ascii="Times New Roman" w:hAnsi="Times New Roman" w:cs="Times New Roman"/>
          <w:szCs w:val="28"/>
          <w:highlight w:val="none"/>
          <w:lang w:val="en-US" w:eastAsia="zh-CN"/>
        </w:rPr>
        <w:t>情况有待提高</w:t>
      </w:r>
      <w:r>
        <w:rPr>
          <w:rFonts w:hint="default" w:ascii="Times New Roman" w:hAnsi="Times New Roman" w:cs="Times New Roman"/>
          <w:szCs w:val="28"/>
          <w:highlight w:val="none"/>
        </w:rPr>
        <w:t>。故制度执行有效性指标得分</w:t>
      </w:r>
      <w:r>
        <w:rPr>
          <w:rFonts w:hint="eastAsia" w:ascii="Times New Roman" w:hAnsi="Times New Roman" w:cs="Times New Roman"/>
          <w:szCs w:val="28"/>
          <w:highlight w:val="none"/>
          <w:lang w:val="en-US" w:eastAsia="zh-CN"/>
        </w:rPr>
        <w:t>3</w:t>
      </w:r>
      <w:r>
        <w:rPr>
          <w:rFonts w:hint="default" w:ascii="Times New Roman" w:hAnsi="Times New Roman" w:cs="Times New Roman"/>
          <w:szCs w:val="28"/>
          <w:highlight w:val="none"/>
        </w:rPr>
        <w:t>分。</w:t>
      </w:r>
    </w:p>
    <w:p>
      <w:pPr>
        <w:autoSpaceDE w:val="0"/>
        <w:spacing w:line="600" w:lineRule="exact"/>
        <w:ind w:firstLine="562"/>
        <w:rPr>
          <w:rFonts w:hint="default" w:ascii="Times New Roman" w:hAnsi="Times New Roman" w:cs="Times New Roman"/>
          <w:b/>
          <w:kern w:val="0"/>
          <w:szCs w:val="28"/>
          <w:highlight w:val="none"/>
        </w:rPr>
      </w:pPr>
      <w:bookmarkStart w:id="40" w:name="_Hlk67670213"/>
      <w:r>
        <w:rPr>
          <w:rFonts w:hint="default" w:ascii="Times New Roman" w:hAnsi="Times New Roman" w:cs="Times New Roman"/>
          <w:b/>
          <w:kern w:val="0"/>
          <w:szCs w:val="28"/>
          <w:highlight w:val="none"/>
        </w:rPr>
        <w:t>综上，该指标满分7分，得分</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w:t>
      </w:r>
    </w:p>
    <w:bookmarkEnd w:id="4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41" w:name="_Toc67911614"/>
      <w:bookmarkStart w:id="42" w:name="_Toc100784607"/>
      <w:r>
        <w:rPr>
          <w:rFonts w:hint="default" w:ascii="Times New Roman" w:hAnsi="Times New Roman" w:eastAsia="仿宋" w:cs="Times New Roman"/>
          <w:sz w:val="32"/>
          <w:szCs w:val="32"/>
          <w:highlight w:val="none"/>
          <w:lang w:bidi="en-US"/>
        </w:rPr>
        <w:t>（三）项目产出情况</w:t>
      </w:r>
      <w:bookmarkEnd w:id="41"/>
      <w:bookmarkEnd w:id="42"/>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项目产出指标由4个二级指标和</w:t>
      </w:r>
      <w:r>
        <w:rPr>
          <w:rFonts w:hint="eastAsia" w:ascii="Times New Roman" w:hAnsi="Times New Roman" w:cs="Times New Roman"/>
          <w:szCs w:val="28"/>
          <w:highlight w:val="none"/>
          <w:lang w:val="en-US" w:eastAsia="zh-CN"/>
        </w:rPr>
        <w:t>6</w:t>
      </w:r>
      <w:r>
        <w:rPr>
          <w:rFonts w:hint="default" w:ascii="Times New Roman" w:hAnsi="Times New Roman" w:cs="Times New Roman"/>
          <w:szCs w:val="28"/>
          <w:highlight w:val="none"/>
        </w:rPr>
        <w:t>个三级指标构成，权重为40分，实际得分</w:t>
      </w:r>
      <w:r>
        <w:rPr>
          <w:rFonts w:hint="eastAsia" w:ascii="Times New Roman" w:hAnsi="Times New Roman" w:cs="Times New Roman"/>
          <w:szCs w:val="28"/>
          <w:highlight w:val="none"/>
          <w:lang w:val="en-US" w:eastAsia="zh-CN"/>
        </w:rPr>
        <w:t>40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3" w:name="_Toc100784608"/>
      <w:r>
        <w:rPr>
          <w:rFonts w:hint="default" w:ascii="Times New Roman" w:hAnsi="Times New Roman" w:eastAsia="仿宋" w:cs="Times New Roman"/>
          <w:sz w:val="32"/>
          <w:szCs w:val="32"/>
          <w:highlight w:val="none"/>
          <w:lang w:bidi="en-US"/>
        </w:rPr>
        <w:t>1.产出数量</w:t>
      </w:r>
      <w:bookmarkEnd w:id="43"/>
    </w:p>
    <w:p>
      <w:pPr>
        <w:spacing w:line="360" w:lineRule="auto"/>
        <w:ind w:firstLine="560"/>
        <w:rPr>
          <w:rFonts w:hint="eastAsia" w:ascii="Times New Roman" w:hAnsi="Times New Roman" w:eastAsia="仿宋_GB2312" w:cs="Times New Roman"/>
          <w:bCs/>
          <w:szCs w:val="28"/>
          <w:highlight w:val="none"/>
          <w:lang w:eastAsia="zh-CN"/>
        </w:rPr>
      </w:pPr>
      <w:r>
        <w:rPr>
          <w:rFonts w:hint="default" w:ascii="Times New Roman" w:hAnsi="Times New Roman" w:cs="Times New Roman"/>
          <w:bCs/>
          <w:szCs w:val="28"/>
          <w:highlight w:val="none"/>
        </w:rPr>
        <w:t>数量指标“享受学前三年免费教育惠及幼儿园数量”的目标值是</w:t>
      </w:r>
      <w:r>
        <w:rPr>
          <w:rFonts w:hint="eastAsia" w:ascii="Times New Roman" w:hAnsi="Times New Roman" w:cs="Times New Roman"/>
          <w:bCs/>
          <w:szCs w:val="28"/>
          <w:highlight w:val="none"/>
          <w:lang w:val="en-US" w:eastAsia="zh-CN"/>
        </w:rPr>
        <w:t>1</w:t>
      </w:r>
      <w:r>
        <w:rPr>
          <w:rFonts w:hint="default" w:ascii="Times New Roman" w:hAnsi="Times New Roman" w:cs="Times New Roman"/>
          <w:bCs/>
          <w:szCs w:val="28"/>
          <w:highlight w:val="none"/>
        </w:rPr>
        <w:t>个，2022年度我单位实际完成</w:t>
      </w:r>
      <w:r>
        <w:rPr>
          <w:rFonts w:hint="eastAsia" w:ascii="Times New Roman" w:hAnsi="Times New Roman" w:cs="Times New Roman"/>
          <w:bCs/>
          <w:szCs w:val="28"/>
          <w:highlight w:val="none"/>
          <w:lang w:val="en-US" w:eastAsia="zh-CN"/>
        </w:rPr>
        <w:t>1</w:t>
      </w:r>
      <w:r>
        <w:rPr>
          <w:rFonts w:hint="default" w:ascii="Times New Roman" w:hAnsi="Times New Roman" w:cs="Times New Roman"/>
          <w:bCs/>
          <w:szCs w:val="28"/>
          <w:highlight w:val="none"/>
        </w:rPr>
        <w:t>个</w:t>
      </w:r>
      <w:r>
        <w:rPr>
          <w:rFonts w:hint="eastAsia" w:ascii="Times New Roman" w:hAnsi="Times New Roman" w:cs="Times New Roman"/>
          <w:bCs/>
          <w:szCs w:val="28"/>
          <w:highlight w:val="none"/>
          <w:lang w:eastAsia="zh-CN"/>
        </w:rPr>
        <w:t>；</w:t>
      </w:r>
    </w:p>
    <w:p>
      <w:pPr>
        <w:spacing w:line="360" w:lineRule="auto"/>
        <w:ind w:firstLine="560"/>
        <w:rPr>
          <w:rFonts w:hint="default" w:ascii="Times New Roman" w:hAnsi="Times New Roman" w:eastAsia="仿宋_GB2312" w:cs="Times New Roman"/>
          <w:bCs/>
          <w:szCs w:val="28"/>
          <w:highlight w:val="none"/>
          <w:lang w:val="en-US" w:eastAsia="zh-CN"/>
        </w:rPr>
      </w:pPr>
      <w:r>
        <w:rPr>
          <w:rFonts w:hint="default" w:ascii="Times New Roman" w:hAnsi="Times New Roman" w:cs="Times New Roman"/>
          <w:bCs/>
          <w:szCs w:val="28"/>
          <w:highlight w:val="none"/>
        </w:rPr>
        <w:t>数量指标“享受学前三年免费教育惠及幼儿园人数”的目标值是</w:t>
      </w:r>
      <w:r>
        <w:rPr>
          <w:rFonts w:hint="eastAsia" w:ascii="Times New Roman" w:hAnsi="Times New Roman" w:cs="Times New Roman"/>
          <w:bCs/>
          <w:szCs w:val="28"/>
          <w:highlight w:val="none"/>
          <w:lang w:val="en-US" w:eastAsia="zh-CN"/>
        </w:rPr>
        <w:t>61人</w:t>
      </w:r>
      <w:r>
        <w:rPr>
          <w:rFonts w:hint="default" w:ascii="Times New Roman" w:hAnsi="Times New Roman" w:cs="Times New Roman"/>
          <w:bCs/>
          <w:szCs w:val="28"/>
          <w:highlight w:val="none"/>
        </w:rPr>
        <w:t>，2022年度我单位</w:t>
      </w:r>
      <w:r>
        <w:rPr>
          <w:rFonts w:hint="eastAsia" w:ascii="Times New Roman" w:hAnsi="Times New Roman" w:cs="Times New Roman"/>
          <w:bCs/>
          <w:szCs w:val="28"/>
          <w:highlight w:val="none"/>
          <w:lang w:val="en-US" w:eastAsia="zh-CN"/>
        </w:rPr>
        <w:t>实际完成61人；</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实际完成率：</w:t>
      </w:r>
      <w:r>
        <w:rPr>
          <w:rFonts w:hint="eastAsia" w:ascii="Times New Roman" w:hAnsi="Times New Roman" w:cs="Times New Roman"/>
          <w:bCs/>
          <w:szCs w:val="28"/>
          <w:highlight w:val="none"/>
          <w:lang w:val="en-US" w:eastAsia="zh-CN"/>
        </w:rPr>
        <w:t>我校数量指标完成率100%</w:t>
      </w:r>
      <w:r>
        <w:rPr>
          <w:rFonts w:hint="default" w:ascii="Times New Roman" w:hAnsi="Times New Roman" w:cs="Times New Roman"/>
          <w:bCs/>
          <w:szCs w:val="28"/>
          <w:highlight w:val="none"/>
        </w:rPr>
        <w:t>，故</w:t>
      </w:r>
      <w:r>
        <w:rPr>
          <w:rFonts w:hint="default" w:ascii="Times New Roman" w:hAnsi="Times New Roman" w:cs="Times New Roman"/>
          <w:szCs w:val="28"/>
          <w:highlight w:val="none"/>
        </w:rPr>
        <w:t>实际完成率得分为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4" w:name="_Toc100784609"/>
      <w:r>
        <w:rPr>
          <w:rFonts w:hint="default" w:ascii="Times New Roman" w:hAnsi="Times New Roman" w:eastAsia="仿宋" w:cs="Times New Roman"/>
          <w:sz w:val="32"/>
          <w:szCs w:val="32"/>
          <w:highlight w:val="none"/>
          <w:lang w:bidi="en-US"/>
        </w:rPr>
        <w:t>2.产出质量</w:t>
      </w:r>
      <w:bookmarkEnd w:id="44"/>
    </w:p>
    <w:p>
      <w:pPr>
        <w:spacing w:line="360" w:lineRule="auto"/>
        <w:ind w:firstLine="560"/>
        <w:rPr>
          <w:rFonts w:hint="eastAsia" w:ascii="Times New Roman" w:hAnsi="Times New Roman" w:cs="Times New Roman"/>
          <w:szCs w:val="28"/>
          <w:highlight w:val="none"/>
          <w:lang w:eastAsia="zh-CN"/>
        </w:rPr>
      </w:pPr>
      <w:r>
        <w:rPr>
          <w:rFonts w:hint="eastAsia" w:ascii="Times New Roman" w:hAnsi="Times New Roman" w:cs="Times New Roman"/>
          <w:szCs w:val="28"/>
          <w:highlight w:val="none"/>
        </w:rPr>
        <w:t>质量指标“农村学前三年免费教育幼儿园入园率”的目标值为</w:t>
      </w:r>
      <w:r>
        <w:rPr>
          <w:rFonts w:hint="eastAsia" w:ascii="Times New Roman" w:hAnsi="Times New Roman" w:cs="Times New Roman"/>
          <w:szCs w:val="28"/>
          <w:highlight w:val="none"/>
          <w:lang w:val="en-US" w:eastAsia="zh-CN"/>
        </w:rPr>
        <w:t>≥98%</w:t>
      </w:r>
      <w:r>
        <w:rPr>
          <w:rFonts w:hint="eastAsia" w:ascii="Times New Roman" w:hAnsi="Times New Roman" w:cs="Times New Roman"/>
          <w:szCs w:val="28"/>
          <w:highlight w:val="none"/>
        </w:rPr>
        <w:t>，我单位202</w:t>
      </w:r>
      <w:r>
        <w:rPr>
          <w:rFonts w:hint="eastAsia" w:ascii="Times New Roman" w:hAnsi="Times New Roman" w:cs="Times New Roman"/>
          <w:szCs w:val="28"/>
          <w:highlight w:val="none"/>
          <w:lang w:val="en-US" w:eastAsia="zh-CN"/>
        </w:rPr>
        <w:t>2</w:t>
      </w:r>
      <w:r>
        <w:rPr>
          <w:rFonts w:hint="eastAsia" w:ascii="Times New Roman" w:hAnsi="Times New Roman" w:cs="Times New Roman"/>
          <w:szCs w:val="28"/>
          <w:highlight w:val="none"/>
        </w:rPr>
        <w:t>年实际幼儿入园率为100%</w:t>
      </w:r>
      <w:r>
        <w:rPr>
          <w:rFonts w:hint="eastAsia" w:ascii="Times New Roman" w:hAnsi="Times New Roman" w:cs="Times New Roman"/>
          <w:szCs w:val="28"/>
          <w:highlight w:val="none"/>
          <w:lang w:eastAsia="zh-CN"/>
        </w:rPr>
        <w:t>；</w:t>
      </w:r>
    </w:p>
    <w:p>
      <w:pPr>
        <w:spacing w:line="360" w:lineRule="auto"/>
        <w:ind w:firstLine="560"/>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rPr>
        <w:t>质量指标</w:t>
      </w:r>
      <w:r>
        <w:rPr>
          <w:rFonts w:hint="eastAsia" w:ascii="Times New Roman" w:hAnsi="Times New Roman" w:cs="Times New Roman"/>
          <w:szCs w:val="28"/>
          <w:highlight w:val="none"/>
          <w:lang w:eastAsia="zh-CN"/>
        </w:rPr>
        <w:t>“国家通用语言覆盖率”目标值</w:t>
      </w:r>
      <w:r>
        <w:rPr>
          <w:rFonts w:hint="eastAsia" w:ascii="Times New Roman" w:hAnsi="Times New Roman" w:cs="Times New Roman"/>
          <w:szCs w:val="28"/>
          <w:highlight w:val="none"/>
          <w:lang w:val="en-US" w:eastAsia="zh-CN"/>
        </w:rPr>
        <w:t>100%，</w:t>
      </w:r>
      <w:r>
        <w:rPr>
          <w:rFonts w:hint="eastAsia" w:ascii="Times New Roman" w:hAnsi="Times New Roman" w:cs="Times New Roman"/>
          <w:szCs w:val="28"/>
          <w:highlight w:val="none"/>
        </w:rPr>
        <w:t>我单位202</w:t>
      </w:r>
      <w:r>
        <w:rPr>
          <w:rFonts w:hint="eastAsia" w:ascii="Times New Roman" w:hAnsi="Times New Roman" w:cs="Times New Roman"/>
          <w:szCs w:val="28"/>
          <w:highlight w:val="none"/>
          <w:lang w:val="en-US" w:eastAsia="zh-CN"/>
        </w:rPr>
        <w:t>2</w:t>
      </w:r>
      <w:r>
        <w:rPr>
          <w:rFonts w:hint="eastAsia" w:ascii="Times New Roman" w:hAnsi="Times New Roman" w:cs="Times New Roman"/>
          <w:szCs w:val="28"/>
          <w:highlight w:val="none"/>
        </w:rPr>
        <w:t>年</w:t>
      </w:r>
      <w:r>
        <w:rPr>
          <w:rFonts w:hint="eastAsia" w:ascii="Times New Roman" w:hAnsi="Times New Roman" w:cs="Times New Roman"/>
          <w:szCs w:val="28"/>
          <w:highlight w:val="none"/>
          <w:lang w:val="en-US" w:eastAsia="zh-CN"/>
        </w:rPr>
        <w:t>实际完成值100%。</w:t>
      </w:r>
    </w:p>
    <w:p>
      <w:pPr>
        <w:spacing w:line="360" w:lineRule="auto"/>
        <w:ind w:firstLine="562"/>
        <w:rPr>
          <w:rFonts w:hint="default" w:ascii="Times New Roman" w:hAnsi="Times New Roman" w:cs="Times New Roman"/>
          <w:szCs w:val="28"/>
          <w:highlight w:val="none"/>
        </w:rPr>
      </w:pPr>
      <w:r>
        <w:rPr>
          <w:rFonts w:hint="eastAsia" w:ascii="仿宋_GB2312" w:hAnsi="仿宋_GB2312" w:eastAsia="仿宋_GB2312" w:cs="仿宋_GB2312"/>
          <w:b/>
          <w:bCs/>
          <w:sz w:val="28"/>
          <w:szCs w:val="28"/>
          <w:highlight w:val="none"/>
        </w:rPr>
        <w:t>质量达标率：</w:t>
      </w:r>
      <w:r>
        <w:rPr>
          <w:rFonts w:hint="eastAsia" w:ascii="Times New Roman" w:hAnsi="Times New Roman" w:cs="Times New Roman"/>
          <w:szCs w:val="28"/>
          <w:highlight w:val="none"/>
          <w:lang w:val="en-US" w:eastAsia="zh-CN"/>
        </w:rPr>
        <w:t>我单位实际完成率100%，</w:t>
      </w:r>
      <w:r>
        <w:rPr>
          <w:rFonts w:hint="eastAsia" w:ascii="Times New Roman" w:hAnsi="Times New Roman" w:cs="Times New Roman"/>
          <w:szCs w:val="28"/>
          <w:highlight w:val="none"/>
        </w:rPr>
        <w:t xml:space="preserve"> </w:t>
      </w:r>
      <w:r>
        <w:rPr>
          <w:rFonts w:hint="eastAsia" w:ascii="Times New Roman" w:hAnsi="Times New Roman" w:cs="Times New Roman"/>
          <w:szCs w:val="28"/>
          <w:highlight w:val="none"/>
          <w:lang w:val="en-US" w:eastAsia="zh-CN"/>
        </w:rPr>
        <w:t>得分为10分。</w:t>
      </w:r>
    </w:p>
    <w:p>
      <w:pPr>
        <w:spacing w:line="360" w:lineRule="auto"/>
        <w:ind w:firstLine="562"/>
        <w:rPr>
          <w:rFonts w:hint="default" w:ascii="Times New Roman" w:hAnsi="Times New Roman" w:cs="Times New Roman"/>
          <w:szCs w:val="28"/>
          <w:highlight w:val="none"/>
        </w:r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5" w:name="_Toc100784610"/>
      <w:r>
        <w:rPr>
          <w:rFonts w:hint="default" w:ascii="Times New Roman" w:hAnsi="Times New Roman" w:eastAsia="仿宋" w:cs="Times New Roman"/>
          <w:sz w:val="32"/>
          <w:szCs w:val="32"/>
          <w:highlight w:val="none"/>
          <w:lang w:bidi="en-US"/>
        </w:rPr>
        <w:t>3.产出时效</w:t>
      </w:r>
      <w:bookmarkEnd w:id="45"/>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b/>
          <w:bCs/>
          <w:szCs w:val="28"/>
          <w:highlight w:val="none"/>
        </w:rPr>
        <w:t>完成及时</w:t>
      </w:r>
      <w:r>
        <w:rPr>
          <w:rFonts w:hint="eastAsia" w:ascii="Times New Roman" w:hAnsi="Times New Roman" w:cs="Times New Roman"/>
          <w:b/>
          <w:bCs/>
          <w:szCs w:val="28"/>
          <w:highlight w:val="none"/>
          <w:lang w:val="en-US" w:eastAsia="zh-CN"/>
        </w:rPr>
        <w:t>率</w:t>
      </w:r>
      <w:r>
        <w:rPr>
          <w:rFonts w:hint="default" w:ascii="Times New Roman" w:hAnsi="Times New Roman" w:cs="Times New Roman"/>
          <w:b/>
          <w:bCs/>
          <w:szCs w:val="28"/>
          <w:highlight w:val="none"/>
        </w:rPr>
        <w:t>：</w:t>
      </w:r>
      <w:r>
        <w:rPr>
          <w:rFonts w:hint="eastAsia" w:ascii="Times New Roman" w:hAnsi="Times New Roman" w:cs="Times New Roman"/>
          <w:szCs w:val="28"/>
          <w:highlight w:val="none"/>
          <w:lang w:eastAsia="zh-CN"/>
        </w:rPr>
        <w:t>本项目按照</w:t>
      </w:r>
      <w:r>
        <w:rPr>
          <w:rFonts w:hint="eastAsia" w:ascii="Times New Roman" w:hAnsi="Times New Roman" w:cs="Times New Roman"/>
          <w:szCs w:val="28"/>
          <w:highlight w:val="none"/>
          <w:lang w:val="en-US" w:eastAsia="zh-CN"/>
        </w:rPr>
        <w:t>年初计划</w:t>
      </w:r>
      <w:r>
        <w:rPr>
          <w:rFonts w:hint="eastAsia" w:ascii="Times New Roman" w:hAnsi="Times New Roman" w:cs="Times New Roman"/>
          <w:szCs w:val="28"/>
          <w:highlight w:val="none"/>
          <w:lang w:eastAsia="zh-CN"/>
        </w:rPr>
        <w:t>，已在规定的时间（202</w:t>
      </w:r>
      <w:r>
        <w:rPr>
          <w:rFonts w:hint="eastAsia" w:ascii="Times New Roman" w:hAnsi="Times New Roman" w:cs="Times New Roman"/>
          <w:szCs w:val="28"/>
          <w:highlight w:val="none"/>
          <w:lang w:val="en-US" w:eastAsia="zh-CN"/>
        </w:rPr>
        <w:t>2</w:t>
      </w:r>
      <w:r>
        <w:rPr>
          <w:rFonts w:hint="eastAsia" w:ascii="Times New Roman" w:hAnsi="Times New Roman" w:cs="Times New Roman"/>
          <w:szCs w:val="28"/>
          <w:highlight w:val="none"/>
          <w:lang w:eastAsia="zh-CN"/>
        </w:rPr>
        <w:t>年1月1日至202</w:t>
      </w:r>
      <w:r>
        <w:rPr>
          <w:rFonts w:hint="eastAsia" w:ascii="Times New Roman" w:hAnsi="Times New Roman" w:cs="Times New Roman"/>
          <w:szCs w:val="28"/>
          <w:highlight w:val="none"/>
          <w:lang w:val="en-US" w:eastAsia="zh-CN"/>
        </w:rPr>
        <w:t>2</w:t>
      </w:r>
      <w:r>
        <w:rPr>
          <w:rFonts w:hint="eastAsia" w:ascii="Times New Roman" w:hAnsi="Times New Roman" w:cs="Times New Roman"/>
          <w:szCs w:val="28"/>
          <w:highlight w:val="none"/>
          <w:lang w:eastAsia="zh-CN"/>
        </w:rPr>
        <w:t>年12月31日）完成。</w:t>
      </w:r>
      <w:r>
        <w:rPr>
          <w:rFonts w:hint="eastAsia" w:ascii="Times New Roman" w:hAnsi="Times New Roman" w:cs="Times New Roman"/>
          <w:szCs w:val="28"/>
          <w:highlight w:val="none"/>
          <w:lang w:val="en-US" w:eastAsia="zh-CN"/>
        </w:rPr>
        <w:t>时效指标“项目按时完成率”</w:t>
      </w:r>
      <w:r>
        <w:rPr>
          <w:rFonts w:hint="eastAsia" w:ascii="Times New Roman" w:hAnsi="Times New Roman" w:cs="Times New Roman"/>
          <w:szCs w:val="28"/>
          <w:highlight w:val="none"/>
        </w:rPr>
        <w:t>的目标值为</w:t>
      </w:r>
      <w:r>
        <w:rPr>
          <w:rFonts w:hint="eastAsia" w:ascii="Times New Roman" w:hAnsi="Times New Roman" w:cs="Times New Roman"/>
          <w:szCs w:val="28"/>
          <w:highlight w:val="none"/>
          <w:lang w:val="en-US" w:eastAsia="zh-CN"/>
        </w:rPr>
        <w:t>98%，</w:t>
      </w:r>
      <w:r>
        <w:rPr>
          <w:rFonts w:hint="eastAsia" w:ascii="Times New Roman" w:hAnsi="Times New Roman" w:cs="Times New Roman"/>
          <w:szCs w:val="28"/>
          <w:highlight w:val="none"/>
        </w:rPr>
        <w:t>完成</w:t>
      </w:r>
      <w:r>
        <w:rPr>
          <w:rFonts w:hint="eastAsia" w:ascii="Times New Roman" w:hAnsi="Times New Roman" w:cs="Times New Roman"/>
          <w:szCs w:val="28"/>
          <w:highlight w:val="none"/>
          <w:lang w:eastAsia="zh-CN"/>
        </w:rPr>
        <w:t>率</w:t>
      </w:r>
      <w:r>
        <w:rPr>
          <w:rFonts w:hint="eastAsia" w:ascii="Times New Roman" w:hAnsi="Times New Roman" w:cs="Times New Roman"/>
          <w:szCs w:val="28"/>
          <w:highlight w:val="none"/>
          <w:lang w:val="en-US" w:eastAsia="zh-CN"/>
        </w:rPr>
        <w:t>99</w:t>
      </w:r>
      <w:r>
        <w:rPr>
          <w:rFonts w:hint="eastAsia" w:ascii="Times New Roman" w:hAnsi="Times New Roman" w:cs="Times New Roman"/>
          <w:szCs w:val="28"/>
          <w:highlight w:val="none"/>
        </w:rPr>
        <w:t>%</w:t>
      </w:r>
      <w:r>
        <w:rPr>
          <w:rFonts w:hint="eastAsia" w:ascii="Times New Roman" w:hAnsi="Times New Roman" w:cs="Times New Roman"/>
          <w:szCs w:val="28"/>
          <w:highlight w:val="none"/>
          <w:lang w:eastAsia="zh-CN"/>
        </w:rPr>
        <w:t>，</w:t>
      </w:r>
      <w:r>
        <w:rPr>
          <w:rFonts w:hint="default" w:ascii="Times New Roman" w:hAnsi="Times New Roman" w:cs="Times New Roman"/>
          <w:szCs w:val="28"/>
          <w:highlight w:val="none"/>
        </w:rPr>
        <w:t>故完成及时性得分为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6" w:name="_Toc100784611"/>
      <w:r>
        <w:rPr>
          <w:rFonts w:hint="default" w:ascii="Times New Roman" w:hAnsi="Times New Roman" w:eastAsia="仿宋" w:cs="Times New Roman"/>
          <w:sz w:val="32"/>
          <w:szCs w:val="32"/>
          <w:highlight w:val="none"/>
          <w:lang w:bidi="en-US"/>
        </w:rPr>
        <w:t>4.产出成本</w:t>
      </w:r>
      <w:bookmarkEnd w:id="46"/>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成本节约率：</w:t>
      </w:r>
      <w:r>
        <w:rPr>
          <w:rFonts w:hint="eastAsia" w:ascii="Times New Roman" w:hAnsi="Times New Roman" w:cs="Times New Roman"/>
          <w:szCs w:val="28"/>
          <w:highlight w:val="none"/>
          <w:lang w:val="en-US" w:eastAsia="zh-CN"/>
        </w:rPr>
        <w:t>成本</w:t>
      </w:r>
      <w:r>
        <w:rPr>
          <w:rFonts w:hint="eastAsia" w:ascii="Times New Roman" w:hAnsi="Times New Roman" w:cs="Times New Roman"/>
          <w:szCs w:val="28"/>
          <w:highlight w:val="none"/>
        </w:rPr>
        <w:t>指标目标值为</w:t>
      </w:r>
      <w:r>
        <w:rPr>
          <w:rFonts w:hint="eastAsia" w:ascii="Times New Roman" w:hAnsi="Times New Roman" w:cs="Times New Roman"/>
          <w:szCs w:val="28"/>
          <w:highlight w:val="none"/>
          <w:lang w:val="en-US" w:eastAsia="zh-CN"/>
        </w:rPr>
        <w:t>≤3%</w:t>
      </w:r>
      <w:r>
        <w:rPr>
          <w:rFonts w:hint="eastAsia" w:ascii="Times New Roman" w:hAnsi="Times New Roman" w:cs="Times New Roman"/>
          <w:szCs w:val="28"/>
          <w:highlight w:val="none"/>
        </w:rPr>
        <w:t>，我单位202</w:t>
      </w:r>
      <w:r>
        <w:rPr>
          <w:rFonts w:hint="eastAsia" w:ascii="Times New Roman" w:hAnsi="Times New Roman" w:cs="Times New Roman"/>
          <w:szCs w:val="28"/>
          <w:highlight w:val="none"/>
          <w:lang w:val="en-US" w:eastAsia="zh-CN"/>
        </w:rPr>
        <w:t>2</w:t>
      </w:r>
      <w:r>
        <w:rPr>
          <w:rFonts w:hint="eastAsia" w:ascii="Times New Roman" w:hAnsi="Times New Roman" w:cs="Times New Roman"/>
          <w:szCs w:val="28"/>
          <w:highlight w:val="none"/>
        </w:rPr>
        <w:t>年实际</w:t>
      </w:r>
      <w:r>
        <w:rPr>
          <w:rFonts w:hint="eastAsia" w:ascii="Times New Roman" w:hAnsi="Times New Roman" w:cs="Times New Roman"/>
          <w:szCs w:val="28"/>
          <w:highlight w:val="none"/>
          <w:lang w:val="en-US" w:eastAsia="zh-CN"/>
        </w:rPr>
        <w:t>完成2%；</w:t>
      </w:r>
      <w:r>
        <w:rPr>
          <w:rFonts w:hint="default" w:ascii="Times New Roman" w:hAnsi="Times New Roman" w:cs="Times New Roman"/>
          <w:szCs w:val="28"/>
          <w:highlight w:val="none"/>
        </w:rPr>
        <w:t>故得分为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rPr>
        <w:t>分。</w:t>
      </w:r>
      <w:r>
        <w:rPr>
          <w:rFonts w:hint="eastAsia" w:ascii="Times New Roman" w:hAnsi="Times New Roman" w:cs="Times New Roman"/>
          <w:szCs w:val="28"/>
          <w:highlight w:val="none"/>
          <w:lang w:val="en-US" w:eastAsia="zh-CN"/>
        </w:rPr>
        <w:t>我校严格控制教育经费支出，大兴勤俭节约之风，充分发挥教育经费的使用效益促进学校持续发展。</w:t>
      </w:r>
      <w:r>
        <w:rPr>
          <w:rFonts w:hint="eastAsia" w:ascii="Times New Roman" w:hAnsi="Times New Roman" w:cs="Times New Roman"/>
          <w:highlight w:val="none"/>
          <w:lang w:val="en-US" w:eastAsia="zh-CN"/>
        </w:rPr>
        <w:t>项目经费</w:t>
      </w:r>
      <w:r>
        <w:rPr>
          <w:rFonts w:hint="eastAsia" w:ascii="Times New Roman" w:hAnsi="Times New Roman" w:cs="Times New Roman"/>
          <w:szCs w:val="28"/>
          <w:highlight w:val="none"/>
          <w:lang w:val="en-US" w:eastAsia="zh-CN"/>
        </w:rPr>
        <w:t>5.19万元，截止2022年12月31日共计支出经费3.95万元，预算执行率为76.11%。项目已完成，因2022年8月受疫情影响，2022-2023学年第一学期学校未开课，学生在家线上听课，所以结余1.24万，故成本节约率得分为10分。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综上，该指标满分40分，得分</w:t>
      </w:r>
      <w:r>
        <w:rPr>
          <w:rFonts w:hint="eastAsia" w:ascii="Times New Roman" w:hAnsi="Times New Roman" w:cs="Times New Roman"/>
          <w:b/>
          <w:kern w:val="0"/>
          <w:szCs w:val="28"/>
          <w:highlight w:val="none"/>
          <w:lang w:val="en-US" w:eastAsia="zh-CN"/>
        </w:rPr>
        <w:t>40</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47" w:name="_Toc67911615"/>
      <w:bookmarkStart w:id="48" w:name="_Toc100784612"/>
      <w:r>
        <w:rPr>
          <w:rFonts w:hint="default" w:ascii="Times New Roman" w:hAnsi="Times New Roman" w:eastAsia="仿宋" w:cs="Times New Roman"/>
          <w:sz w:val="32"/>
          <w:szCs w:val="32"/>
          <w:highlight w:val="none"/>
          <w:lang w:bidi="en-US"/>
        </w:rPr>
        <w:t>（四）项目效益情况</w:t>
      </w:r>
      <w:bookmarkEnd w:id="47"/>
      <w:bookmarkEnd w:id="48"/>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项目效益指标由</w:t>
      </w:r>
      <w:r>
        <w:rPr>
          <w:rFonts w:hint="eastAsia" w:ascii="Times New Roman" w:hAnsi="Times New Roman" w:cs="Times New Roman"/>
          <w:szCs w:val="28"/>
          <w:highlight w:val="none"/>
          <w:lang w:val="en-US" w:eastAsia="zh-CN"/>
        </w:rPr>
        <w:t>2</w:t>
      </w:r>
      <w:r>
        <w:rPr>
          <w:rFonts w:hint="default" w:ascii="Times New Roman" w:hAnsi="Times New Roman" w:cs="Times New Roman"/>
          <w:szCs w:val="28"/>
          <w:highlight w:val="none"/>
        </w:rPr>
        <w:t>个二级指标和2个三级指标构成，权重为</w:t>
      </w:r>
      <w:r>
        <w:rPr>
          <w:rFonts w:hint="eastAsia" w:ascii="Times New Roman" w:hAnsi="Times New Roman" w:cs="Times New Roman"/>
          <w:szCs w:val="28"/>
          <w:highlight w:val="none"/>
          <w:lang w:val="en-US" w:eastAsia="zh-CN"/>
        </w:rPr>
        <w:t>15</w:t>
      </w:r>
      <w:r>
        <w:rPr>
          <w:rFonts w:hint="default" w:ascii="Times New Roman" w:hAnsi="Times New Roman" w:cs="Times New Roman"/>
          <w:szCs w:val="28"/>
          <w:highlight w:val="none"/>
        </w:rPr>
        <w:t>分，实际得分</w:t>
      </w:r>
      <w:r>
        <w:rPr>
          <w:rFonts w:hint="eastAsia" w:ascii="Times New Roman" w:hAnsi="Times New Roman" w:cs="Times New Roman"/>
          <w:szCs w:val="28"/>
          <w:highlight w:val="none"/>
          <w:lang w:val="en-US" w:eastAsia="zh-CN"/>
        </w:rPr>
        <w:t>15</w:t>
      </w:r>
      <w:r>
        <w:rPr>
          <w:rFonts w:hint="default" w:ascii="Times New Roman" w:hAnsi="Times New Roman" w:cs="Times New Roman"/>
          <w:szCs w:val="28"/>
          <w:highlight w:val="none"/>
        </w:rPr>
        <w:t xml:space="preserve">分。 </w:t>
      </w:r>
    </w:p>
    <w:p>
      <w:pPr>
        <w:pStyle w:val="4"/>
        <w:ind w:firstLine="643"/>
        <w:rPr>
          <w:rFonts w:hint="default" w:ascii="Times New Roman" w:hAnsi="Times New Roman" w:cs="Times New Roman"/>
          <w:highlight w:val="none"/>
        </w:rPr>
      </w:pPr>
      <w:bookmarkStart w:id="49" w:name="_Toc100784613"/>
      <w:r>
        <w:rPr>
          <w:rFonts w:hint="default" w:ascii="Times New Roman" w:hAnsi="Times New Roman" w:cs="Times New Roman"/>
          <w:highlight w:val="none"/>
        </w:rPr>
        <w:t>1.项目效益</w:t>
      </w:r>
      <w:bookmarkEnd w:id="49"/>
    </w:p>
    <w:p>
      <w:pPr>
        <w:spacing w:line="360" w:lineRule="auto"/>
        <w:ind w:firstLine="562"/>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（1）实施效益</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经济效益指标：</w:t>
      </w:r>
      <w:r>
        <w:rPr>
          <w:rFonts w:hint="default" w:ascii="Times New Roman" w:hAnsi="Times New Roman" w:cs="Times New Roman"/>
          <w:szCs w:val="28"/>
          <w:highlight w:val="none"/>
        </w:rPr>
        <w:t xml:space="preserve">不适用。 </w:t>
      </w:r>
    </w:p>
    <w:p>
      <w:pPr>
        <w:spacing w:line="360" w:lineRule="auto"/>
        <w:ind w:firstLine="562"/>
        <w:rPr>
          <w:rFonts w:hint="eastAsia" w:ascii="Times New Roman" w:hAnsi="Times New Roman" w:cs="Times New Roman"/>
          <w:szCs w:val="28"/>
          <w:highlight w:val="none"/>
          <w:lang w:val="en-US" w:eastAsia="zh-CN"/>
        </w:rPr>
      </w:pPr>
      <w:r>
        <w:rPr>
          <w:rFonts w:hint="default" w:ascii="Times New Roman" w:hAnsi="Times New Roman" w:cs="Times New Roman"/>
          <w:b/>
          <w:bCs/>
          <w:szCs w:val="28"/>
          <w:highlight w:val="none"/>
        </w:rPr>
        <w:t>社会效益指标</w:t>
      </w:r>
      <w:r>
        <w:rPr>
          <w:rFonts w:hint="default" w:ascii="Times New Roman" w:hAnsi="Times New Roman" w:cs="Times New Roman"/>
          <w:szCs w:val="28"/>
          <w:highlight w:val="none"/>
        </w:rPr>
        <w:t>：</w:t>
      </w:r>
      <w:r>
        <w:rPr>
          <w:rFonts w:hint="eastAsia" w:ascii="Times New Roman" w:hAnsi="Times New Roman" w:cs="Times New Roman"/>
          <w:szCs w:val="28"/>
          <w:highlight w:val="none"/>
          <w:lang w:val="en-US" w:eastAsia="zh-CN"/>
        </w:rPr>
        <w:t>评价指标“减轻农牧民家庭负担”，指标值：有效减轻，实际完成值：达成年度指标。本项目的实施障我辖区适龄幼儿免费接受学前三年教育，保障幼儿园各项工作正常运转，公用经费主要支付水电暖费、维修费，培训费、购买办公用品、后勤材料、教学仪器设备等。幼儿学前三年免费接受教育，大大减轻了农牧民家庭的经济负担，完全达到预期效果，指标完成率100%，深受广大农牧区欢迎，创造了良好的社会效益。</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生态效益指标</w:t>
      </w:r>
      <w:r>
        <w:rPr>
          <w:rFonts w:hint="default" w:ascii="Times New Roman" w:hAnsi="Times New Roman" w:cs="Times New Roman"/>
          <w:szCs w:val="28"/>
          <w:highlight w:val="none"/>
        </w:rPr>
        <w:t>：不适用。</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可持续影响指标：</w:t>
      </w:r>
      <w:r>
        <w:rPr>
          <w:rFonts w:hint="eastAsia" w:ascii="Times New Roman" w:hAnsi="Times New Roman" w:cs="Times New Roman"/>
          <w:szCs w:val="28"/>
          <w:highlight w:val="none"/>
          <w:lang w:val="en-US" w:eastAsia="zh-CN"/>
        </w:rPr>
        <w:t>评价指标“落实教育惠民政策”，指标值：有效落实，实际完成值：达成年度指标。按照关于印发《乌鲁木齐市实施15年免费教育资金管理暂行办法的通知》乌财教【2017】117号，文件规定幼儿园保教费2624元/生/年、伙食费220元/生/月，为保障适龄幼儿应入尽入，学前经费应保尽保的基础上，每一笔经费严格按照项目申报计划规范支出，确保专款专用完全达到预期效果。</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综上，该指标满分1</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分，得分</w:t>
      </w:r>
      <w:r>
        <w:rPr>
          <w:rFonts w:hint="eastAsia" w:ascii="Times New Roman" w:hAnsi="Times New Roman" w:cs="Times New Roman"/>
          <w:b/>
          <w:kern w:val="0"/>
          <w:szCs w:val="28"/>
          <w:highlight w:val="none"/>
          <w:lang w:val="en-US" w:eastAsia="zh-CN"/>
        </w:rPr>
        <w:t>15</w:t>
      </w:r>
      <w:r>
        <w:rPr>
          <w:rFonts w:hint="default" w:ascii="Times New Roman" w:hAnsi="Times New Roman" w:cs="Times New Roman"/>
          <w:b/>
          <w:kern w:val="0"/>
          <w:szCs w:val="28"/>
          <w:highlight w:val="none"/>
        </w:rPr>
        <w:t>分。</w:t>
      </w:r>
    </w:p>
    <w:p>
      <w:pPr>
        <w:pStyle w:val="4"/>
        <w:ind w:firstLine="643"/>
        <w:rPr>
          <w:rFonts w:hint="default" w:ascii="Times New Roman" w:hAnsi="Times New Roman" w:cs="Times New Roman"/>
          <w:highlight w:val="none"/>
        </w:rPr>
      </w:pPr>
      <w:bookmarkStart w:id="50" w:name="_Toc100784614"/>
      <w:r>
        <w:rPr>
          <w:rFonts w:hint="default" w:ascii="Times New Roman" w:hAnsi="Times New Roman" w:cs="Times New Roman"/>
          <w:highlight w:val="none"/>
        </w:rPr>
        <w:t>2. 满意度指标完成情况分析</w:t>
      </w:r>
      <w:bookmarkEnd w:id="50"/>
    </w:p>
    <w:p>
      <w:pPr>
        <w:spacing w:line="360" w:lineRule="auto"/>
        <w:ind w:firstLine="562"/>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（1）满意度指标</w:t>
      </w:r>
    </w:p>
    <w:p>
      <w:pPr>
        <w:spacing w:line="360" w:lineRule="auto"/>
        <w:ind w:firstLine="562"/>
        <w:rPr>
          <w:rFonts w:hint="default" w:ascii="Times New Roman" w:hAnsi="Times New Roman" w:cs="Times New Roman"/>
          <w:szCs w:val="28"/>
          <w:highlight w:val="none"/>
          <w:lang w:val="en-US" w:eastAsia="zh-CN"/>
        </w:rPr>
      </w:pPr>
      <w:r>
        <w:rPr>
          <w:rFonts w:hint="default" w:ascii="Times New Roman" w:hAnsi="Times New Roman" w:cs="Times New Roman"/>
          <w:b/>
          <w:bCs/>
          <w:szCs w:val="28"/>
          <w:highlight w:val="none"/>
        </w:rPr>
        <w:t>群众满意度：</w:t>
      </w:r>
      <w:r>
        <w:rPr>
          <w:rFonts w:hint="eastAsia" w:ascii="Times New Roman" w:hAnsi="Times New Roman" w:cs="Times New Roman"/>
          <w:szCs w:val="28"/>
          <w:highlight w:val="none"/>
          <w:lang w:val="en-US" w:eastAsia="zh-CN"/>
        </w:rPr>
        <w:t>评价指标“家长满意度”，指标值：≥90%，实际完成值：100%。评价指标“学生满意度”，指标值：≥90%，实际完成值：100%。通过设置问卷调查的方式进行考评评价，共计调查样本总量为61个样本，有效调查问卷61份。其中，统计“满意度”的平均值为100%。故满意度指标得分为5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分，得分</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w:t>
      </w:r>
    </w:p>
    <w:p>
      <w:pPr>
        <w:autoSpaceDE w:val="0"/>
        <w:spacing w:line="600" w:lineRule="exact"/>
        <w:ind w:firstLine="562"/>
        <w:rPr>
          <w:rFonts w:hint="default" w:ascii="Times New Roman" w:hAnsi="Times New Roman" w:cs="Times New Roman"/>
          <w:b/>
          <w:kern w:val="0"/>
          <w:szCs w:val="28"/>
          <w:highlight w:val="none"/>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51" w:name="_Toc67911616"/>
      <w:bookmarkStart w:id="52" w:name="_Toc100784615"/>
      <w:r>
        <w:rPr>
          <w:rFonts w:hint="default" w:ascii="Times New Roman" w:hAnsi="Times New Roman" w:eastAsia="仿宋" w:cs="Times New Roman"/>
          <w:sz w:val="36"/>
          <w:szCs w:val="36"/>
          <w:highlight w:val="none"/>
          <w:lang w:bidi="en-US"/>
        </w:rPr>
        <w:t>五、预算执行进度与绩效指标偏差</w:t>
      </w:r>
      <w:bookmarkEnd w:id="51"/>
      <w:bookmarkEnd w:id="52"/>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本项目预算执行率为</w:t>
      </w:r>
      <w:r>
        <w:rPr>
          <w:rFonts w:hint="eastAsia" w:ascii="Times New Roman" w:hAnsi="Times New Roman" w:cs="Times New Roman"/>
          <w:szCs w:val="28"/>
          <w:highlight w:val="none"/>
          <w:lang w:val="en-US" w:eastAsia="zh-CN"/>
        </w:rPr>
        <w:t>76.11</w:t>
      </w:r>
      <w:r>
        <w:rPr>
          <w:rFonts w:hint="default" w:ascii="Times New Roman" w:hAnsi="Times New Roman" w:cs="Times New Roman"/>
          <w:szCs w:val="28"/>
          <w:highlight w:val="none"/>
        </w:rPr>
        <w:t>%，指标总体完成率为</w:t>
      </w:r>
      <w:r>
        <w:rPr>
          <w:rFonts w:hint="eastAsia" w:ascii="Times New Roman" w:hAnsi="Times New Roman" w:cs="Times New Roman"/>
          <w:szCs w:val="28"/>
          <w:highlight w:val="none"/>
          <w:lang w:val="en-US" w:eastAsia="zh-CN"/>
        </w:rPr>
        <w:t>100</w:t>
      </w:r>
      <w:r>
        <w:rPr>
          <w:rFonts w:hint="default" w:ascii="Times New Roman" w:hAnsi="Times New Roman" w:cs="Times New Roman"/>
          <w:szCs w:val="28"/>
          <w:highlight w:val="none"/>
        </w:rPr>
        <w:t>%，二者之间的偏差值为</w:t>
      </w:r>
      <w:r>
        <w:rPr>
          <w:rFonts w:hint="eastAsia" w:ascii="Times New Roman" w:hAnsi="Times New Roman" w:cs="Times New Roman"/>
          <w:szCs w:val="28"/>
          <w:highlight w:val="none"/>
          <w:lang w:val="en-US" w:eastAsia="zh-CN"/>
        </w:rPr>
        <w:t>23.89</w:t>
      </w:r>
      <w:r>
        <w:rPr>
          <w:rFonts w:hint="default" w:ascii="Times New Roman" w:hAnsi="Times New Roman" w:cs="Times New Roman"/>
          <w:szCs w:val="28"/>
          <w:highlight w:val="none"/>
        </w:rPr>
        <w:t>%，</w:t>
      </w:r>
      <w:r>
        <w:rPr>
          <w:rFonts w:hint="eastAsia" w:ascii="Times New Roman" w:hAnsi="Times New Roman" w:cs="Times New Roman"/>
          <w:szCs w:val="28"/>
          <w:highlight w:val="none"/>
          <w:lang w:val="en-US" w:eastAsia="zh-CN"/>
        </w:rPr>
        <w:t>大于</w:t>
      </w:r>
      <w:r>
        <w:rPr>
          <w:rFonts w:hint="default" w:ascii="Times New Roman" w:hAnsi="Times New Roman" w:cs="Times New Roman"/>
          <w:szCs w:val="28"/>
          <w:highlight w:val="none"/>
        </w:rPr>
        <w:t>20%。</w:t>
      </w:r>
      <w:r>
        <w:rPr>
          <w:rFonts w:hint="eastAsia" w:ascii="Times New Roman" w:hAnsi="Times New Roman" w:cs="Times New Roman"/>
          <w:szCs w:val="28"/>
          <w:highlight w:val="none"/>
          <w:lang w:val="en-US" w:eastAsia="zh-CN"/>
        </w:rPr>
        <w:t>在2022年1-8月份正常开学期间该项目正常进行，资金正常支付，有效保障了学校的教育教学。2022年8-12月受疫情原因影响，部分资金结余到年底，</w:t>
      </w:r>
      <w:r>
        <w:rPr>
          <w:rFonts w:hint="default" w:ascii="Times New Roman" w:hAnsi="Times New Roman" w:cs="Times New Roman"/>
          <w:szCs w:val="28"/>
          <w:highlight w:val="none"/>
        </w:rPr>
        <w:t>因此，本项目较好地完成了年度总体目标，财政资金使用效益和效率较高。</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53" w:name="_Toc67911617"/>
      <w:bookmarkStart w:id="54" w:name="_Toc10078461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六、主要经验及做法、存在的问题及原因分析</w:t>
      </w:r>
      <w:bookmarkEnd w:id="53"/>
      <w:bookmarkEnd w:id="5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55" w:name="_Toc100784617"/>
      <w:bookmarkStart w:id="56" w:name="_Toc67911618"/>
      <w:r>
        <w:rPr>
          <w:rFonts w:hint="default" w:ascii="Times New Roman" w:hAnsi="Times New Roman" w:eastAsia="仿宋" w:cs="Times New Roman"/>
          <w:sz w:val="32"/>
          <w:szCs w:val="32"/>
          <w:highlight w:val="none"/>
          <w:lang w:bidi="en-US"/>
        </w:rPr>
        <w:t>（一）主要经验及做法</w:t>
      </w:r>
      <w:bookmarkEnd w:id="55"/>
      <w:bookmarkEnd w:id="56"/>
    </w:p>
    <w:p>
      <w:pPr>
        <w:spacing w:line="360" w:lineRule="auto"/>
        <w:ind w:firstLine="560"/>
        <w:rPr>
          <w:rFonts w:hint="eastAsia" w:ascii="Times New Roman" w:hAnsi="Times New Roman" w:cs="Times New Roman"/>
          <w:szCs w:val="28"/>
          <w:highlight w:val="none"/>
        </w:rPr>
      </w:pPr>
      <w:r>
        <w:rPr>
          <w:rFonts w:hint="default" w:ascii="Times New Roman" w:hAnsi="Times New Roman" w:cs="Times New Roman"/>
          <w:szCs w:val="28"/>
          <w:highlight w:val="none"/>
        </w:rPr>
        <w:t>1.</w:t>
      </w:r>
      <w:r>
        <w:rPr>
          <w:rFonts w:hint="eastAsia" w:ascii="Times New Roman" w:hAnsi="Times New Roman" w:cs="Times New Roman"/>
          <w:szCs w:val="28"/>
          <w:highlight w:val="none"/>
        </w:rPr>
        <w:t>及时做好202</w:t>
      </w:r>
      <w:r>
        <w:rPr>
          <w:rFonts w:hint="eastAsia" w:ascii="Times New Roman" w:hAnsi="Times New Roman" w:cs="Times New Roman"/>
          <w:szCs w:val="28"/>
          <w:highlight w:val="none"/>
          <w:lang w:val="en-US" w:eastAsia="zh-CN"/>
        </w:rPr>
        <w:t>2</w:t>
      </w:r>
      <w:r>
        <w:rPr>
          <w:rFonts w:hint="eastAsia" w:ascii="Times New Roman" w:hAnsi="Times New Roman" w:cs="Times New Roman"/>
          <w:szCs w:val="28"/>
          <w:highlight w:val="none"/>
        </w:rPr>
        <w:t>年项目计划制定可行性方案并及时申报项目资金，做好项目的动态监管，切时做到专款专用，改善办学完条件。</w:t>
      </w:r>
    </w:p>
    <w:p>
      <w:pPr>
        <w:spacing w:line="360" w:lineRule="auto"/>
        <w:ind w:firstLine="560"/>
        <w:rPr>
          <w:rFonts w:hint="eastAsia" w:ascii="Times New Roman" w:hAnsi="Times New Roman" w:cs="Times New Roman"/>
          <w:szCs w:val="28"/>
          <w:highlight w:val="none"/>
        </w:rPr>
      </w:pPr>
      <w:r>
        <w:rPr>
          <w:rFonts w:hint="eastAsia" w:ascii="Times New Roman" w:hAnsi="Times New Roman" w:cs="Times New Roman"/>
          <w:szCs w:val="28"/>
          <w:highlight w:val="none"/>
        </w:rPr>
        <w:t>2.积极参加财务培训，提高专业技能。</w:t>
      </w:r>
    </w:p>
    <w:p>
      <w:pPr>
        <w:spacing w:line="360" w:lineRule="auto"/>
        <w:ind w:firstLine="560"/>
        <w:rPr>
          <w:rFonts w:hint="eastAsia" w:ascii="Times New Roman" w:hAnsi="Times New Roman" w:cs="Times New Roman"/>
          <w:szCs w:val="28"/>
          <w:highlight w:val="none"/>
        </w:rPr>
      </w:pPr>
      <w:r>
        <w:rPr>
          <w:rFonts w:hint="eastAsia" w:ascii="Times New Roman" w:hAnsi="Times New Roman" w:cs="Times New Roman"/>
          <w:szCs w:val="28"/>
          <w:highlight w:val="none"/>
        </w:rPr>
        <w:t>3.加强督导，提升保教质量。</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57" w:name="_Toc100784618"/>
      <w:r>
        <w:rPr>
          <w:rFonts w:hint="default" w:ascii="Times New Roman" w:hAnsi="Times New Roman" w:eastAsia="仿宋" w:cs="Times New Roman"/>
          <w:sz w:val="32"/>
          <w:szCs w:val="32"/>
          <w:highlight w:val="none"/>
          <w:lang w:bidi="en-US"/>
        </w:rPr>
        <w:t>（二）存在的问题及原因分析</w:t>
      </w:r>
      <w:bookmarkEnd w:id="57"/>
    </w:p>
    <w:p>
      <w:pPr>
        <w:spacing w:line="360" w:lineRule="auto"/>
        <w:ind w:firstLine="560"/>
        <w:rPr>
          <w:rFonts w:hint="eastAsia" w:ascii="Times New Roman" w:hAnsi="Times New Roman" w:cs="Times New Roman"/>
          <w:szCs w:val="28"/>
          <w:highlight w:val="none"/>
        </w:rPr>
      </w:pPr>
      <w:bookmarkStart w:id="58" w:name="_Toc67911619"/>
      <w:bookmarkStart w:id="59" w:name="_Toc100784619"/>
      <w:r>
        <w:rPr>
          <w:rFonts w:hint="eastAsia" w:ascii="Times New Roman" w:hAnsi="Times New Roman" w:cs="Times New Roman"/>
          <w:szCs w:val="28"/>
          <w:highlight w:val="none"/>
        </w:rPr>
        <w:t xml:space="preserve">1、部门职能不明确，个别工作分工不清晰，且人员培训和绩效考核制度不够完善。 </w:t>
      </w:r>
    </w:p>
    <w:p>
      <w:pPr>
        <w:spacing w:line="360" w:lineRule="auto"/>
        <w:ind w:firstLine="560"/>
        <w:rPr>
          <w:rFonts w:hint="eastAsia" w:ascii="Times New Roman" w:hAnsi="Times New Roman" w:cs="Times New Roman"/>
          <w:szCs w:val="28"/>
          <w:highlight w:val="none"/>
        </w:rPr>
      </w:pPr>
      <w:r>
        <w:rPr>
          <w:rFonts w:hint="eastAsia" w:ascii="Times New Roman" w:hAnsi="Times New Roman" w:cs="Times New Roman"/>
          <w:szCs w:val="28"/>
          <w:highlight w:val="none"/>
        </w:rPr>
        <w:t>2、部门资金支出进度普遍较低，对资金支出的控制力度不足。</w:t>
      </w:r>
    </w:p>
    <w:p>
      <w:pPr>
        <w:spacing w:line="360" w:lineRule="auto"/>
        <w:ind w:firstLine="560"/>
        <w:rPr>
          <w:rFonts w:hint="eastAsia" w:ascii="Times New Roman" w:hAnsi="Times New Roman" w:cs="Times New Roman"/>
          <w:szCs w:val="28"/>
          <w:highlight w:val="none"/>
        </w:rPr>
      </w:pPr>
      <w:r>
        <w:rPr>
          <w:rFonts w:hint="eastAsia" w:ascii="Times New Roman" w:hAnsi="Times New Roman" w:cs="Times New Roman"/>
          <w:szCs w:val="28"/>
          <w:highlight w:val="none"/>
        </w:rPr>
        <w:t>3、工程手续办理慢，影响了工程进度。建议简化工程手续；加大资金投入，全面改善学前教育办学条件。</w:t>
      </w:r>
    </w:p>
    <w:p>
      <w:pPr>
        <w:spacing w:line="360" w:lineRule="auto"/>
        <w:ind w:firstLine="560"/>
        <w:rPr>
          <w:rFonts w:hint="default" w:ascii="Times New Roman" w:hAnsi="Times New Roman" w:cs="Times New Roman"/>
          <w:szCs w:val="28"/>
          <w:highlight w:val="none"/>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七、其他需要说明的问题</w:t>
      </w:r>
      <w:bookmarkEnd w:id="58"/>
      <w:bookmarkEnd w:id="59"/>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1.项目支出政策和路径设计科学，符合实际需要；</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2.项目安排准确，未发现背离项目立项初衷的情况；</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3.项目的申报、审核机制完善；</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4.未发现虚假行为和骗取财政资金的问题。</w:t>
      </w:r>
    </w:p>
    <w:p>
      <w:pPr>
        <w:pStyle w:val="2"/>
        <w:ind w:firstLine="0" w:firstLineChars="0"/>
        <w:jc w:val="left"/>
        <w:rPr>
          <w:rFonts w:hint="default" w:ascii="Times New Roman" w:hAnsi="Times New Roman" w:eastAsia="仿宋" w:cs="Times New Roman"/>
          <w:sz w:val="36"/>
          <w:szCs w:val="36"/>
          <w:highlight w:val="none"/>
          <w:lang w:bidi="en-US"/>
        </w:rPr>
      </w:pPr>
      <w:bookmarkStart w:id="60" w:name="_Toc67911620"/>
      <w:bookmarkStart w:id="61" w:name="_Toc100784620"/>
      <w:r>
        <w:rPr>
          <w:rFonts w:hint="default" w:ascii="Times New Roman" w:hAnsi="Times New Roman" w:eastAsia="仿宋" w:cs="Times New Roman"/>
          <w:sz w:val="36"/>
          <w:szCs w:val="36"/>
          <w:highlight w:val="none"/>
          <w:lang w:bidi="en-US"/>
        </w:rPr>
        <w:t>八、有关建议</w:t>
      </w:r>
      <w:bookmarkEnd w:id="60"/>
      <w:bookmarkEnd w:id="61"/>
    </w:p>
    <w:p>
      <w:pPr>
        <w:spacing w:line="360" w:lineRule="auto"/>
        <w:ind w:firstLine="560"/>
        <w:rPr>
          <w:rFonts w:hint="eastAsia" w:ascii="Times New Roman" w:hAnsi="Times New Roman" w:cs="Times New Roman"/>
          <w:szCs w:val="28"/>
          <w:highlight w:val="none"/>
        </w:rPr>
      </w:pPr>
      <w:r>
        <w:rPr>
          <w:rFonts w:hint="eastAsia" w:ascii="Times New Roman" w:hAnsi="Times New Roman" w:cs="Times New Roman"/>
          <w:szCs w:val="28"/>
          <w:highlight w:val="none"/>
        </w:rPr>
        <w:t>加强预算制定过程的科学性管理，提升预算方案的质量。首先在预算管理上，加强预算编制的合理性及会计核算的规范性。一方面针对由于部门不可控因素出现的预算调整率较大、资金支出率低的问题，我单位应及时与政府及上级部门沟通，向上争取政策支持，在政策实施条件上进行有序改善；另一方面，在预算申报上，预算单位要结合实际需求填报资金需求，在不同项目、不同用途之间做到合理分配预算资金。其次依据项目进展或单位工作实际情况，及时对预算安排进行必要调整。在项目受阻的情况下，资金使用单位应及时向主管部门反馈项目进展情况，主管部门就单位上报的项目实际情况对预算安排进行必要调整，以免导致资金闲置，降低公共预算资金使用效益。</w:t>
      </w:r>
    </w:p>
    <w:p>
      <w:pPr>
        <w:spacing w:line="360" w:lineRule="auto"/>
        <w:ind w:firstLine="560"/>
        <w:rPr>
          <w:rFonts w:hint="default" w:ascii="Times New Roman" w:hAnsi="Times New Roman" w:cs="Times New Roman"/>
          <w:szCs w:val="28"/>
          <w:highlight w:val="none"/>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1"/>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21"/>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r>
      <w:rPr>
        <w:rFonts w:hint="eastAsia" w:ascii="仿宋_GB2312" w:eastAsia="仿宋_GB2312"/>
        <w:sz w:val="21"/>
        <w:szCs w:val="21"/>
      </w:rPr>
      <w:t>财政委托审计费自评报告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0OWRkZTlmZTJlM2I3OWYzMzM4M2FiYjZmZWFkZWE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2557C87"/>
    <w:rsid w:val="04AF605F"/>
    <w:rsid w:val="05AA2098"/>
    <w:rsid w:val="07F14903"/>
    <w:rsid w:val="098932BE"/>
    <w:rsid w:val="0B3348DE"/>
    <w:rsid w:val="0BA0392E"/>
    <w:rsid w:val="0BCD0DAA"/>
    <w:rsid w:val="0E6C0832"/>
    <w:rsid w:val="0F2D7616"/>
    <w:rsid w:val="0FF718C8"/>
    <w:rsid w:val="10AB5E73"/>
    <w:rsid w:val="128679E9"/>
    <w:rsid w:val="131752E4"/>
    <w:rsid w:val="147A7C80"/>
    <w:rsid w:val="154F7553"/>
    <w:rsid w:val="159C398E"/>
    <w:rsid w:val="198B4F4B"/>
    <w:rsid w:val="1AE34020"/>
    <w:rsid w:val="209459C7"/>
    <w:rsid w:val="20C1213F"/>
    <w:rsid w:val="238E7B90"/>
    <w:rsid w:val="23EC6C11"/>
    <w:rsid w:val="24EA3046"/>
    <w:rsid w:val="26A977E8"/>
    <w:rsid w:val="273A0AA2"/>
    <w:rsid w:val="273E5511"/>
    <w:rsid w:val="27D750B2"/>
    <w:rsid w:val="29815BFE"/>
    <w:rsid w:val="2A9A79BA"/>
    <w:rsid w:val="2B7C6A5B"/>
    <w:rsid w:val="2BE13608"/>
    <w:rsid w:val="2C9556D5"/>
    <w:rsid w:val="2CBB1F1D"/>
    <w:rsid w:val="2F982317"/>
    <w:rsid w:val="31102147"/>
    <w:rsid w:val="33792F26"/>
    <w:rsid w:val="34B469A6"/>
    <w:rsid w:val="34DD74E5"/>
    <w:rsid w:val="358C7D20"/>
    <w:rsid w:val="37105528"/>
    <w:rsid w:val="38F3597A"/>
    <w:rsid w:val="38FF478B"/>
    <w:rsid w:val="39361684"/>
    <w:rsid w:val="3A7E52C6"/>
    <w:rsid w:val="3AD23500"/>
    <w:rsid w:val="3BD72EE0"/>
    <w:rsid w:val="3C3C6D6D"/>
    <w:rsid w:val="3DD50827"/>
    <w:rsid w:val="3DE83B1C"/>
    <w:rsid w:val="3E2701EC"/>
    <w:rsid w:val="3F253F62"/>
    <w:rsid w:val="3F515646"/>
    <w:rsid w:val="439F0828"/>
    <w:rsid w:val="441F6112"/>
    <w:rsid w:val="44AB6CB7"/>
    <w:rsid w:val="4500323C"/>
    <w:rsid w:val="47C53B0B"/>
    <w:rsid w:val="48FF0092"/>
    <w:rsid w:val="49D23141"/>
    <w:rsid w:val="4C0F3B6E"/>
    <w:rsid w:val="4D36028B"/>
    <w:rsid w:val="4D7855F5"/>
    <w:rsid w:val="4DE9296A"/>
    <w:rsid w:val="4EEE35FD"/>
    <w:rsid w:val="4FE96CA1"/>
    <w:rsid w:val="53D601E6"/>
    <w:rsid w:val="546F31C0"/>
    <w:rsid w:val="54F15BD5"/>
    <w:rsid w:val="55BF25B3"/>
    <w:rsid w:val="57A27214"/>
    <w:rsid w:val="5815781E"/>
    <w:rsid w:val="5AA31307"/>
    <w:rsid w:val="5B094E58"/>
    <w:rsid w:val="5BBB3658"/>
    <w:rsid w:val="5C313F24"/>
    <w:rsid w:val="5C7E04BE"/>
    <w:rsid w:val="5EE329F1"/>
    <w:rsid w:val="609246FA"/>
    <w:rsid w:val="60EE6452"/>
    <w:rsid w:val="61A5461C"/>
    <w:rsid w:val="61CF5F64"/>
    <w:rsid w:val="61ED2F99"/>
    <w:rsid w:val="62522A10"/>
    <w:rsid w:val="672866FA"/>
    <w:rsid w:val="676905E0"/>
    <w:rsid w:val="6790530B"/>
    <w:rsid w:val="6A5A3AE2"/>
    <w:rsid w:val="6A9E37B9"/>
    <w:rsid w:val="6BFD0236"/>
    <w:rsid w:val="6ED40631"/>
    <w:rsid w:val="71A02D99"/>
    <w:rsid w:val="73680E97"/>
    <w:rsid w:val="7511220A"/>
    <w:rsid w:val="76E67900"/>
    <w:rsid w:val="790D7C5C"/>
    <w:rsid w:val="7BD54F1B"/>
    <w:rsid w:val="7C756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1"/>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4"/>
    <w:semiHidden/>
    <w:unhideWhenUsed/>
    <w:qFormat/>
    <w:uiPriority w:val="99"/>
    <w:pPr>
      <w:ind w:left="100" w:leftChars="2500"/>
    </w:pPr>
  </w:style>
  <w:style w:type="paragraph" w:styleId="8">
    <w:name w:val="Balloon Text"/>
    <w:basedOn w:val="1"/>
    <w:link w:val="33"/>
    <w:semiHidden/>
    <w:unhideWhenUsed/>
    <w:qFormat/>
    <w:uiPriority w:val="99"/>
    <w:rPr>
      <w:sz w:val="18"/>
      <w:szCs w:val="18"/>
    </w:rPr>
  </w:style>
  <w:style w:type="paragraph" w:styleId="9">
    <w:name w:val="footer"/>
    <w:basedOn w:val="1"/>
    <w:link w:val="23"/>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6"/>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annotation subject"/>
    <w:basedOn w:val="5"/>
    <w:next w:val="5"/>
    <w:link w:val="32"/>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Strong"/>
    <w:basedOn w:val="17"/>
    <w:qFormat/>
    <w:uiPriority w:val="0"/>
    <w:rPr>
      <w:b/>
      <w:bCs/>
    </w:rPr>
  </w:style>
  <w:style w:type="character" w:styleId="19">
    <w:name w:val="Hyperlink"/>
    <w:basedOn w:val="17"/>
    <w:unhideWhenUsed/>
    <w:qFormat/>
    <w:uiPriority w:val="99"/>
    <w:rPr>
      <w:color w:val="0563C1" w:themeColor="hyperlink"/>
      <w:u w:val="single"/>
      <w14:textFill>
        <w14:solidFill>
          <w14:schemeClr w14:val="hlink"/>
        </w14:solidFill>
      </w14:textFill>
    </w:rPr>
  </w:style>
  <w:style w:type="character" w:styleId="20">
    <w:name w:val="annotation reference"/>
    <w:basedOn w:val="17"/>
    <w:semiHidden/>
    <w:unhideWhenUsed/>
    <w:qFormat/>
    <w:uiPriority w:val="99"/>
    <w:rPr>
      <w:sz w:val="21"/>
      <w:szCs w:val="21"/>
    </w:rPr>
  </w:style>
  <w:style w:type="character" w:styleId="21">
    <w:name w:val="footnote reference"/>
    <w:basedOn w:val="17"/>
    <w:semiHidden/>
    <w:unhideWhenUsed/>
    <w:qFormat/>
    <w:uiPriority w:val="99"/>
    <w:rPr>
      <w:vertAlign w:val="superscript"/>
    </w:rPr>
  </w:style>
  <w:style w:type="character" w:customStyle="1" w:styleId="22">
    <w:name w:val="页眉 Char"/>
    <w:basedOn w:val="17"/>
    <w:link w:val="10"/>
    <w:qFormat/>
    <w:uiPriority w:val="99"/>
    <w:rPr>
      <w:sz w:val="18"/>
      <w:szCs w:val="18"/>
    </w:rPr>
  </w:style>
  <w:style w:type="character" w:customStyle="1" w:styleId="23">
    <w:name w:val="页脚 Char"/>
    <w:basedOn w:val="17"/>
    <w:link w:val="9"/>
    <w:qFormat/>
    <w:uiPriority w:val="99"/>
    <w:rPr>
      <w:sz w:val="18"/>
      <w:szCs w:val="18"/>
    </w:rPr>
  </w:style>
  <w:style w:type="character" w:customStyle="1" w:styleId="24">
    <w:name w:val="日期 Char"/>
    <w:basedOn w:val="17"/>
    <w:link w:val="7"/>
    <w:semiHidden/>
    <w:qFormat/>
    <w:uiPriority w:val="99"/>
    <w:rPr>
      <w:rFonts w:ascii="Calibri" w:hAnsi="Calibri" w:eastAsia="仿宋_GB2312" w:cs="黑体"/>
      <w:sz w:val="28"/>
    </w:rPr>
  </w:style>
  <w:style w:type="character" w:customStyle="1" w:styleId="25">
    <w:name w:val="标题 2 Char"/>
    <w:basedOn w:val="17"/>
    <w:link w:val="3"/>
    <w:qFormat/>
    <w:uiPriority w:val="9"/>
    <w:rPr>
      <w:rFonts w:asciiTheme="majorHAnsi" w:hAnsiTheme="majorHAnsi" w:eastAsiaTheme="majorEastAsia" w:cstheme="majorBidi"/>
      <w:b/>
      <w:bCs/>
      <w:sz w:val="32"/>
      <w:szCs w:val="32"/>
    </w:rPr>
  </w:style>
  <w:style w:type="character" w:customStyle="1" w:styleId="26">
    <w:name w:val="脚注文本 Char"/>
    <w:basedOn w:val="17"/>
    <w:link w:val="12"/>
    <w:semiHidden/>
    <w:qFormat/>
    <w:uiPriority w:val="99"/>
    <w:rPr>
      <w:rFonts w:ascii="Calibri" w:hAnsi="Calibri" w:eastAsia="仿宋_GB2312" w:cs="黑体"/>
      <w:sz w:val="18"/>
      <w:szCs w:val="18"/>
    </w:rPr>
  </w:style>
  <w:style w:type="paragraph" w:styleId="27">
    <w:name w:val="List Paragraph"/>
    <w:basedOn w:val="1"/>
    <w:qFormat/>
    <w:uiPriority w:val="34"/>
    <w:pPr>
      <w:ind w:firstLine="420"/>
    </w:pPr>
  </w:style>
  <w:style w:type="table" w:customStyle="1" w:styleId="28">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9">
    <w:name w:val="标题 1 Char"/>
    <w:basedOn w:val="17"/>
    <w:link w:val="2"/>
    <w:qFormat/>
    <w:uiPriority w:val="9"/>
    <w:rPr>
      <w:rFonts w:ascii="Calibri" w:hAnsi="Calibri" w:eastAsia="仿宋_GB2312" w:cs="黑体"/>
      <w:b/>
      <w:bCs/>
      <w:kern w:val="44"/>
      <w:sz w:val="44"/>
      <w:szCs w:val="44"/>
    </w:rPr>
  </w:style>
  <w:style w:type="paragraph" w:customStyle="1" w:styleId="30">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1">
    <w:name w:val="批注文字 Char"/>
    <w:basedOn w:val="17"/>
    <w:link w:val="5"/>
    <w:qFormat/>
    <w:uiPriority w:val="99"/>
    <w:rPr>
      <w:rFonts w:ascii="Calibri" w:hAnsi="Calibri" w:eastAsia="仿宋_GB2312" w:cs="黑体"/>
      <w:sz w:val="28"/>
    </w:rPr>
  </w:style>
  <w:style w:type="character" w:customStyle="1" w:styleId="32">
    <w:name w:val="批注主题 Char"/>
    <w:basedOn w:val="31"/>
    <w:link w:val="14"/>
    <w:semiHidden/>
    <w:qFormat/>
    <w:uiPriority w:val="99"/>
    <w:rPr>
      <w:rFonts w:ascii="Calibri" w:hAnsi="Calibri" w:eastAsia="仿宋_GB2312" w:cs="黑体"/>
      <w:b/>
      <w:bCs/>
      <w:sz w:val="28"/>
    </w:rPr>
  </w:style>
  <w:style w:type="character" w:customStyle="1" w:styleId="33">
    <w:name w:val="批注框文本 Char"/>
    <w:basedOn w:val="17"/>
    <w:link w:val="8"/>
    <w:semiHidden/>
    <w:qFormat/>
    <w:uiPriority w:val="99"/>
    <w:rPr>
      <w:rFonts w:ascii="Calibri" w:hAnsi="Calibri" w:eastAsia="仿宋_GB2312" w:cs="黑体"/>
      <w:sz w:val="18"/>
      <w:szCs w:val="18"/>
    </w:rPr>
  </w:style>
  <w:style w:type="character" w:customStyle="1" w:styleId="34">
    <w:name w:val="标题 3 Char"/>
    <w:basedOn w:val="17"/>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25</Pages>
  <Words>10557</Words>
  <Characters>11239</Characters>
  <Lines>79</Lines>
  <Paragraphs>22</Paragraphs>
  <TotalTime>7</TotalTime>
  <ScaleCrop>false</ScaleCrop>
  <LinksUpToDate>false</LinksUpToDate>
  <CharactersWithSpaces>11371</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WPS_1670517770</cp:lastModifiedBy>
  <cp:lastPrinted>2023-04-11T02:57:00Z</cp:lastPrinted>
  <dcterms:modified xsi:type="dcterms:W3CDTF">2023-11-23T04:29:38Z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C72CFD68021D41D8BC351CC4CC9D8637_12</vt:lpwstr>
  </property>
</Properties>
</file>