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bookmarkStart w:id="62" w:name="_GoBack"/>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项目名称：乌鲁木齐县萨尔达坂乡中心幼儿园保障机制公用经费</w:t>
      </w:r>
    </w:p>
    <w:p>
      <w:pPr>
        <w:spacing w:line="480" w:lineRule="auto"/>
        <w:ind w:left="280" w:leftChars="100" w:firstLine="1091" w:firstLineChars="341"/>
        <w:jc w:val="left"/>
        <w:rPr>
          <w:rFonts w:hint="eastAsia" w:ascii="Times New Roman" w:hAnsi="Times New Roman"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eastAsia="zh-CN" w:bidi="en-US"/>
        </w:rPr>
        <w:t>乌鲁木齐县第二中学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cs="Times New Roman"/>
              <w:highlight w:val="none"/>
            </w:rPr>
          </w:pPr>
          <w:r>
            <w:rPr>
              <w:rFonts w:hint="default" w:ascii="Times New Roman" w:hAnsi="Times New Roman" w:cs="Times New Roman"/>
              <w:color w:val="000000" w:themeColor="text1"/>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.3</w:t>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3</w:t>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1.评价目的</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3</w:t>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4</w:t>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4</w:t>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1.评价原则</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4</w:t>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5</w:t>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eastAsia" w:ascii="Times New Roman" w:hAnsi="Times New Roman" w:eastAsia="仿宋_GB2312" w:cs="Times New Roman"/>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2.产出质量</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0</w:t>
          </w:r>
        </w:p>
        <w:p>
          <w:pPr>
            <w:pStyle w:val="6"/>
            <w:tabs>
              <w:tab w:val="right" w:leader="dot" w:pos="8296"/>
            </w:tabs>
            <w:ind w:left="1120" w:firstLine="560"/>
            <w:rPr>
              <w:rFonts w:hint="eastAsia" w:ascii="Times New Roman" w:hAnsi="Times New Roman" w:eastAsia="仿宋_GB2312" w:cs="Times New Roman"/>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3.产出时效</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0</w:t>
          </w:r>
        </w:p>
        <w:p>
          <w:pPr>
            <w:pStyle w:val="6"/>
            <w:tabs>
              <w:tab w:val="right" w:leader="dot" w:pos="8296"/>
            </w:tabs>
            <w:ind w:left="1120" w:firstLine="560"/>
            <w:rPr>
              <w:rFonts w:hint="eastAsia" w:ascii="Times New Roman" w:hAnsi="Times New Roman" w:eastAsia="仿宋_GB2312" w:cs="Times New Roman"/>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4.产出成本</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0</w:t>
          </w:r>
        </w:p>
        <w:p>
          <w:pPr>
            <w:pStyle w:val="13"/>
            <w:tabs>
              <w:tab w:val="right" w:leader="dot" w:pos="8296"/>
            </w:tabs>
            <w:ind w:left="560"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0</w:t>
          </w:r>
        </w:p>
        <w:p>
          <w:pPr>
            <w:pStyle w:val="6"/>
            <w:tabs>
              <w:tab w:val="right" w:leader="dot" w:pos="8296"/>
            </w:tabs>
            <w:ind w:left="1120" w:firstLine="560"/>
            <w:rPr>
              <w:rFonts w:hint="eastAsia" w:ascii="Times New Roman" w:hAnsi="Times New Roman" w:eastAsia="仿宋_GB2312" w:cs="Times New Roman"/>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1.项目效益</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1</w:t>
          </w:r>
        </w:p>
        <w:p>
          <w:pPr>
            <w:pStyle w:val="6"/>
            <w:tabs>
              <w:tab w:val="right" w:leader="dot" w:pos="8296"/>
            </w:tabs>
            <w:ind w:left="1120" w:firstLine="560"/>
            <w:rPr>
              <w:rFonts w:hint="eastAsia" w:ascii="Times New Roman" w:hAnsi="Times New Roman" w:eastAsia="仿宋_GB2312" w:cs="Times New Roman"/>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2</w:t>
          </w:r>
        </w:p>
        <w:p>
          <w:pPr>
            <w:pStyle w:val="11"/>
            <w:tabs>
              <w:tab w:val="right" w:leader="dot" w:pos="8296"/>
            </w:tabs>
            <w:ind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2</w:t>
          </w:r>
        </w:p>
        <w:p>
          <w:pPr>
            <w:pStyle w:val="11"/>
            <w:tabs>
              <w:tab w:val="right" w:leader="dot" w:pos="8296"/>
            </w:tabs>
            <w:ind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2</w:t>
          </w:r>
        </w:p>
        <w:p>
          <w:pPr>
            <w:pStyle w:val="13"/>
            <w:tabs>
              <w:tab w:val="right" w:leader="dot" w:pos="8296"/>
            </w:tabs>
            <w:ind w:left="560"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2</w:t>
          </w:r>
        </w:p>
        <w:p>
          <w:pPr>
            <w:pStyle w:val="13"/>
            <w:tabs>
              <w:tab w:val="right" w:leader="dot" w:pos="8296"/>
            </w:tabs>
            <w:ind w:left="560"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3</w:t>
          </w:r>
        </w:p>
        <w:p>
          <w:pPr>
            <w:pStyle w:val="11"/>
            <w:tabs>
              <w:tab w:val="right" w:leader="dot" w:pos="8296"/>
            </w:tabs>
            <w:ind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3</w:t>
          </w:r>
        </w:p>
        <w:p>
          <w:pPr>
            <w:pStyle w:val="11"/>
            <w:tabs>
              <w:tab w:val="right" w:leader="dot" w:pos="8296"/>
            </w:tabs>
            <w:ind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3</w:t>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rPr>
        <w:t>根据《乌财教【2017】117号 》</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乌财教【2017】117号 关于印发乌鲁木齐市实施15年免费教育资金管理暂行办法的通知，经乌财教【2017】117 号文件批准，</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年财政下拨乌鲁木齐县萨尔达坂乡中心幼儿园保障机制公用经费</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万元。该项目经费保障了我辖区适龄幼儿免费接受学前三年教育，其细分为学前三年免费教育保障机制公用经费和学前三年免费教育幼儿园伙食费。全面普及农村学前三年免费教育，保障幼儿园正常运转，</w:t>
      </w:r>
      <w:r>
        <w:rPr>
          <w:rFonts w:hint="eastAsia" w:ascii="Times New Roman" w:hAnsi="Times New Roman" w:cs="Times New Roman"/>
          <w:szCs w:val="28"/>
          <w:highlight w:val="none"/>
          <w:lang w:val="en-US" w:eastAsia="zh-CN"/>
        </w:rPr>
        <w:t>1.</w:t>
      </w:r>
      <w:r>
        <w:rPr>
          <w:rFonts w:hint="eastAsia" w:ascii="Times New Roman" w:hAnsi="Times New Roman" w:cs="Times New Roman"/>
          <w:szCs w:val="28"/>
          <w:highlight w:val="none"/>
          <w:lang w:eastAsia="zh-CN"/>
        </w:rPr>
        <w:t>伙食费</w:t>
      </w:r>
      <w:r>
        <w:rPr>
          <w:rFonts w:hint="eastAsia" w:ascii="Times New Roman" w:hAnsi="Times New Roman" w:cs="Times New Roman"/>
          <w:szCs w:val="28"/>
          <w:highlight w:val="none"/>
        </w:rPr>
        <w:t>基准定额为：</w:t>
      </w:r>
      <w:r>
        <w:rPr>
          <w:rFonts w:hint="eastAsia" w:ascii="Times New Roman" w:hAnsi="Times New Roman" w:cs="Times New Roman"/>
          <w:szCs w:val="28"/>
          <w:highlight w:val="none"/>
          <w:lang w:val="en-US" w:eastAsia="zh-CN"/>
        </w:rPr>
        <w:t>220元*45人*9个月=89100元，</w:t>
      </w:r>
      <w:r>
        <w:rPr>
          <w:rFonts w:hint="eastAsia" w:ascii="Times New Roman" w:hAnsi="Times New Roman" w:cs="Times New Roman"/>
          <w:szCs w:val="28"/>
          <w:highlight w:val="none"/>
        </w:rPr>
        <w:t>具体开支范围：购买符合国家食品安全卫生达标的瓜果蔬菜、米面油、肉蛋奶等伙食材料，保证二餐二点。</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公用经费基准定额为：</w:t>
      </w:r>
      <w:r>
        <w:rPr>
          <w:rFonts w:hint="eastAsia" w:ascii="Times New Roman" w:hAnsi="Times New Roman" w:cs="Times New Roman"/>
          <w:szCs w:val="28"/>
          <w:highlight w:val="none"/>
          <w:lang w:val="en-US" w:eastAsia="zh-CN"/>
        </w:rPr>
        <w:t>2624元*45人=118080元，</w:t>
      </w:r>
      <w:r>
        <w:rPr>
          <w:rFonts w:hint="eastAsia" w:ascii="Times New Roman" w:hAnsi="Times New Roman" w:cs="Times New Roman"/>
          <w:szCs w:val="28"/>
          <w:highlight w:val="none"/>
          <w:lang w:eastAsia="zh-CN"/>
        </w:rPr>
        <w:t>公用经费</w:t>
      </w:r>
      <w:r>
        <w:rPr>
          <w:rFonts w:hint="eastAsia" w:ascii="Times New Roman" w:hAnsi="Times New Roman" w:cs="Times New Roman"/>
          <w:szCs w:val="28"/>
          <w:highlight w:val="none"/>
        </w:rPr>
        <w:t>开支范围：幼儿读本款师用书、教学挂图、教学图片、教学资料包及教学光盘、水电暖费、交通差旅费、邮电费、图书资制费、园含仪器设备的日常维护费、购买低值易耗品、教师培训等。我校严格按照《乌鲁木齐市实施15年免费教育资金管理暂行办法》乌财教【2017】117号文件规定执行该项目资金的管理及使用，保障学前三年免费教育正常运行，资金按期拨付，确实减轻我县农牧民家庭经济负担，落实教育惠民政策，全面推进国语教育，吸引广大农牧民子女入园就读，不断扩大覆盖人群，</w:t>
      </w:r>
      <w:r>
        <w:rPr>
          <w:rFonts w:hint="eastAsia" w:ascii="Times New Roman" w:hAnsi="Times New Roman" w:cs="Times New Roman"/>
          <w:szCs w:val="28"/>
          <w:highlight w:val="none"/>
          <w:lang w:eastAsia="zh-CN"/>
        </w:rPr>
        <w:t>确保</w:t>
      </w:r>
      <w:r>
        <w:rPr>
          <w:rFonts w:hint="eastAsia" w:ascii="Times New Roman" w:hAnsi="Times New Roman" w:cs="Times New Roman"/>
          <w:szCs w:val="28"/>
          <w:highlight w:val="none"/>
        </w:rPr>
        <w:t>覆盖</w:t>
      </w:r>
      <w:r>
        <w:rPr>
          <w:rFonts w:hint="eastAsia" w:ascii="Times New Roman" w:hAnsi="Times New Roman" w:cs="Times New Roman"/>
          <w:szCs w:val="28"/>
          <w:highlight w:val="none"/>
          <w:lang w:eastAsia="zh-CN"/>
        </w:rPr>
        <w:t>率</w:t>
      </w:r>
      <w:r>
        <w:rPr>
          <w:rFonts w:hint="eastAsia" w:ascii="Times New Roman" w:hAnsi="Times New Roman" w:cs="Times New Roman"/>
          <w:szCs w:val="28"/>
          <w:highlight w:val="none"/>
          <w:lang w:val="en-US" w:eastAsia="zh-CN"/>
        </w:rPr>
        <w:t>100%。</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经</w:t>
      </w:r>
      <w:r>
        <w:rPr>
          <w:rFonts w:hint="default" w:ascii="Times New Roman" w:hAnsi="Times New Roman" w:cs="Times New Roman"/>
          <w:szCs w:val="28"/>
          <w:highlight w:val="none"/>
        </w:rPr>
        <w:t>乌财教【2017】117 号</w:t>
      </w:r>
      <w:r>
        <w:rPr>
          <w:rFonts w:hint="eastAsia" w:ascii="Times New Roman" w:hAnsi="Times New Roman" w:cs="Times New Roman"/>
          <w:szCs w:val="28"/>
          <w:highlight w:val="none"/>
        </w:rPr>
        <w:t>文件批准，项目系2022年共安排预算</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万元，资金</w:t>
      </w:r>
      <w:r>
        <w:rPr>
          <w:rFonts w:hint="eastAsia" w:ascii="Times New Roman" w:hAnsi="Times New Roman" w:cs="Times New Roman"/>
          <w:szCs w:val="28"/>
          <w:highlight w:val="none"/>
          <w:lang w:val="en-US" w:eastAsia="zh-CN"/>
        </w:rPr>
        <w:t>按时</w:t>
      </w:r>
      <w:r>
        <w:rPr>
          <w:rFonts w:hint="eastAsia" w:ascii="Times New Roman" w:hAnsi="Times New Roman" w:cs="Times New Roman"/>
          <w:szCs w:val="28"/>
          <w:highlight w:val="none"/>
        </w:rPr>
        <w:t>到位</w:t>
      </w:r>
      <w:r>
        <w:rPr>
          <w:rFonts w:hint="eastAsia" w:ascii="Times New Roman" w:hAnsi="Times New Roman" w:cs="Times New Roman"/>
          <w:szCs w:val="28"/>
          <w:highlight w:val="none"/>
          <w:lang w:val="en-US" w:eastAsia="zh-CN"/>
        </w:rPr>
        <w:t>并及时</w:t>
      </w:r>
      <w:r>
        <w:rPr>
          <w:rFonts w:hint="eastAsia" w:ascii="Times New Roman" w:hAnsi="Times New Roman" w:cs="Times New Roman"/>
          <w:szCs w:val="28"/>
          <w:highlight w:val="none"/>
        </w:rPr>
        <w:t>支付，</w:t>
      </w:r>
      <w:r>
        <w:rPr>
          <w:rFonts w:hint="eastAsia" w:ascii="Times New Roman" w:hAnsi="Times New Roman" w:cs="Times New Roman"/>
          <w:szCs w:val="28"/>
          <w:highlight w:val="none"/>
          <w:lang w:eastAsia="zh-CN"/>
        </w:rPr>
        <w:t>因疫情原因</w:t>
      </w:r>
      <w:r>
        <w:rPr>
          <w:rFonts w:hint="eastAsia" w:ascii="Times New Roman" w:hAnsi="Times New Roman" w:cs="Times New Roman"/>
          <w:szCs w:val="28"/>
          <w:highlight w:val="none"/>
          <w:lang w:val="en-US" w:eastAsia="zh-CN"/>
        </w:rPr>
        <w:t>到年底支付6.69万，支付率为32.29%，</w:t>
      </w:r>
      <w:r>
        <w:rPr>
          <w:rFonts w:hint="eastAsia" w:ascii="Times New Roman" w:hAnsi="Times New Roman" w:cs="Times New Roman"/>
          <w:szCs w:val="28"/>
          <w:highlight w:val="none"/>
        </w:rPr>
        <w:t>年中</w:t>
      </w:r>
      <w:r>
        <w:rPr>
          <w:rFonts w:hint="eastAsia" w:ascii="Times New Roman" w:hAnsi="Times New Roman" w:cs="Times New Roman"/>
          <w:szCs w:val="28"/>
          <w:highlight w:val="none"/>
          <w:lang w:val="en-US" w:eastAsia="zh-CN"/>
        </w:rPr>
        <w:t>没有</w:t>
      </w:r>
      <w:r>
        <w:rPr>
          <w:rFonts w:hint="eastAsia" w:ascii="Times New Roman" w:hAnsi="Times New Roman" w:cs="Times New Roman"/>
          <w:szCs w:val="28"/>
          <w:highlight w:val="none"/>
        </w:rPr>
        <w:t>对资金进行调增、调减。</w:t>
      </w:r>
    </w:p>
    <w:p>
      <w:pPr>
        <w:spacing w:line="360" w:lineRule="auto"/>
        <w:ind w:firstLine="560"/>
        <w:rPr>
          <w:rFonts w:hint="default" w:ascii="Times New Roman" w:hAnsi="Times New Roman" w:cs="Times New Roman"/>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bookmarkStart w:id="7" w:name="_Toc67911604"/>
      <w:bookmarkStart w:id="8" w:name="_Toc100784586"/>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该项目系2022年共安排预算</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万元，保障了我辖区适龄幼儿免费接受学前三年教育，保障了幼儿园正常运转，</w:t>
      </w:r>
      <w:r>
        <w:rPr>
          <w:rFonts w:hint="eastAsia" w:ascii="Times New Roman" w:hAnsi="Times New Roman" w:cs="Times New Roman"/>
          <w:szCs w:val="28"/>
          <w:highlight w:val="none"/>
          <w:lang w:val="en-US" w:eastAsia="zh-CN"/>
        </w:rPr>
        <w:t>为</w:t>
      </w:r>
      <w:r>
        <w:rPr>
          <w:rFonts w:hint="eastAsia" w:ascii="Times New Roman" w:hAnsi="Times New Roman" w:cs="Times New Roman"/>
          <w:szCs w:val="28"/>
          <w:highlight w:val="none"/>
        </w:rPr>
        <w:t>幼儿园创设了拥有体现先进的办学理念、丰富的教育内涵和鲜明的办园特色的幼儿园文化，为幼儿园的成长、教师专业化水平的提高和幼儿园的自主发展创设了优良的人文环境与和谐的发展氛围。</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 xml:space="preserve">（1）绩效评价的对象：乌鲁木齐县萨尔达坂乡中心幼儿园保障机制公用经费项目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1.项目范围：乌鲁木齐县萨尔达坂乡中心幼儿园保障机制公用经费的完成情况、资金投入的运行情况、项目实施后产生的绩效及影响效果。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9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享受学前三年免费教育惠及幼儿人数</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享受免费教育幼儿园覆盖率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公用经费支付及时率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幼儿保教保教费</w:t>
            </w:r>
          </w:p>
        </w:tc>
        <w:tc>
          <w:tcPr>
            <w:tcW w:w="278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幼儿伙食补助</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推进国语教育</w:t>
            </w:r>
          </w:p>
        </w:tc>
        <w:tc>
          <w:tcPr>
            <w:tcW w:w="278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保障了幼儿园正常运转</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幼儿家长满意度</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eastAsia" w:ascii="Times New Roman" w:hAnsi="Times New Roman" w:eastAsia="仿宋_GB2312" w:cs="Times New Roman"/>
          <w:highlight w:val="none"/>
          <w:lang w:eastAsia="zh-CN"/>
        </w:rPr>
      </w:pPr>
      <w:r>
        <w:rPr>
          <w:rFonts w:hint="default" w:ascii="Times New Roman" w:hAnsi="Times New Roman" w:cs="Times New Roman"/>
          <w:highlight w:val="none"/>
        </w:rPr>
        <w:t>根据本项目乌鲁木齐县萨尔达坂乡中心幼儿园保障机制公用经费的特点，本次评价主要采用比较法</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2021年此项目金额为29.38万元，执行27.49万元，预算执行率93.57%。今年此项目预算20.72万元，</w:t>
      </w:r>
      <w:r>
        <w:rPr>
          <w:rFonts w:hint="eastAsia" w:ascii="Times New Roman" w:hAnsi="Times New Roman" w:cs="Times New Roman"/>
          <w:highlight w:val="none"/>
          <w:lang w:eastAsia="zh-CN"/>
        </w:rPr>
        <w:t>因疫情原因</w:t>
      </w:r>
      <w:r>
        <w:rPr>
          <w:rFonts w:hint="eastAsia" w:ascii="Times New Roman" w:hAnsi="Times New Roman" w:cs="Times New Roman"/>
          <w:highlight w:val="none"/>
        </w:rPr>
        <w:t>实际</w:t>
      </w:r>
      <w:r>
        <w:rPr>
          <w:rFonts w:hint="eastAsia" w:ascii="Times New Roman" w:hAnsi="Times New Roman" w:cs="Times New Roman"/>
          <w:highlight w:val="none"/>
          <w:lang w:eastAsia="zh-CN"/>
        </w:rPr>
        <w:t>支付了</w:t>
      </w:r>
      <w:r>
        <w:rPr>
          <w:rFonts w:hint="eastAsia" w:ascii="Times New Roman" w:hAnsi="Times New Roman" w:cs="Times New Roman"/>
          <w:highlight w:val="none"/>
          <w:lang w:val="en-US" w:eastAsia="zh-CN"/>
        </w:rPr>
        <w:t>6.69万元，</w:t>
      </w:r>
      <w:r>
        <w:rPr>
          <w:rFonts w:hint="eastAsia" w:ascii="Times New Roman" w:hAnsi="Times New Roman" w:cs="Times New Roman"/>
          <w:highlight w:val="none"/>
        </w:rPr>
        <w:t>预算执行率达到</w:t>
      </w:r>
      <w:r>
        <w:rPr>
          <w:rFonts w:hint="eastAsia" w:ascii="Times New Roman" w:hAnsi="Times New Roman" w:cs="Times New Roman"/>
          <w:highlight w:val="none"/>
          <w:lang w:val="en-US" w:eastAsia="zh-CN"/>
        </w:rPr>
        <w:t>32.29</w:t>
      </w:r>
      <w:r>
        <w:rPr>
          <w:rFonts w:hint="eastAsia" w:ascii="Times New Roman" w:hAnsi="Times New Roman" w:cs="Times New Roman"/>
          <w:highlight w:val="none"/>
        </w:rPr>
        <w:t>%，与同期其他项目相比资金使用合理性达到预期效果。</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1" w:name="_Toc67911607"/>
      <w:bookmarkStart w:id="22" w:name="_Toc100784595"/>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结合项目特点，制定符合项目实际的绩效评价指标体系及评分标准，通过数据采集、问卷调查及访谈等形式，对2022年乌鲁木齐县萨尔达坂乡中心幼儿园保障机制公用经费进行客观评价，最终评分结果为：总分为</w:t>
      </w:r>
      <w:r>
        <w:rPr>
          <w:rFonts w:hint="eastAsia" w:ascii="Times New Roman" w:hAnsi="Times New Roman" w:cs="Times New Roman"/>
          <w:szCs w:val="28"/>
          <w:highlight w:val="none"/>
          <w:lang w:val="en-US" w:eastAsia="zh-CN"/>
        </w:rPr>
        <w:t>94.6</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eastAsia="zh-CN"/>
        </w:rPr>
        <w:t>优</w:t>
      </w:r>
      <w:r>
        <w:rPr>
          <w:rFonts w:hint="default" w:ascii="Times New Roman" w:hAnsi="Times New Roman" w:cs="Times New Roman"/>
          <w:szCs w:val="28"/>
          <w:highlight w:val="none"/>
        </w:rPr>
        <w:t>”</w:t>
      </w:r>
      <w:r>
        <w:rPr>
          <w:rStyle w:val="20"/>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1.6</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32.00%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享受学前三年免费教育惠及幼儿人数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享受免费教育幼儿园覆盖率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rPr>
              <w:t>公用经费支付及时率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幼儿保教保教费</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幼儿伙食补助</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推进国语教育</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保障了幼儿园正常运转</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幼儿家长满意度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100784598"/>
            <w:bookmarkStart w:id="28" w:name="_Toc67911610"/>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94.6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94.6%</w:t>
            </w:r>
          </w:p>
        </w:tc>
      </w:tr>
    </w:tbl>
    <w:p>
      <w:pPr>
        <w:bidi w:val="0"/>
        <w:rPr>
          <w:rFonts w:hint="default"/>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60"/>
        <w:rPr>
          <w:rFonts w:hint="default"/>
          <w:highlight w:val="none"/>
        </w:rPr>
      </w:pPr>
      <w:r>
        <w:rPr>
          <w:rFonts w:hint="default" w:ascii="Times New Roman" w:hAnsi="Times New Roman" w:cs="Times New Roman"/>
          <w:szCs w:val="28"/>
          <w:highlight w:val="none"/>
        </w:rPr>
        <w:t>该项目保障了幼儿园正常运转，做到了适龄幼儿应入尽入，学前经费应保尽保，规范并优化了幼儿园办园环境，提升了办园品质，促进幼儿园向内函发展，为幼儿的健康发展营造了一个有力量的，可以互动的环境。受到幼儿家长的一致好评。</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w:t>
      </w:r>
      <w:r>
        <w:rPr>
          <w:rFonts w:hint="eastAsia" w:ascii="Times New Roman" w:hAnsi="Times New Roman" w:cs="Times New Roman"/>
          <w:szCs w:val="28"/>
          <w:highlight w:val="none"/>
          <w:lang w:eastAsia="zh-CN"/>
        </w:rPr>
        <w:t>乌鲁木齐县萨尔达坂乡中心幼儿园保障机制公用经费</w:t>
      </w:r>
      <w:r>
        <w:rPr>
          <w:rFonts w:hint="eastAsia" w:ascii="Times New Roman" w:hAnsi="Times New Roman" w:cs="Times New Roman"/>
          <w:szCs w:val="28"/>
          <w:highlight w:val="none"/>
        </w:rPr>
        <w:t>财政下拨</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截至202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年12月31日</w:t>
      </w:r>
      <w:r>
        <w:rPr>
          <w:rFonts w:hint="eastAsia" w:ascii="Times New Roman" w:hAnsi="Times New Roman" w:cs="Times New Roman"/>
          <w:szCs w:val="28"/>
          <w:highlight w:val="none"/>
          <w:lang w:eastAsia="zh-CN"/>
        </w:rPr>
        <w:t>因疫情原因</w:t>
      </w:r>
      <w:r>
        <w:rPr>
          <w:rFonts w:hint="eastAsia" w:ascii="Times New Roman" w:hAnsi="Times New Roman" w:cs="Times New Roman"/>
          <w:szCs w:val="28"/>
          <w:highlight w:val="none"/>
        </w:rPr>
        <w:t>共支出</w:t>
      </w:r>
      <w:r>
        <w:rPr>
          <w:rFonts w:hint="eastAsia" w:ascii="Times New Roman" w:hAnsi="Times New Roman" w:cs="Times New Roman"/>
          <w:szCs w:val="28"/>
          <w:highlight w:val="none"/>
          <w:lang w:val="en-US" w:eastAsia="zh-CN"/>
        </w:rPr>
        <w:t>6.69</w:t>
      </w:r>
      <w:r>
        <w:rPr>
          <w:rFonts w:hint="eastAsia" w:ascii="Times New Roman" w:hAnsi="Times New Roman" w:cs="Times New Roman"/>
          <w:szCs w:val="28"/>
          <w:highlight w:val="none"/>
        </w:rPr>
        <w:t>万元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执行率为</w:t>
      </w:r>
      <w:r>
        <w:rPr>
          <w:rFonts w:hint="eastAsia" w:ascii="Times New Roman" w:hAnsi="Times New Roman" w:cs="Times New Roman"/>
          <w:szCs w:val="28"/>
          <w:highlight w:val="none"/>
          <w:lang w:val="en-US" w:eastAsia="zh-CN"/>
        </w:rPr>
        <w:t>32.29</w:t>
      </w:r>
      <w:r>
        <w:rPr>
          <w:rFonts w:hint="eastAsia" w:ascii="Times New Roman" w:hAnsi="Times New Roman" w:cs="Times New Roman"/>
          <w:szCs w:val="28"/>
          <w:highlight w:val="none"/>
        </w:rPr>
        <w:t>%。具体开支范围：幼儿园购买符合国家食品安全卫生达标的瓜果蔬菜、米面油、肉蛋奶等伙食材料，保证二餐二点、</w:t>
      </w:r>
      <w:r>
        <w:rPr>
          <w:rFonts w:hint="eastAsia" w:ascii="Times New Roman" w:hAnsi="Times New Roman" w:cs="Times New Roman"/>
          <w:szCs w:val="28"/>
          <w:highlight w:val="none"/>
          <w:lang w:eastAsia="zh-CN"/>
        </w:rPr>
        <w:t>教师</w:t>
      </w:r>
      <w:r>
        <w:rPr>
          <w:rFonts w:hint="eastAsia" w:ascii="Times New Roman" w:hAnsi="Times New Roman" w:cs="Times New Roman"/>
          <w:szCs w:val="28"/>
          <w:highlight w:val="none"/>
        </w:rPr>
        <w:t>用书、教学挂图、教学图片、教学资料包及教学光盘、水电暖费、交通差旅费、邮电费、图书资制费、园含仪器设备的日常维护费、购买低值易耗品、教师培训等。</w:t>
      </w: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100784600"/>
      <w:bookmarkStart w:id="32" w:name="_Toc67911612"/>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kern w:val="0"/>
          <w:szCs w:val="28"/>
          <w:highlight w:val="none"/>
        </w:rPr>
        <w:t xml:space="preserve"> </w:t>
      </w:r>
      <w:r>
        <w:rPr>
          <w:rStyle w:val="19"/>
          <w:rFonts w:hint="eastAsia"/>
          <w:sz w:val="28"/>
          <w:szCs w:val="28"/>
          <w:highlight w:val="none"/>
        </w:rPr>
        <w:t>依</w:t>
      </w:r>
      <w:r>
        <w:rPr>
          <w:rFonts w:hint="eastAsia" w:ascii="仿宋_GB2312" w:hAnsi="仿宋" w:cs="宋体"/>
          <w:kern w:val="0"/>
          <w:szCs w:val="28"/>
          <w:highlight w:val="none"/>
        </w:rPr>
        <w:t>据财政局业务需要，乌鲁木齐县</w:t>
      </w:r>
      <w:r>
        <w:rPr>
          <w:rFonts w:hint="eastAsia" w:ascii="仿宋_GB2312" w:hAnsi="仿宋" w:cs="宋体"/>
          <w:kern w:val="0"/>
          <w:szCs w:val="28"/>
          <w:highlight w:val="none"/>
          <w:lang w:val="en-US" w:eastAsia="zh-CN"/>
        </w:rPr>
        <w:t>教育局</w:t>
      </w:r>
      <w:r>
        <w:rPr>
          <w:rFonts w:hint="eastAsia" w:ascii="仿宋_GB2312" w:hAnsi="仿宋" w:cs="宋体"/>
          <w:kern w:val="0"/>
          <w:szCs w:val="28"/>
          <w:highlight w:val="none"/>
        </w:rPr>
        <w:t>委托审计乌鲁木齐县萨尔达坂乡中心幼儿园保障机制经费</w:t>
      </w:r>
      <w:r>
        <w:rPr>
          <w:rFonts w:hint="default" w:ascii="Times New Roman" w:hAnsi="Times New Roman" w:cs="Times New Roman"/>
          <w:szCs w:val="28"/>
          <w:highlight w:val="none"/>
        </w:rPr>
        <w:t>保障了幼儿园正常运转，做到了适龄幼儿应入尽入，学前经费应保尽保，规范并优化了幼儿园办园环境，提升了办园品质，促进幼儿园向内函发展，为幼儿的健康发展营造了一个有力量的，可以互动的环境</w:t>
      </w:r>
      <w:r>
        <w:rPr>
          <w:rFonts w:hint="default"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bookmarkStart w:id="35" w:name="_Toc100784603"/>
    </w:p>
    <w:p>
      <w:pPr>
        <w:autoSpaceDE w:val="0"/>
        <w:spacing w:line="600" w:lineRule="exact"/>
        <w:ind w:firstLine="562"/>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3.</w:t>
      </w:r>
      <w:r>
        <w:rPr>
          <w:rFonts w:hint="default" w:ascii="Times New Roman" w:hAnsi="Times New Roman" w:eastAsia="仿宋" w:cs="Times New Roman"/>
          <w:b/>
          <w:bCs/>
          <w:sz w:val="32"/>
          <w:szCs w:val="32"/>
          <w:highlight w:val="none"/>
          <w:lang w:bidi="en-US"/>
        </w:rPr>
        <w:t>资金投入</w:t>
      </w:r>
      <w:bookmarkEnd w:id="35"/>
    </w:p>
    <w:p>
      <w:pPr>
        <w:autoSpaceDE w:val="0"/>
        <w:spacing w:line="600" w:lineRule="exact"/>
        <w:ind w:firstLine="562"/>
        <w:rPr>
          <w:rFonts w:hint="eastAsia" w:ascii="Times New Roman" w:hAnsi="Times New Roman" w:cs="Times New Roman"/>
          <w:kern w:val="0"/>
          <w:szCs w:val="28"/>
          <w:highlight w:val="none"/>
        </w:rPr>
      </w:pPr>
      <w:r>
        <w:rPr>
          <w:rFonts w:hint="default" w:ascii="Times New Roman" w:hAnsi="Times New Roman" w:cs="Times New Roman"/>
          <w:b/>
          <w:kern w:val="0"/>
          <w:szCs w:val="28"/>
          <w:highlight w:val="none"/>
        </w:rPr>
        <w:t>预算编制科学性：</w:t>
      </w:r>
      <w:r>
        <w:rPr>
          <w:rFonts w:hint="eastAsia" w:ascii="Times New Roman" w:hAnsi="Times New Roman" w:cs="Times New Roman"/>
          <w:kern w:val="0"/>
          <w:szCs w:val="28"/>
          <w:highlight w:val="none"/>
        </w:rPr>
        <w:t>该项目系202</w:t>
      </w:r>
      <w:r>
        <w:rPr>
          <w:rFonts w:hint="eastAsia" w:ascii="Times New Roman" w:hAnsi="Times New Roman" w:cs="Times New Roman"/>
          <w:kern w:val="0"/>
          <w:szCs w:val="28"/>
          <w:highlight w:val="none"/>
          <w:lang w:val="en-US" w:eastAsia="zh-CN"/>
        </w:rPr>
        <w:t>2</w:t>
      </w:r>
      <w:r>
        <w:rPr>
          <w:rFonts w:hint="eastAsia" w:ascii="Times New Roman" w:hAnsi="Times New Roman" w:cs="Times New Roman"/>
          <w:kern w:val="0"/>
          <w:szCs w:val="28"/>
          <w:highlight w:val="none"/>
        </w:rPr>
        <w:t>年财政下拨乌鲁木齐县萨尔达坂乡中心幼儿园保障机制经费</w:t>
      </w:r>
      <w:r>
        <w:rPr>
          <w:rFonts w:hint="eastAsia" w:ascii="Times New Roman" w:hAnsi="Times New Roman" w:cs="Times New Roman"/>
          <w:kern w:val="0"/>
          <w:szCs w:val="28"/>
          <w:highlight w:val="none"/>
          <w:lang w:val="en-US" w:eastAsia="zh-CN"/>
        </w:rPr>
        <w:t>20.72</w:t>
      </w:r>
      <w:r>
        <w:rPr>
          <w:rFonts w:hint="eastAsia" w:ascii="Times New Roman" w:hAnsi="Times New Roman" w:cs="Times New Roman"/>
          <w:kern w:val="0"/>
          <w:szCs w:val="28"/>
          <w:highlight w:val="none"/>
        </w:rPr>
        <w:t>万元。该项目经费保障了我辖区适龄幼儿免费接受学前三年教育，其细分为学前三年免费教育保障机制公用经费和学前三年免费教育幼儿园伙食费。全面普及农村学前三年免费教育，保障幼儿园正常运转，</w:t>
      </w:r>
      <w:r>
        <w:rPr>
          <w:rFonts w:hint="eastAsia" w:ascii="Times New Roman" w:hAnsi="Times New Roman" w:cs="Times New Roman"/>
          <w:kern w:val="0"/>
          <w:szCs w:val="28"/>
          <w:highlight w:val="none"/>
          <w:lang w:val="en-US" w:eastAsia="zh-CN"/>
        </w:rPr>
        <w:t>1.</w:t>
      </w:r>
      <w:r>
        <w:rPr>
          <w:rFonts w:hint="eastAsia" w:ascii="Times New Roman" w:hAnsi="Times New Roman" w:cs="Times New Roman"/>
          <w:kern w:val="0"/>
          <w:szCs w:val="28"/>
          <w:highlight w:val="none"/>
          <w:lang w:eastAsia="zh-CN"/>
        </w:rPr>
        <w:t>伙食费</w:t>
      </w:r>
      <w:r>
        <w:rPr>
          <w:rFonts w:hint="eastAsia" w:ascii="Times New Roman" w:hAnsi="Times New Roman" w:cs="Times New Roman"/>
          <w:kern w:val="0"/>
          <w:szCs w:val="28"/>
          <w:highlight w:val="none"/>
        </w:rPr>
        <w:t>基准定额为：</w:t>
      </w:r>
      <w:r>
        <w:rPr>
          <w:rFonts w:hint="eastAsia" w:ascii="Times New Roman" w:hAnsi="Times New Roman" w:cs="Times New Roman"/>
          <w:kern w:val="0"/>
          <w:szCs w:val="28"/>
          <w:highlight w:val="none"/>
          <w:lang w:val="en-US" w:eastAsia="zh-CN"/>
        </w:rPr>
        <w:t>220元*45人*9个月=89100元，</w:t>
      </w:r>
      <w:r>
        <w:rPr>
          <w:rFonts w:hint="eastAsia" w:ascii="Times New Roman" w:hAnsi="Times New Roman" w:cs="Times New Roman"/>
          <w:kern w:val="0"/>
          <w:szCs w:val="28"/>
          <w:highlight w:val="none"/>
        </w:rPr>
        <w:t>具体开支范围：购买符合国家食品安全卫生达标的瓜果蔬菜、米面油、肉蛋奶等伙食材料，保证二餐二点。</w:t>
      </w:r>
      <w:r>
        <w:rPr>
          <w:rFonts w:hint="eastAsia" w:ascii="Times New Roman" w:hAnsi="Times New Roman" w:cs="Times New Roman"/>
          <w:kern w:val="0"/>
          <w:szCs w:val="28"/>
          <w:highlight w:val="none"/>
          <w:lang w:val="en-US" w:eastAsia="zh-CN"/>
        </w:rPr>
        <w:t>2.</w:t>
      </w:r>
      <w:r>
        <w:rPr>
          <w:rFonts w:hint="eastAsia" w:ascii="Times New Roman" w:hAnsi="Times New Roman" w:cs="Times New Roman"/>
          <w:kern w:val="0"/>
          <w:szCs w:val="28"/>
          <w:highlight w:val="none"/>
        </w:rPr>
        <w:t>公用经费基准定额为：</w:t>
      </w:r>
      <w:r>
        <w:rPr>
          <w:rFonts w:hint="eastAsia" w:ascii="Times New Roman" w:hAnsi="Times New Roman" w:cs="Times New Roman"/>
          <w:kern w:val="0"/>
          <w:szCs w:val="28"/>
          <w:highlight w:val="none"/>
          <w:lang w:val="en-US" w:eastAsia="zh-CN"/>
        </w:rPr>
        <w:t>2624元*45人=118080元，</w:t>
      </w:r>
      <w:r>
        <w:rPr>
          <w:rFonts w:hint="eastAsia" w:ascii="Times New Roman" w:hAnsi="Times New Roman" w:cs="Times New Roman"/>
          <w:kern w:val="0"/>
          <w:szCs w:val="28"/>
          <w:highlight w:val="none"/>
          <w:lang w:eastAsia="zh-CN"/>
        </w:rPr>
        <w:t>公用经费</w:t>
      </w:r>
      <w:r>
        <w:rPr>
          <w:rFonts w:hint="eastAsia" w:ascii="Times New Roman" w:hAnsi="Times New Roman" w:cs="Times New Roman"/>
          <w:kern w:val="0"/>
          <w:szCs w:val="28"/>
          <w:highlight w:val="none"/>
        </w:rPr>
        <w:t>开支范围：幼儿读本款师用书、教学挂图、教学图片、教学资料包及教学光盘、水电暖费、交通差旅费、邮电费、图书资制费、园含仪器设备的日常维护费、购买低值易耗品、教师培训等。故预算编制科学性指标得分3分。</w:t>
      </w:r>
    </w:p>
    <w:p>
      <w:pPr>
        <w:autoSpaceDE w:val="0"/>
        <w:spacing w:line="600" w:lineRule="exact"/>
        <w:ind w:firstLine="562"/>
        <w:rPr>
          <w:rFonts w:hint="default" w:ascii="Times New Roman" w:hAnsi="Times New Roman" w:cs="Times New Roman"/>
          <w:kern w:val="0"/>
          <w:szCs w:val="28"/>
          <w:highlight w:val="none"/>
          <w:lang w:val="en-US" w:eastAsia="zh-CN"/>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kern w:val="0"/>
          <w:szCs w:val="28"/>
          <w:highlight w:val="none"/>
          <w:lang w:val="en-US" w:eastAsia="zh-CN"/>
        </w:rPr>
        <w:t>我单位项目预算资金有详细的测算依据，与单位实际相适应，2022年乌鲁木齐县萨尔达坂乡中心幼儿园保障机制经费项目申请预算资金20.72万元，财政下拨20.72万元，具体测算如下：（1）公用经费11.81</w:t>
      </w:r>
      <w:r>
        <w:rPr>
          <w:rFonts w:hint="default" w:ascii="Times New Roman" w:hAnsi="Times New Roman" w:cs="Times New Roman"/>
          <w:kern w:val="0"/>
          <w:szCs w:val="28"/>
          <w:highlight w:val="none"/>
          <w:lang w:val="en-US" w:eastAsia="zh-CN"/>
        </w:rPr>
        <w:t>万元</w:t>
      </w:r>
      <w:r>
        <w:rPr>
          <w:rFonts w:hint="eastAsia" w:ascii="Times New Roman" w:hAnsi="Times New Roman" w:cs="Times New Roman"/>
          <w:kern w:val="0"/>
          <w:szCs w:val="28"/>
          <w:highlight w:val="none"/>
          <w:lang w:val="en-US" w:eastAsia="zh-CN"/>
        </w:rPr>
        <w:t>（差旅费2万元，办公费3万元，刊物、成果出版、印刷费0.5万元，培训费1.5万元，电费1.5万元福利费0.3万元，修缮费0.5万元，其他费用2.08万元）（2）伙食费89100元专款专用，用于幼儿学生，瓜果蔬菜、米面油、肉蛋奶等伙食材料。预计上半年支出44500元，下半年支出44550元</w:t>
      </w:r>
      <w:r>
        <w:rPr>
          <w:rFonts w:hint="default" w:ascii="Times New Roman" w:hAnsi="Times New Roman" w:cs="Times New Roman"/>
          <w:kern w:val="0"/>
          <w:szCs w:val="28"/>
          <w:highlight w:val="none"/>
          <w:lang w:val="en-US" w:eastAsia="zh-CN"/>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67911613"/>
      <w:bookmarkStart w:id="37" w:name="_Toc100784604"/>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14.6</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eastAsia" w:ascii="Times New Roman" w:hAnsi="Times New Roman" w:cs="Times New Roman"/>
          <w:szCs w:val="28"/>
          <w:highlight w:val="none"/>
        </w:rPr>
        <w:t>20</w:t>
      </w:r>
      <w:r>
        <w:rPr>
          <w:rFonts w:hint="default" w:ascii="Times New Roman" w:hAnsi="Times New Roman" w:cs="Times New Roman"/>
          <w:szCs w:val="28"/>
          <w:highlight w:val="none"/>
        </w:rPr>
        <w:t>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年乌鲁木齐县萨尔达坂乡中心幼儿园保障机制经费项目申请预算资金</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万元，财政下拨</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w:t>
      </w:r>
      <w:r>
        <w:rPr>
          <w:rFonts w:hint="eastAsia" w:ascii="Times New Roman" w:hAnsi="Times New Roman" w:cs="Times New Roman"/>
          <w:szCs w:val="28"/>
          <w:highlight w:val="none"/>
          <w:lang w:val="en-US" w:eastAsia="zh-CN"/>
        </w:rPr>
        <w:t>2022年1月1日到位，</w:t>
      </w:r>
      <w:r>
        <w:rPr>
          <w:rFonts w:hint="eastAsia" w:ascii="Times New Roman" w:hAnsi="Times New Roman" w:cs="Times New Roman"/>
          <w:szCs w:val="28"/>
          <w:highlight w:val="none"/>
        </w:rPr>
        <w:t>资金到位率100%</w:t>
      </w:r>
      <w:r>
        <w:rPr>
          <w:rFonts w:hint="default" w:ascii="Times New Roman" w:hAnsi="Times New Roman" w:cs="Times New Roman"/>
          <w:szCs w:val="28"/>
          <w:highlight w:val="none"/>
        </w:rPr>
        <w:t>。故资金到位率指标得分</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eastAsia" w:ascii="Times New Roman" w:hAnsi="Times New Roman" w:cs="Times New Roman"/>
          <w:szCs w:val="28"/>
          <w:highlight w:val="none"/>
          <w:lang w:eastAsia="zh-CN"/>
        </w:rPr>
      </w:pPr>
      <w:r>
        <w:rPr>
          <w:rFonts w:hint="default" w:ascii="Times New Roman" w:hAnsi="Times New Roman" w:cs="Times New Roman"/>
          <w:b/>
          <w:bCs/>
          <w:szCs w:val="28"/>
          <w:highlight w:val="none"/>
        </w:rPr>
        <w:t>预算执行率：</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年乌鲁木齐县萨尔达坂乡中心幼儿园保障机制经费申请预算资金</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万元，财政下拨</w:t>
      </w:r>
      <w:r>
        <w:rPr>
          <w:rFonts w:hint="eastAsia" w:ascii="Times New Roman" w:hAnsi="Times New Roman" w:cs="Times New Roman"/>
          <w:szCs w:val="28"/>
          <w:highlight w:val="none"/>
          <w:lang w:val="en-US" w:eastAsia="zh-CN"/>
        </w:rPr>
        <w:t>20.72</w:t>
      </w:r>
      <w:r>
        <w:rPr>
          <w:rFonts w:hint="eastAsia" w:ascii="Times New Roman" w:hAnsi="Times New Roman" w:cs="Times New Roman"/>
          <w:szCs w:val="28"/>
          <w:highlight w:val="none"/>
        </w:rPr>
        <w:t>万元，资金到位率100%。截止2020年12月31日共支出</w:t>
      </w:r>
      <w:r>
        <w:rPr>
          <w:rFonts w:hint="eastAsia" w:ascii="Times New Roman" w:hAnsi="Times New Roman" w:cs="Times New Roman"/>
          <w:szCs w:val="28"/>
          <w:highlight w:val="none"/>
          <w:lang w:val="en-US" w:eastAsia="zh-CN"/>
        </w:rPr>
        <w:t>6.69</w:t>
      </w:r>
      <w:r>
        <w:rPr>
          <w:rFonts w:hint="eastAsia" w:ascii="Times New Roman" w:hAnsi="Times New Roman" w:cs="Times New Roman"/>
          <w:szCs w:val="28"/>
          <w:highlight w:val="none"/>
        </w:rPr>
        <w:t>万元，</w:t>
      </w:r>
      <w:r>
        <w:rPr>
          <w:rFonts w:hint="eastAsia" w:ascii="Times New Roman" w:hAnsi="Times New Roman" w:cs="Times New Roman"/>
          <w:szCs w:val="28"/>
          <w:highlight w:val="none"/>
          <w:lang w:eastAsia="zh-CN"/>
        </w:rPr>
        <w:t>支出明细如下：</w:t>
      </w:r>
    </w:p>
    <w:p>
      <w:pPr>
        <w:spacing w:line="360" w:lineRule="auto"/>
        <w:ind w:firstLine="562"/>
        <w:rPr>
          <w:rFonts w:hint="eastAsia" w:ascii="Times New Roman" w:hAnsi="Times New Roman" w:cs="Times New Roman"/>
          <w:szCs w:val="28"/>
          <w:highlight w:val="none"/>
          <w:lang w:eastAsia="zh-CN"/>
        </w:rPr>
      </w:pPr>
      <w:r>
        <w:rPr>
          <w:rFonts w:hint="eastAsia" w:ascii="Times New Roman" w:hAnsi="Times New Roman" w:cs="Times New Roman"/>
          <w:b/>
          <w:bCs/>
          <w:szCs w:val="28"/>
          <w:highlight w:val="none"/>
          <w:lang w:eastAsia="zh-CN"/>
        </w:rPr>
        <w:t>培训费</w:t>
      </w:r>
      <w:r>
        <w:rPr>
          <w:rFonts w:hint="eastAsia" w:ascii="Times New Roman" w:hAnsi="Times New Roman" w:cs="Times New Roman"/>
          <w:b/>
          <w:bCs/>
          <w:szCs w:val="28"/>
          <w:highlight w:val="none"/>
          <w:lang w:val="en-US" w:eastAsia="zh-CN"/>
        </w:rPr>
        <w:t>2639元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1.</w:t>
      </w:r>
      <w:r>
        <w:rPr>
          <w:rFonts w:hint="eastAsia" w:ascii="Times New Roman" w:hAnsi="Times New Roman" w:cs="Times New Roman"/>
          <w:szCs w:val="28"/>
          <w:highlight w:val="none"/>
          <w:lang w:eastAsia="zh-CN"/>
        </w:rPr>
        <w:t>保健医培训</w:t>
      </w:r>
      <w:r>
        <w:rPr>
          <w:rFonts w:hint="eastAsia" w:ascii="Times New Roman" w:hAnsi="Times New Roman" w:cs="Times New Roman"/>
          <w:szCs w:val="28"/>
          <w:highlight w:val="none"/>
          <w:lang w:val="en-US" w:eastAsia="zh-CN"/>
        </w:rPr>
        <w:t>839元，2022年3月11日支付给乌鲁木齐营养师协会，2.园长培训1800元，2022年6月17日支付给新疆师范高等专科学校</w:t>
      </w:r>
      <w:r>
        <w:rPr>
          <w:rFonts w:hint="eastAsia" w:ascii="Times New Roman" w:hAnsi="Times New Roman" w:cs="Times New Roman"/>
          <w:szCs w:val="28"/>
          <w:highlight w:val="none"/>
          <w:lang w:eastAsia="zh-CN"/>
        </w:rPr>
        <w:t>）。</w:t>
      </w:r>
    </w:p>
    <w:p>
      <w:pPr>
        <w:spacing w:line="360" w:lineRule="auto"/>
        <w:ind w:firstLine="562"/>
        <w:rPr>
          <w:rFonts w:hint="eastAsia" w:ascii="Times New Roman" w:hAnsi="Times New Roman" w:cs="Times New Roman"/>
          <w:szCs w:val="28"/>
          <w:highlight w:val="none"/>
          <w:lang w:eastAsia="zh-CN"/>
        </w:rPr>
      </w:pPr>
      <w:r>
        <w:rPr>
          <w:rFonts w:hint="eastAsia" w:ascii="Times New Roman" w:hAnsi="Times New Roman" w:cs="Times New Roman"/>
          <w:b/>
          <w:bCs/>
          <w:szCs w:val="28"/>
          <w:highlight w:val="none"/>
          <w:lang w:eastAsia="zh-CN"/>
        </w:rPr>
        <w:t>电费</w:t>
      </w:r>
      <w:r>
        <w:rPr>
          <w:rFonts w:hint="eastAsia" w:ascii="Times New Roman" w:hAnsi="Times New Roman" w:cs="Times New Roman"/>
          <w:b/>
          <w:bCs/>
          <w:szCs w:val="28"/>
          <w:highlight w:val="none"/>
          <w:lang w:val="en-US" w:eastAsia="zh-CN"/>
        </w:rPr>
        <w:t>8116.68元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2022年3月14日电费3016.26元，4月18日电费1912.17元，5月17日电费1780.74元，6月10日电费1407.51元支付给国网新疆电力有限公司</w:t>
      </w:r>
      <w:r>
        <w:rPr>
          <w:rFonts w:hint="eastAsia" w:ascii="Times New Roman" w:hAnsi="Times New Roman" w:cs="Times New Roman"/>
          <w:szCs w:val="28"/>
          <w:highlight w:val="none"/>
          <w:lang w:eastAsia="zh-CN"/>
        </w:rPr>
        <w:t>）。</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b/>
          <w:bCs/>
          <w:szCs w:val="28"/>
          <w:highlight w:val="none"/>
          <w:lang w:eastAsia="zh-CN"/>
        </w:rPr>
        <w:t>邮电费</w:t>
      </w:r>
      <w:r>
        <w:rPr>
          <w:rFonts w:hint="eastAsia" w:ascii="Times New Roman" w:hAnsi="Times New Roman" w:cs="Times New Roman"/>
          <w:b/>
          <w:bCs/>
          <w:szCs w:val="28"/>
          <w:highlight w:val="none"/>
          <w:lang w:val="en-US" w:eastAsia="zh-CN"/>
        </w:rPr>
        <w:t>5992元</w:t>
      </w:r>
      <w:r>
        <w:rPr>
          <w:rFonts w:hint="eastAsia" w:ascii="Times New Roman" w:hAnsi="Times New Roman" w:cs="Times New Roman"/>
          <w:szCs w:val="28"/>
          <w:highlight w:val="none"/>
          <w:lang w:val="en-US" w:eastAsia="zh-CN"/>
        </w:rPr>
        <w:t>（1.移动转网线网费4200元2022年3月11日支付给中国移动通信集团新疆有限公司乌鲁木齐市分公司，2.党风廉政建设报刊费1792元2022年12元16日支付给中国方正出版社有限公司）。</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b/>
          <w:bCs/>
          <w:szCs w:val="28"/>
          <w:highlight w:val="none"/>
          <w:lang w:val="en-US" w:eastAsia="zh-CN"/>
        </w:rPr>
        <w:t>学生伙食费50165.86元</w:t>
      </w:r>
      <w:r>
        <w:rPr>
          <w:rFonts w:hint="eastAsia" w:ascii="Times New Roman" w:hAnsi="Times New Roman" w:cs="Times New Roman"/>
          <w:szCs w:val="28"/>
          <w:highlight w:val="none"/>
          <w:lang w:val="en-US" w:eastAsia="zh-CN"/>
        </w:rPr>
        <w:t>（1.蔬菜和粮油款19584.34元2022年6月13日支付给乌鲁木齐县长青永丰渠蔬菜产销专业合作社，2.蔬菜和粮油款18893.02元2022年7月28日支付给乌鲁木齐县长青永丰渠蔬菜产销专业合作社,3.蔬菜和粮油款11688.50元2022年12月22日支付给乌鲁木齐县长青永丰渠蔬菜产销专业合作社）。</w:t>
      </w:r>
    </w:p>
    <w:p>
      <w:pPr>
        <w:spacing w:line="360" w:lineRule="auto"/>
        <w:ind w:firstLine="562"/>
        <w:rPr>
          <w:rFonts w:hint="default" w:ascii="Times New Roman" w:hAnsi="Times New Roman" w:cs="Times New Roman"/>
          <w:b/>
          <w:bCs/>
          <w:szCs w:val="28"/>
          <w:highlight w:val="none"/>
        </w:rPr>
      </w:pPr>
      <w:r>
        <w:rPr>
          <w:rFonts w:hint="eastAsia" w:ascii="Times New Roman" w:hAnsi="Times New Roman" w:cs="Times New Roman"/>
          <w:szCs w:val="28"/>
          <w:highlight w:val="none"/>
        </w:rPr>
        <w:t>预算执行率为</w:t>
      </w:r>
      <w:r>
        <w:rPr>
          <w:rFonts w:hint="eastAsia" w:ascii="Times New Roman" w:hAnsi="Times New Roman" w:cs="Times New Roman"/>
          <w:szCs w:val="28"/>
          <w:highlight w:val="none"/>
          <w:lang w:val="en-US" w:eastAsia="zh-CN"/>
        </w:rPr>
        <w:t>32.29</w:t>
      </w:r>
      <w:r>
        <w:rPr>
          <w:rFonts w:hint="eastAsia" w:ascii="Times New Roman" w:hAnsi="Times New Roman" w:cs="Times New Roman"/>
          <w:szCs w:val="28"/>
          <w:highlight w:val="none"/>
        </w:rPr>
        <w:t>%</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1.6</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9.6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eastAsia" w:ascii="Times New Roman" w:hAnsi="Times New Roman" w:eastAsia="仿宋_GB2312" w:cs="Times New Roman"/>
          <w:szCs w:val="28"/>
          <w:highlight w:val="none"/>
          <w:lang w:eastAsia="zh-CN"/>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乌鲁木齐县第二中学</w:t>
      </w:r>
      <w:r>
        <w:rPr>
          <w:rFonts w:hint="default" w:ascii="Times New Roman" w:hAnsi="Times New Roman" w:cs="Times New Roman"/>
          <w:szCs w:val="28"/>
          <w:highlight w:val="none"/>
        </w:rPr>
        <w:t>已制定相应的财务和业务管理制度，且制度合法、合规、完整，为项目顺利实施提供重要保障。</w:t>
      </w:r>
      <w:r>
        <w:rPr>
          <w:rFonts w:hint="eastAsia" w:ascii="Times New Roman" w:hAnsi="Times New Roman" w:cs="Times New Roman"/>
          <w:szCs w:val="28"/>
          <w:highlight w:val="none"/>
        </w:rPr>
        <w:t>各项财务和业务管理制度随着业务和经济发展需要不断的完善和优化。</w:t>
      </w:r>
      <w:r>
        <w:rPr>
          <w:rFonts w:ascii="Times New Roman" w:hAnsi="Times New Roman" w:cs="Times New Roman"/>
          <w:szCs w:val="28"/>
          <w:highlight w:val="none"/>
        </w:rPr>
        <w:t>故管理制度健全性得分为</w:t>
      </w:r>
      <w:r>
        <w:rPr>
          <w:rFonts w:hint="eastAsia" w:ascii="Times New Roman" w:hAnsi="Times New Roman" w:cs="Times New Roman"/>
          <w:szCs w:val="28"/>
          <w:highlight w:val="none"/>
          <w:lang w:val="en-US" w:eastAsia="zh-CN"/>
        </w:rPr>
        <w:t>2</w:t>
      </w:r>
      <w:r>
        <w:rPr>
          <w:rFonts w:ascii="Times New Roman" w:hAnsi="Times New Roman" w:cs="Times New Roman"/>
          <w:szCs w:val="28"/>
          <w:highlight w:val="none"/>
        </w:rPr>
        <w:t>分</w:t>
      </w:r>
      <w:r>
        <w:rPr>
          <w:rFonts w:hint="eastAsia" w:ascii="Times New Roman" w:hAnsi="Times New Roman" w:cs="Times New Roman"/>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eastAsia="zh-CN"/>
        </w:rPr>
        <w:t>乌鲁木齐县第二中学</w:t>
      </w:r>
      <w:r>
        <w:rPr>
          <w:rFonts w:hint="default" w:ascii="Times New Roman" w:hAnsi="Times New Roman" w:cs="Times New Roman"/>
          <w:szCs w:val="28"/>
          <w:highlight w:val="none"/>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highlight w:val="none"/>
          <w:lang w:val="en-US" w:eastAsia="zh-CN"/>
        </w:rPr>
        <w:t>情况有待提高</w:t>
      </w:r>
      <w:r>
        <w:rPr>
          <w:rFonts w:hint="default" w:ascii="Times New Roman" w:hAnsi="Times New Roman" w:cs="Times New Roman"/>
          <w:szCs w:val="28"/>
          <w:highlight w:val="none"/>
        </w:rPr>
        <w:t>。故制度执行有效性指标得分</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100784607"/>
      <w:bookmarkStart w:id="42" w:name="_Toc67911614"/>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个三级指标构成，权重为</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数量指标“享受学前三年免费教育惠及幼儿人数”的目标值是</w:t>
      </w:r>
      <w:r>
        <w:rPr>
          <w:rFonts w:hint="eastAsia" w:ascii="Times New Roman" w:hAnsi="Times New Roman" w:cs="Times New Roman"/>
          <w:bCs/>
          <w:szCs w:val="28"/>
          <w:highlight w:val="none"/>
          <w:lang w:val="en-US" w:eastAsia="zh-CN"/>
        </w:rPr>
        <w:t>45</w:t>
      </w:r>
      <w:r>
        <w:rPr>
          <w:rFonts w:hint="default"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lang w:val="en-US" w:eastAsia="zh-CN"/>
        </w:rPr>
        <w:t>45</w:t>
      </w:r>
      <w:r>
        <w:rPr>
          <w:rFonts w:hint="default" w:ascii="Times New Roman" w:hAnsi="Times New Roman" w:cs="Times New Roman"/>
          <w:bCs/>
          <w:szCs w:val="28"/>
          <w:highlight w:val="none"/>
        </w:rPr>
        <w:t>个</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szCs w:val="28"/>
          <w:highlight w:val="none"/>
        </w:rPr>
        <w:t>本项目</w:t>
      </w:r>
      <w:r>
        <w:rPr>
          <w:rFonts w:hint="eastAsia" w:ascii="Times New Roman" w:hAnsi="Times New Roman" w:cs="Times New Roman"/>
          <w:szCs w:val="28"/>
          <w:highlight w:val="none"/>
          <w:lang w:eastAsia="zh-CN"/>
        </w:rPr>
        <w:t>已</w:t>
      </w:r>
      <w:r>
        <w:rPr>
          <w:rFonts w:hint="eastAsia" w:ascii="Times New Roman" w:hAnsi="Times New Roman" w:cs="Times New Roman"/>
          <w:szCs w:val="28"/>
          <w:highlight w:val="none"/>
        </w:rPr>
        <w:t>完成</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实际完成率</w:t>
      </w:r>
      <w:r>
        <w:rPr>
          <w:rFonts w:hint="eastAsia" w:ascii="Times New Roman" w:hAnsi="Times New Roman" w:cs="Times New Roman"/>
          <w:szCs w:val="28"/>
          <w:highlight w:val="none"/>
          <w:lang w:val="en-US" w:eastAsia="zh-CN"/>
        </w:rPr>
        <w:t>100</w:t>
      </w:r>
      <w:r>
        <w:rPr>
          <w:rFonts w:hint="eastAsia" w:ascii="Times New Roman" w:hAnsi="Times New Roman" w:cs="Times New Roman"/>
          <w:szCs w:val="28"/>
          <w:highlight w:val="none"/>
        </w:rPr>
        <w:t>%</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质量指标“</w:t>
      </w:r>
      <w:r>
        <w:rPr>
          <w:rFonts w:hint="default" w:ascii="Times New Roman" w:hAnsi="Times New Roman" w:cs="Times New Roman"/>
          <w:szCs w:val="28"/>
          <w:highlight w:val="none"/>
        </w:rPr>
        <w:t>享受免费教育幼儿园覆盖率</w:t>
      </w:r>
      <w:r>
        <w:rPr>
          <w:rFonts w:hint="eastAsia" w:ascii="Times New Roman" w:hAnsi="Times New Roman" w:cs="Times New Roman"/>
          <w:szCs w:val="28"/>
          <w:highlight w:val="none"/>
          <w:lang w:val="en-US" w:eastAsia="zh-CN"/>
        </w:rPr>
        <w:t>”</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val="en-US" w:eastAsia="zh-CN"/>
        </w:rPr>
        <w:t>100%，</w:t>
      </w:r>
      <w:r>
        <w:rPr>
          <w:rFonts w:hint="default" w:ascii="Times New Roman" w:hAnsi="Times New Roman" w:cs="Times New Roman"/>
          <w:bCs/>
          <w:szCs w:val="28"/>
          <w:highlight w:val="none"/>
        </w:rPr>
        <w:t>2022年度我单位实际完成</w:t>
      </w:r>
      <w:r>
        <w:rPr>
          <w:rFonts w:hint="eastAsia" w:ascii="Times New Roman" w:hAnsi="Times New Roman" w:cs="Times New Roman"/>
          <w:bCs/>
          <w:szCs w:val="28"/>
          <w:highlight w:val="none"/>
          <w:lang w:val="en-US" w:eastAsia="zh-CN"/>
        </w:rPr>
        <w:t>100%，</w:t>
      </w:r>
      <w:r>
        <w:rPr>
          <w:rFonts w:hint="default" w:ascii="Times New Roman" w:hAnsi="Times New Roman" w:cs="Times New Roman"/>
          <w:szCs w:val="28"/>
          <w:highlight w:val="none"/>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完成及时性：</w:t>
      </w:r>
      <w:r>
        <w:rPr>
          <w:rFonts w:hint="eastAsia" w:ascii="仿宋_GB2312"/>
          <w:szCs w:val="28"/>
          <w:highlight w:val="none"/>
        </w:rPr>
        <w:t>项</w:t>
      </w:r>
      <w:r>
        <w:rPr>
          <w:rFonts w:hint="eastAsia" w:ascii="Times New Roman" w:hAnsi="Times New Roman" w:cs="Times New Roman"/>
          <w:szCs w:val="28"/>
          <w:highlight w:val="none"/>
        </w:rPr>
        <w:t>目按照合同约定，已在规定的时间（2</w:t>
      </w:r>
      <w:r>
        <w:rPr>
          <w:rFonts w:hint="default" w:ascii="Times New Roman" w:hAnsi="Times New Roman" w:cs="Times New Roman"/>
          <w:szCs w:val="28"/>
          <w:highlight w:val="none"/>
        </w:rPr>
        <w:t>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年1月1日至2</w:t>
      </w:r>
      <w:r>
        <w:rPr>
          <w:rFonts w:hint="default" w:ascii="Times New Roman" w:hAnsi="Times New Roman" w:cs="Times New Roman"/>
          <w:szCs w:val="28"/>
          <w:highlight w:val="none"/>
        </w:rPr>
        <w:t>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年1</w:t>
      </w:r>
      <w:r>
        <w:rPr>
          <w:rFonts w:hint="default" w:ascii="Times New Roman" w:hAnsi="Times New Roman" w:cs="Times New Roman"/>
          <w:szCs w:val="28"/>
          <w:highlight w:val="none"/>
        </w:rPr>
        <w:t>2</w:t>
      </w:r>
      <w:r>
        <w:rPr>
          <w:rFonts w:hint="eastAsia" w:ascii="Times New Roman" w:hAnsi="Times New Roman" w:cs="Times New Roman"/>
          <w:szCs w:val="28"/>
          <w:highlight w:val="none"/>
        </w:rPr>
        <w:t>月3</w:t>
      </w:r>
      <w:r>
        <w:rPr>
          <w:rFonts w:hint="default" w:ascii="Times New Roman" w:hAnsi="Times New Roman" w:cs="Times New Roman"/>
          <w:szCs w:val="28"/>
          <w:highlight w:val="none"/>
        </w:rPr>
        <w:t>1</w:t>
      </w:r>
      <w:r>
        <w:rPr>
          <w:rFonts w:hint="eastAsia" w:ascii="Times New Roman" w:hAnsi="Times New Roman" w:cs="Times New Roman"/>
          <w:szCs w:val="28"/>
          <w:highlight w:val="none"/>
        </w:rPr>
        <w:t>日）</w:t>
      </w:r>
      <w:r>
        <w:rPr>
          <w:rFonts w:hint="eastAsia" w:ascii="Times New Roman" w:hAnsi="Times New Roman" w:cs="Times New Roman"/>
          <w:szCs w:val="28"/>
          <w:highlight w:val="none"/>
          <w:lang w:val="en-US" w:eastAsia="zh-CN"/>
        </w:rPr>
        <w:t>完成，</w:t>
      </w:r>
      <w:r>
        <w:rPr>
          <w:rFonts w:hint="eastAsia" w:ascii="Times New Roman" w:hAnsi="Times New Roman" w:cs="Times New Roman"/>
          <w:szCs w:val="28"/>
          <w:highlight w:val="none"/>
          <w:lang w:eastAsia="zh-CN"/>
        </w:rPr>
        <w:t>因疫情原因该项目</w:t>
      </w:r>
      <w:r>
        <w:rPr>
          <w:rFonts w:hint="eastAsia" w:ascii="Times New Roman" w:hAnsi="Times New Roman" w:cs="Times New Roman"/>
          <w:szCs w:val="28"/>
          <w:highlight w:val="none"/>
          <w:lang w:val="en-US" w:eastAsia="zh-CN"/>
        </w:rPr>
        <w:t>支付资金较少</w:t>
      </w:r>
      <w:r>
        <w:rPr>
          <w:rFonts w:hint="eastAsia" w:ascii="Times New Roman" w:hAnsi="Times New Roman" w:cs="Times New Roman"/>
          <w:szCs w:val="28"/>
          <w:highlight w:val="none"/>
        </w:rPr>
        <w:t>，</w:t>
      </w:r>
      <w:r>
        <w:rPr>
          <w:rFonts w:hint="eastAsia" w:ascii="Times New Roman" w:hAnsi="Times New Roman" w:cs="Times New Roman"/>
          <w:szCs w:val="28"/>
          <w:highlight w:val="none"/>
          <w:lang w:val="en-US" w:eastAsia="zh-CN"/>
        </w:rPr>
        <w:t>但在正常开学期间，项目资金完全按照预算计划执行，</w:t>
      </w: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b/>
          <w:bCs/>
          <w:szCs w:val="28"/>
          <w:highlight w:val="none"/>
        </w:rPr>
        <w:t>成本节约率：</w:t>
      </w:r>
      <w:r>
        <w:rPr>
          <w:rFonts w:hint="eastAsia" w:ascii="Times New Roman" w:hAnsi="Times New Roman" w:cs="Times New Roman"/>
          <w:szCs w:val="28"/>
          <w:highlight w:val="none"/>
          <w:lang w:val="en-US" w:eastAsia="zh-CN"/>
        </w:rPr>
        <w:t>我校严格控制教育经费支出，大兴勤俭节约之风，充分发挥教育经费的使用效益促进学校持续发展。2022年乌鲁木齐县萨尔达坂乡中心幼儿园保障机制经费20.72万元，资金到位及时。截止2022年12月31日，因疫情原因共支出6.69万元，预算执行率为32.29%。</w:t>
      </w:r>
    </w:p>
    <w:p>
      <w:pPr>
        <w:spacing w:line="360" w:lineRule="auto"/>
        <w:ind w:firstLine="562"/>
        <w:rPr>
          <w:rFonts w:hint="eastAsia" w:ascii="Times New Roman" w:hAnsi="Times New Roman" w:cs="Times New Roman"/>
          <w:bCs/>
          <w:szCs w:val="28"/>
          <w:highlight w:val="none"/>
          <w:lang w:eastAsia="zh-CN"/>
        </w:rPr>
      </w:pPr>
      <w:r>
        <w:rPr>
          <w:rFonts w:hint="eastAsia" w:ascii="Times New Roman" w:hAnsi="Times New Roman" w:cs="Times New Roman"/>
          <w:szCs w:val="28"/>
          <w:highlight w:val="none"/>
          <w:lang w:val="en-US" w:eastAsia="zh-CN"/>
        </w:rPr>
        <w:t>成本指标“幼儿保教保教费标准”</w:t>
      </w:r>
      <w:r>
        <w:rPr>
          <w:rFonts w:hint="default" w:ascii="Times New Roman" w:hAnsi="Times New Roman" w:cs="Times New Roman"/>
          <w:bCs/>
          <w:szCs w:val="28"/>
          <w:highlight w:val="none"/>
        </w:rPr>
        <w:t>的目标值是2624</w:t>
      </w:r>
      <w:r>
        <w:rPr>
          <w:rFonts w:hint="eastAsia" w:ascii="Times New Roman" w:hAnsi="Times New Roman" w:cs="Times New Roman"/>
          <w:bCs/>
          <w:szCs w:val="28"/>
          <w:highlight w:val="none"/>
          <w:lang w:val="en-US" w:eastAsia="zh-CN"/>
        </w:rPr>
        <w:t>元</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生</w:t>
      </w:r>
      <w:r>
        <w:rPr>
          <w:rFonts w:hint="default" w:ascii="Times New Roman" w:hAnsi="Times New Roman" w:cs="Times New Roman"/>
          <w:bCs/>
          <w:szCs w:val="28"/>
          <w:highlight w:val="none"/>
        </w:rPr>
        <w:t>/年</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2022年度我单位实际</w:t>
      </w:r>
      <w:r>
        <w:rPr>
          <w:rFonts w:hint="eastAsia" w:ascii="Times New Roman" w:hAnsi="Times New Roman" w:cs="Times New Roman"/>
          <w:bCs/>
          <w:szCs w:val="28"/>
          <w:highlight w:val="none"/>
          <w:lang w:val="en-US" w:eastAsia="zh-CN"/>
        </w:rPr>
        <w:t>执行标准为</w:t>
      </w:r>
      <w:r>
        <w:rPr>
          <w:rFonts w:hint="default" w:ascii="Times New Roman" w:hAnsi="Times New Roman" w:cs="Times New Roman"/>
          <w:bCs/>
          <w:szCs w:val="28"/>
          <w:highlight w:val="none"/>
        </w:rPr>
        <w:t>2624</w:t>
      </w:r>
      <w:r>
        <w:rPr>
          <w:rFonts w:hint="eastAsia" w:ascii="Times New Roman" w:hAnsi="Times New Roman" w:cs="Times New Roman"/>
          <w:bCs/>
          <w:szCs w:val="28"/>
          <w:highlight w:val="none"/>
          <w:lang w:val="en-US" w:eastAsia="zh-CN"/>
        </w:rPr>
        <w:t>元</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生</w:t>
      </w:r>
      <w:r>
        <w:rPr>
          <w:rFonts w:hint="default" w:ascii="Times New Roman" w:hAnsi="Times New Roman" w:cs="Times New Roman"/>
          <w:bCs/>
          <w:szCs w:val="28"/>
          <w:highlight w:val="none"/>
        </w:rPr>
        <w:t>/年</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b/>
          <w:bCs/>
          <w:szCs w:val="28"/>
          <w:highlight w:val="none"/>
        </w:rPr>
      </w:pPr>
      <w:r>
        <w:rPr>
          <w:rFonts w:hint="eastAsia" w:ascii="Times New Roman" w:hAnsi="Times New Roman" w:cs="Times New Roman"/>
          <w:bCs/>
          <w:szCs w:val="28"/>
          <w:highlight w:val="none"/>
          <w:lang w:val="en-US" w:eastAsia="zh-CN"/>
        </w:rPr>
        <w:t>成本指标“幼儿伙食补助标准”的</w:t>
      </w:r>
      <w:r>
        <w:rPr>
          <w:rFonts w:hint="default" w:ascii="Times New Roman" w:hAnsi="Times New Roman" w:cs="Times New Roman"/>
          <w:bCs/>
          <w:szCs w:val="28"/>
          <w:highlight w:val="none"/>
        </w:rPr>
        <w:t>目标值是</w:t>
      </w:r>
      <w:r>
        <w:rPr>
          <w:rFonts w:hint="eastAsia" w:ascii="Times New Roman" w:hAnsi="Times New Roman" w:cs="Times New Roman"/>
          <w:bCs/>
          <w:szCs w:val="28"/>
          <w:highlight w:val="none"/>
          <w:lang w:val="en-US" w:eastAsia="zh-CN"/>
        </w:rPr>
        <w:t>220元</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生</w:t>
      </w:r>
      <w:r>
        <w:rPr>
          <w:rFonts w:hint="default" w:ascii="Times New Roman" w:hAnsi="Times New Roman" w:cs="Times New Roman"/>
          <w:bCs/>
          <w:szCs w:val="28"/>
          <w:highlight w:val="none"/>
        </w:rPr>
        <w:t>/年</w:t>
      </w:r>
      <w:r>
        <w:rPr>
          <w:rFonts w:hint="eastAsia" w:ascii="Times New Roman" w:hAnsi="Times New Roman" w:cs="Times New Roman"/>
          <w:bCs/>
          <w:szCs w:val="28"/>
          <w:highlight w:val="none"/>
          <w:lang w:eastAsia="zh-CN"/>
        </w:rPr>
        <w:t>，</w:t>
      </w:r>
      <w:r>
        <w:rPr>
          <w:rFonts w:hint="default" w:ascii="Times New Roman" w:hAnsi="Times New Roman" w:cs="Times New Roman"/>
          <w:bCs/>
          <w:szCs w:val="28"/>
          <w:highlight w:val="none"/>
        </w:rPr>
        <w:t>2022年度我单位实际</w:t>
      </w:r>
      <w:r>
        <w:rPr>
          <w:rFonts w:hint="eastAsia" w:ascii="Times New Roman" w:hAnsi="Times New Roman" w:cs="Times New Roman"/>
          <w:bCs/>
          <w:szCs w:val="28"/>
          <w:highlight w:val="none"/>
          <w:lang w:val="en-US" w:eastAsia="zh-CN"/>
        </w:rPr>
        <w:t>执行标准为220元</w:t>
      </w:r>
      <w:r>
        <w:rPr>
          <w:rFonts w:hint="default" w:ascii="Times New Roman" w:hAnsi="Times New Roman" w:cs="Times New Roman"/>
          <w:bCs/>
          <w:szCs w:val="28"/>
          <w:highlight w:val="none"/>
        </w:rPr>
        <w:t>/</w:t>
      </w:r>
      <w:r>
        <w:rPr>
          <w:rFonts w:hint="eastAsia" w:ascii="Times New Roman" w:hAnsi="Times New Roman" w:cs="Times New Roman"/>
          <w:bCs/>
          <w:szCs w:val="28"/>
          <w:highlight w:val="none"/>
          <w:lang w:val="en-US" w:eastAsia="zh-CN"/>
        </w:rPr>
        <w:t>生</w:t>
      </w:r>
      <w:r>
        <w:rPr>
          <w:rFonts w:hint="default" w:ascii="Times New Roman" w:hAnsi="Times New Roman" w:cs="Times New Roman"/>
          <w:bCs/>
          <w:szCs w:val="28"/>
          <w:highlight w:val="none"/>
        </w:rPr>
        <w:t>/年</w:t>
      </w:r>
      <w:r>
        <w:rPr>
          <w:rFonts w:hint="eastAsia" w:ascii="Times New Roman" w:hAnsi="Times New Roman" w:cs="Times New Roman"/>
          <w:bCs/>
          <w:szCs w:val="28"/>
          <w:highlight w:val="none"/>
          <w:lang w:eastAsia="zh-CN"/>
        </w:rPr>
        <w:t>，</w:t>
      </w:r>
      <w:r>
        <w:rPr>
          <w:rFonts w:hint="default"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40</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100784612"/>
      <w:bookmarkStart w:id="48" w:name="_Toc67911615"/>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 xml:space="preserve">分。 </w:t>
      </w:r>
    </w:p>
    <w:p>
      <w:pPr>
        <w:pStyle w:val="4"/>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w:t>
      </w:r>
      <w:r>
        <w:rPr>
          <w:rFonts w:hint="eastAsia" w:ascii="仿宋_GB2312"/>
          <w:szCs w:val="28"/>
          <w:highlight w:val="none"/>
        </w:rPr>
        <w:t>“推进国语教育”，指标值：“显著提高”，实际完成值：完全达到预期效果。</w:t>
      </w:r>
      <w:r>
        <w:rPr>
          <w:rFonts w:hint="default" w:ascii="Times New Roman" w:hAnsi="Times New Roman" w:cs="Times New Roman"/>
          <w:szCs w:val="28"/>
          <w:highlight w:val="none"/>
        </w:rPr>
        <w:t>本项目的实施保障了幼儿园正常运转，幼儿园创设了拥有体现先进的办学理念、丰富的教育内涵和鲜明的办园特色的幼儿园文化，为幼儿园的成长、教师专业化水平的提高和幼儿园的自主发展创设了优良的人文环境与和谐的发展氛围。</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评价指标“保障了幼儿园正常运转”，指标值：长期有效，实际完成值：完全达到预期效果。</w:t>
      </w:r>
      <w:r>
        <w:rPr>
          <w:rFonts w:hint="eastAsia" w:ascii="Times New Roman" w:hAnsi="Times New Roman" w:cs="Times New Roman"/>
          <w:szCs w:val="28"/>
          <w:highlight w:val="none"/>
        </w:rPr>
        <w:t>我校严格按照《乌鲁木齐市实施15年免费教育资金管理暂行办法》乌财教【2017】117号文件规定执行该项目资金的管理及使用，保障学前三年免费教育正常运行，资金按期拨付，确实减轻我县农牧民家庭经济负担，落实教育惠民政策，全面推进国语教育，吸引广大农牧民子女入园就读，不断扩大覆盖人群</w:t>
      </w:r>
      <w:r>
        <w:rPr>
          <w:rFonts w:hint="eastAsia" w:ascii="Times New Roman" w:hAnsi="Times New Roman" w:cs="Times New Roman"/>
          <w:szCs w:val="28"/>
          <w:highlight w:val="none"/>
          <w:lang w:val="en-US" w:eastAsia="zh-CN"/>
        </w:rPr>
        <w:t>。</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w:t>
      </w:r>
    </w:p>
    <w:p>
      <w:pPr>
        <w:pStyle w:val="4"/>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评价指标“幼儿家长满意度”，指标值：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45</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41</w:t>
      </w:r>
      <w:r>
        <w:rPr>
          <w:rFonts w:hint="default" w:ascii="Times New Roman" w:hAnsi="Times New Roman" w:cs="Times New Roman"/>
          <w:szCs w:val="28"/>
          <w:highlight w:val="none"/>
        </w:rPr>
        <w:t>份。其中，统计“幼儿家长满意度”的平均值为</w:t>
      </w:r>
      <w:r>
        <w:rPr>
          <w:rFonts w:hint="eastAsia" w:ascii="Times New Roman" w:hAnsi="Times New Roman" w:cs="Times New Roman"/>
          <w:szCs w:val="28"/>
          <w:highlight w:val="none"/>
          <w:lang w:val="en-US" w:eastAsia="zh-CN"/>
        </w:rPr>
        <w:t>90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67911616"/>
      <w:bookmarkStart w:id="52" w:name="_Toc100784615"/>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32.29</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67.71</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大</w:t>
      </w:r>
      <w:r>
        <w:rPr>
          <w:rFonts w:hint="default" w:ascii="Times New Roman" w:hAnsi="Times New Roman" w:cs="Times New Roman"/>
          <w:szCs w:val="28"/>
          <w:highlight w:val="none"/>
        </w:rPr>
        <w:t>于20%。</w:t>
      </w:r>
      <w:r>
        <w:rPr>
          <w:rFonts w:hint="eastAsia" w:ascii="Times New Roman" w:hAnsi="Times New Roman" w:cs="Times New Roman"/>
          <w:szCs w:val="28"/>
          <w:highlight w:val="none"/>
          <w:lang w:eastAsia="zh-CN"/>
        </w:rPr>
        <w:t>因疫情原因幼儿园</w:t>
      </w:r>
      <w:r>
        <w:rPr>
          <w:rFonts w:hint="eastAsia" w:ascii="Times New Roman" w:hAnsi="Times New Roman" w:cs="Times New Roman"/>
          <w:szCs w:val="28"/>
          <w:highlight w:val="none"/>
          <w:lang w:val="en-US" w:eastAsia="zh-CN"/>
        </w:rPr>
        <w:t>2022年3月1日上课，6月18日放假，2022年8月1日至12月5日疫情原因居家隔离未开课，幼儿园没有较大的支出，预算经费没有支完，有结余</w:t>
      </w:r>
      <w:r>
        <w:rPr>
          <w:rFonts w:hint="default" w:ascii="Times New Roman" w:hAnsi="Times New Roman" w:cs="Times New Roman"/>
          <w:szCs w:val="28"/>
          <w:highlight w:val="none"/>
        </w:rPr>
        <w:t>。</w:t>
      </w: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w:t>
      </w:r>
      <w:r>
        <w:rPr>
          <w:rFonts w:hint="eastAsia" w:ascii="Times New Roman" w:hAnsi="Times New Roman" w:cs="Times New Roman"/>
          <w:szCs w:val="28"/>
          <w:highlight w:val="none"/>
        </w:rPr>
        <w:t>及时做好202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积极参加财务培训，提高专业技能。</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7" w:name="_Toc100784618"/>
      <w:r>
        <w:rPr>
          <w:rFonts w:hint="default" w:ascii="Times New Roman" w:hAnsi="Times New Roman" w:eastAsia="仿宋" w:cs="Times New Roman"/>
          <w:sz w:val="32"/>
          <w:szCs w:val="32"/>
          <w:highlight w:val="none"/>
          <w:lang w:bidi="en-US"/>
        </w:rPr>
        <w:t>（二）存在的问题及原因分析</w:t>
      </w:r>
      <w:bookmarkEnd w:id="57"/>
    </w:p>
    <w:p>
      <w:pPr>
        <w:spacing w:line="360" w:lineRule="auto"/>
        <w:ind w:firstLine="560"/>
        <w:rPr>
          <w:rFonts w:hint="eastAsia" w:ascii="Times New Roman" w:hAnsi="Times New Roman" w:cs="Times New Roman"/>
          <w:szCs w:val="28"/>
          <w:highlight w:val="none"/>
        </w:rPr>
      </w:pPr>
      <w:r>
        <w:rPr>
          <w:rFonts w:hint="default" w:ascii="Times New Roman" w:hAnsi="Times New Roman" w:cs="Times New Roman"/>
          <w:szCs w:val="28"/>
          <w:highlight w:val="none"/>
        </w:rPr>
        <w:t>1.</w:t>
      </w:r>
      <w:r>
        <w:rPr>
          <w:rFonts w:hint="eastAsia" w:ascii="Times New Roman" w:hAnsi="Times New Roman" w:cs="Times New Roman"/>
          <w:szCs w:val="28"/>
          <w:highlight w:val="none"/>
        </w:rPr>
        <w:t>部门职能不明确，个别工作分工不清晰，且人员培训和绩效考核制度不够完善。</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部门资金支出进度普遍较低，对资金支出的控制力度不足。</w:t>
      </w:r>
    </w:p>
    <w:p>
      <w:pPr>
        <w:spacing w:line="360" w:lineRule="auto"/>
        <w:ind w:left="0" w:leftChars="0" w:firstLine="0" w:firstLineChars="0"/>
        <w:rPr>
          <w:rFonts w:hint="default" w:ascii="Times New Roman" w:hAnsi="Times New Roman" w:eastAsia="仿宋" w:cs="Times New Roman"/>
          <w:b/>
          <w:bCs/>
          <w:kern w:val="44"/>
          <w:sz w:val="36"/>
          <w:szCs w:val="36"/>
          <w:highlight w:val="none"/>
          <w:lang w:val="en-US" w:eastAsia="zh-CN" w:bidi="en-US"/>
        </w:rPr>
      </w:pPr>
      <w:bookmarkStart w:id="58" w:name="_Toc67911619"/>
      <w:bookmarkStart w:id="59" w:name="_Toc100784619"/>
      <w:r>
        <w:rPr>
          <w:rFonts w:hint="default" w:ascii="Times New Roman" w:hAnsi="Times New Roman" w:eastAsia="仿宋" w:cs="Times New Roman"/>
          <w:b/>
          <w:bCs/>
          <w:kern w:val="44"/>
          <w:sz w:val="36"/>
          <w:szCs w:val="36"/>
          <w:highlight w:val="none"/>
          <w:lang w:val="en-US" w:eastAsia="zh-CN"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bookmarkStart w:id="60" w:name="_Toc67911620"/>
      <w:bookmarkStart w:id="61" w:name="_Toc100784620"/>
    </w:p>
    <w:p>
      <w:pPr>
        <w:spacing w:line="360" w:lineRule="auto"/>
        <w:ind w:left="0" w:leftChars="0" w:firstLine="0" w:firstLineChars="0"/>
        <w:rPr>
          <w:rFonts w:hint="default" w:ascii="Times New Roman" w:hAnsi="Times New Roman" w:eastAsia="仿宋" w:cs="Times New Roman"/>
          <w:b/>
          <w:bCs/>
          <w:kern w:val="44"/>
          <w:sz w:val="36"/>
          <w:szCs w:val="36"/>
          <w:highlight w:val="none"/>
          <w:lang w:val="en-US" w:eastAsia="zh-CN" w:bidi="en-US"/>
        </w:rPr>
      </w:pPr>
      <w:r>
        <w:rPr>
          <w:rFonts w:hint="default" w:ascii="Times New Roman" w:hAnsi="Times New Roman" w:eastAsia="仿宋" w:cs="Times New Roman"/>
          <w:b/>
          <w:bCs/>
          <w:kern w:val="44"/>
          <w:sz w:val="36"/>
          <w:szCs w:val="36"/>
          <w:highlight w:val="none"/>
          <w:lang w:val="en-US" w:eastAsia="zh-CN" w:bidi="en-US"/>
        </w:rPr>
        <w:t>八、有关建议</w:t>
      </w:r>
      <w:bookmarkEnd w:id="60"/>
    </w:p>
    <w:p>
      <w:pPr>
        <w:spacing w:line="360" w:lineRule="auto"/>
        <w:ind w:left="0" w:leftChars="0" w:firstLine="560" w:firstLineChars="200"/>
        <w:rPr>
          <w:rFonts w:hint="default" w:ascii="Times New Roman" w:hAnsi="Times New Roman" w:eastAsia="仿宋" w:cs="Times New Roman"/>
          <w:sz w:val="36"/>
          <w:szCs w:val="36"/>
          <w:highlight w:val="none"/>
          <w:lang w:bidi="en-US"/>
        </w:rPr>
      </w:pPr>
      <w:r>
        <w:rPr>
          <w:rFonts w:hint="eastAsia" w:ascii="仿宋_GB2312"/>
          <w:bCs/>
          <w:sz w:val="28"/>
          <w:szCs w:val="28"/>
          <w:highlight w:val="none"/>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bookmarkEnd w:id="61"/>
    </w:p>
    <w:p>
      <w:pPr>
        <w:spacing w:line="360" w:lineRule="auto"/>
        <w:ind w:firstLine="560"/>
        <w:rPr>
          <w:rFonts w:hint="default" w:ascii="Times New Roman" w:hAnsi="Times New Roman" w:cs="Times New Roman"/>
          <w:szCs w:val="28"/>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BD5AE4"/>
    <w:rsid w:val="07506C6F"/>
    <w:rsid w:val="0791694D"/>
    <w:rsid w:val="07F9011D"/>
    <w:rsid w:val="08304256"/>
    <w:rsid w:val="084637B0"/>
    <w:rsid w:val="0962750D"/>
    <w:rsid w:val="0AB243AE"/>
    <w:rsid w:val="0AE0655C"/>
    <w:rsid w:val="0DFA5B87"/>
    <w:rsid w:val="0F5A68DD"/>
    <w:rsid w:val="12251FA1"/>
    <w:rsid w:val="128679E9"/>
    <w:rsid w:val="12920A8F"/>
    <w:rsid w:val="15805E07"/>
    <w:rsid w:val="159C398E"/>
    <w:rsid w:val="175E1C31"/>
    <w:rsid w:val="1A3644BF"/>
    <w:rsid w:val="1BAC5CE6"/>
    <w:rsid w:val="1D7360F8"/>
    <w:rsid w:val="207E3936"/>
    <w:rsid w:val="22E26EBD"/>
    <w:rsid w:val="26CE4BCD"/>
    <w:rsid w:val="27A51309"/>
    <w:rsid w:val="2996455E"/>
    <w:rsid w:val="2CF67E5C"/>
    <w:rsid w:val="2E0C2172"/>
    <w:rsid w:val="2F494CA4"/>
    <w:rsid w:val="33973075"/>
    <w:rsid w:val="403D52DB"/>
    <w:rsid w:val="43A77473"/>
    <w:rsid w:val="45C836E9"/>
    <w:rsid w:val="466C06B8"/>
    <w:rsid w:val="4DC74AB4"/>
    <w:rsid w:val="4E2B3540"/>
    <w:rsid w:val="4E3E6DEE"/>
    <w:rsid w:val="531719BC"/>
    <w:rsid w:val="55BF25B3"/>
    <w:rsid w:val="57247E8E"/>
    <w:rsid w:val="57991A34"/>
    <w:rsid w:val="57F13243"/>
    <w:rsid w:val="5A783688"/>
    <w:rsid w:val="5B8A4F98"/>
    <w:rsid w:val="5BBB3658"/>
    <w:rsid w:val="5CC22998"/>
    <w:rsid w:val="5E6D32F5"/>
    <w:rsid w:val="5EE329F1"/>
    <w:rsid w:val="5FA211D1"/>
    <w:rsid w:val="63497970"/>
    <w:rsid w:val="64ED07CF"/>
    <w:rsid w:val="6A5A3AE2"/>
    <w:rsid w:val="6AEE3FFA"/>
    <w:rsid w:val="6B661A29"/>
    <w:rsid w:val="6BAD7C95"/>
    <w:rsid w:val="6D5D0BE7"/>
    <w:rsid w:val="6E746CA9"/>
    <w:rsid w:val="710A5B6F"/>
    <w:rsid w:val="73680E97"/>
    <w:rsid w:val="74DB501A"/>
    <w:rsid w:val="76C22C28"/>
    <w:rsid w:val="7C1227C4"/>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25</Pages>
  <Words>10653</Words>
  <Characters>11382</Characters>
  <Lines>79</Lines>
  <Paragraphs>22</Paragraphs>
  <TotalTime>20</TotalTime>
  <ScaleCrop>false</ScaleCrop>
  <LinksUpToDate>false</LinksUpToDate>
  <CharactersWithSpaces>11514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2023-04-11T02:57:00Z</cp:lastPrinted>
  <dcterms:modified xsi:type="dcterms:W3CDTF">2023-11-23T03:42:11Z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C72CFD68021D41D8BC351CC4CC9D8637_12</vt:lpwstr>
  </property>
</Properties>
</file>