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项目名称：2022年中央基本公共卫生服务</w:t>
      </w:r>
    </w:p>
    <w:p>
      <w:pPr>
        <w:spacing w:line="480" w:lineRule="auto"/>
        <w:ind w:firstLine="3200" w:firstLineChars="1000"/>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补助资金（直达资金）</w:t>
      </w:r>
    </w:p>
    <w:p>
      <w:pPr>
        <w:spacing w:line="480" w:lineRule="auto"/>
        <w:ind w:left="280" w:leftChars="100" w:firstLine="1091" w:firstLineChars="341"/>
        <w:jc w:val="left"/>
        <w:rPr>
          <w:rFonts w:hint="eastAsia" w:ascii="Times New Roman" w:hAnsi="Times New Roman" w:cs="Times New Roman"/>
          <w:kern w:val="0"/>
          <w:sz w:val="32"/>
          <w:szCs w:val="32"/>
          <w:lang w:val="en-US"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乌鲁木齐县卫生健康委员会</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乌鲁木齐县卫生健康委员会</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19"/>
            <w:ind w:firstLine="56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zh-CN"/>
              <w14:textFill>
                <w14:solidFill>
                  <w14:schemeClr w14:val="tx1"/>
                </w14:solidFill>
              </w14:textFill>
            </w:rPr>
            <w:t>目录</w:t>
          </w:r>
        </w:p>
        <w:p>
          <w:pPr>
            <w:pStyle w:val="8"/>
            <w:tabs>
              <w:tab w:val="right" w:leader="dot" w:pos="8296"/>
            </w:tabs>
            <w:ind w:left="0" w:leftChars="0" w:firstLine="0" w:firstLineChars="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Fonts w:hint="default" w:ascii="Times New Roman" w:hAnsi="Times New Roman" w:cs="Times New Roman"/>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0" w:leftChars="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Fonts w:hint="default" w:ascii="Times New Roman" w:hAnsi="Times New Roman" w:cs="Times New Roman"/>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0" w:leftChars="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Fonts w:hint="default" w:ascii="Times New Roman" w:hAnsi="Times New Roman" w:cs="Times New Roman"/>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0" w:leftChars="0" w:firstLine="0" w:firstLineChars="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Fonts w:hint="default" w:ascii="Times New Roman" w:hAnsi="Times New Roman" w:cs="Times New Roman"/>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0" w:leftChars="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Fonts w:hint="default" w:ascii="Times New Roman" w:hAnsi="Times New Roman" w:cs="Times New Roman"/>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0" w:leftChars="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0" w:leftChars="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0" w:leftChars="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Fonts w:hint="default" w:ascii="Times New Roman" w:hAnsi="Times New Roman" w:cs="Times New Roman"/>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0" w:leftChars="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0" w:leftChars="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7"/>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7"/>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7"/>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7"/>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7"/>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7"/>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7"/>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7"/>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7"/>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7"/>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7"/>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7"/>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7"/>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7"/>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7"/>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headerReference r:id="rId5" w:type="default"/>
          <w:headerReference r:id="rId6" w:type="even"/>
          <w:footerReference r:id="rId8" w:type="even"/>
          <w:pgSz w:w="11906" w:h="16838"/>
          <w:pgMar w:top="1440" w:right="1440" w:bottom="1440" w:left="1440" w:header="851" w:footer="992" w:gutter="0"/>
          <w:cols w:space="0" w:num="1"/>
          <w:titlePg/>
          <w:rtlGutter w:val="0"/>
          <w:docGrid w:type="lines" w:linePitch="312"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00784583"/>
      <w:r>
        <w:rPr>
          <w:rFonts w:hint="default" w:ascii="Times New Roman" w:hAnsi="Times New Roman" w:eastAsia="仿宋" w:cs="Times New Roman"/>
          <w:sz w:val="36"/>
          <w:szCs w:val="36"/>
          <w:lang w:bidi="en-US"/>
        </w:rPr>
        <w:t>一、基本情况</w:t>
      </w:r>
      <w:bookmarkEnd w:id="0"/>
      <w:bookmarkEnd w:id="1"/>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67911602"/>
      <w:bookmarkStart w:id="3" w:name="_Toc100784584"/>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rPr>
        <w:t>根据乌财社</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2021</w:t>
      </w:r>
      <w:r>
        <w:rPr>
          <w:rFonts w:hint="eastAsia" w:ascii="Times New Roman" w:hAnsi="Times New Roman" w:cs="Times New Roman"/>
          <w:szCs w:val="28"/>
          <w:lang w:eastAsia="zh-CN"/>
        </w:rPr>
        <w:t>】</w:t>
      </w:r>
      <w:r>
        <w:rPr>
          <w:rFonts w:hint="default" w:ascii="Times New Roman" w:hAnsi="Times New Roman" w:cs="Times New Roman"/>
          <w:szCs w:val="28"/>
        </w:rPr>
        <w:t>363号</w:t>
      </w:r>
      <w:r>
        <w:rPr>
          <w:rFonts w:hint="eastAsia" w:ascii="Times New Roman" w:hAnsi="Times New Roman" w:cs="Times New Roman"/>
          <w:szCs w:val="28"/>
          <w:lang w:val="en-US" w:eastAsia="zh-CN"/>
        </w:rPr>
        <w:t>-提前下达2022年中央</w:t>
      </w:r>
      <w:r>
        <w:rPr>
          <w:rFonts w:hint="default" w:ascii="Times New Roman" w:hAnsi="Times New Roman" w:cs="Times New Roman"/>
          <w:szCs w:val="28"/>
        </w:rPr>
        <w:t>基本公共卫生服务补助资金</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直达资金</w:t>
      </w:r>
      <w:r>
        <w:rPr>
          <w:rFonts w:hint="eastAsia" w:ascii="Times New Roman" w:hAnsi="Times New Roman" w:cs="Times New Roman"/>
          <w:szCs w:val="28"/>
          <w:lang w:eastAsia="zh-CN"/>
        </w:rPr>
        <w:t>）</w:t>
      </w:r>
      <w:r>
        <w:rPr>
          <w:rFonts w:hint="default" w:ascii="Times New Roman" w:hAnsi="Times New Roman" w:cs="Times New Roman"/>
          <w:szCs w:val="28"/>
        </w:rPr>
        <w:t>，</w:t>
      </w:r>
      <w:r>
        <w:rPr>
          <w:rFonts w:hint="eastAsia" w:ascii="Times New Roman" w:hAnsi="Times New Roman" w:cs="Times New Roman"/>
          <w:szCs w:val="28"/>
          <w:lang w:val="en-US" w:eastAsia="zh-CN"/>
        </w:rPr>
        <w:t>中央</w:t>
      </w:r>
      <w:r>
        <w:rPr>
          <w:rFonts w:hint="default" w:ascii="Times New Roman" w:hAnsi="Times New Roman" w:cs="Times New Roman"/>
          <w:szCs w:val="28"/>
        </w:rPr>
        <w:t>基本公共卫生服务补助资金</w:t>
      </w:r>
      <w:r>
        <w:rPr>
          <w:rFonts w:hint="eastAsia" w:ascii="Times New Roman" w:hAnsi="Times New Roman" w:cs="Times New Roman"/>
          <w:szCs w:val="28"/>
          <w:lang w:val="en-US" w:eastAsia="zh-CN"/>
        </w:rPr>
        <w:t>用于开展国家基本公共卫生服务项目</w:t>
      </w:r>
      <w:r>
        <w:rPr>
          <w:rFonts w:hint="default" w:ascii="Times New Roman" w:hAnsi="Times New Roman" w:cs="Times New Roman"/>
          <w:szCs w:val="28"/>
          <w:lang w:val="en-US" w:eastAsia="zh-CN"/>
        </w:rPr>
        <w:t>。中央基本公共卫生服务补助资金分两批补助，本批次补助资金328.2万元为第一批补助资金。承担全县医疗机构、医疗服务行业管理责任，建立医疗服务评价和监督管理体系；会同有关部门实施卫生健康专业技术人员准入、资格标准；制定并组织实施医疗服务规范、标准和卫生健康专业技术人员执业规则、服务规范。指导基层医疗卫生队伍建设，推进卫生健康科技创新发展。</w:t>
      </w:r>
    </w:p>
    <w:p>
      <w:pPr>
        <w:spacing w:line="360" w:lineRule="auto"/>
        <w:ind w:firstLine="560"/>
        <w:rPr>
          <w:rFonts w:hint="default" w:ascii="Times New Roman" w:hAnsi="Times New Roman" w:cs="Times New Roman"/>
        </w:rPr>
      </w:pPr>
      <w:r>
        <w:rPr>
          <w:rFonts w:hint="default" w:ascii="Times New Roman" w:hAnsi="Times New Roman" w:cs="Times New Roman"/>
        </w:rPr>
        <w:t>经</w:t>
      </w:r>
      <w:r>
        <w:rPr>
          <w:rFonts w:hint="eastAsia" w:ascii="Times New Roman" w:hAnsi="Times New Roman" w:cs="Times New Roman"/>
          <w:lang w:eastAsia="zh-CN"/>
        </w:rPr>
        <w:t>【</w:t>
      </w:r>
      <w:r>
        <w:rPr>
          <w:rFonts w:hint="eastAsia" w:ascii="Times New Roman" w:hAnsi="Times New Roman" w:cs="Times New Roman"/>
          <w:lang w:val="en-US" w:eastAsia="zh-CN"/>
        </w:rPr>
        <w:t>2021</w:t>
      </w:r>
      <w:r>
        <w:rPr>
          <w:rFonts w:hint="eastAsia" w:ascii="Times New Roman" w:hAnsi="Times New Roman" w:cs="Times New Roman"/>
          <w:lang w:eastAsia="zh-CN"/>
        </w:rPr>
        <w:t>】</w:t>
      </w:r>
      <w:r>
        <w:rPr>
          <w:rFonts w:hint="eastAsia" w:ascii="Times New Roman" w:hAnsi="Times New Roman" w:cs="Times New Roman"/>
          <w:lang w:val="en-US" w:eastAsia="zh-CN"/>
        </w:rPr>
        <w:t>363</w:t>
      </w:r>
      <w:r>
        <w:rPr>
          <w:rFonts w:hint="default" w:ascii="Times New Roman" w:hAnsi="Times New Roman" w:cs="Times New Roman"/>
        </w:rPr>
        <w:t>号文件批准，项目系2022年中央资金，共安排预算</w:t>
      </w:r>
      <w:r>
        <w:rPr>
          <w:rFonts w:hint="eastAsia" w:ascii="Times New Roman" w:hAnsi="Times New Roman" w:cs="Times New Roman"/>
          <w:lang w:val="en-US" w:eastAsia="zh-CN"/>
        </w:rPr>
        <w:t>328.2</w:t>
      </w:r>
      <w:r>
        <w:rPr>
          <w:rFonts w:hint="default" w:ascii="Times New Roman" w:hAnsi="Times New Roman" w:cs="Times New Roman"/>
        </w:rPr>
        <w:t>万元，于2022年年中追加项目，资金到位</w:t>
      </w:r>
      <w:r>
        <w:rPr>
          <w:rFonts w:hint="eastAsia" w:ascii="Times New Roman" w:hAnsi="Times New Roman" w:cs="Times New Roman"/>
          <w:lang w:val="en-US" w:eastAsia="zh-CN"/>
        </w:rPr>
        <w:t>328.2万元，实际</w:t>
      </w:r>
      <w:r>
        <w:rPr>
          <w:rFonts w:hint="default" w:ascii="Times New Roman" w:hAnsi="Times New Roman" w:cs="Times New Roman"/>
        </w:rPr>
        <w:t>支付</w:t>
      </w:r>
      <w:r>
        <w:rPr>
          <w:rFonts w:hint="eastAsia" w:ascii="Times New Roman" w:hAnsi="Times New Roman" w:cs="Times New Roman"/>
          <w:lang w:val="en-US" w:eastAsia="zh-CN"/>
        </w:rPr>
        <w:t>319.59万元，全年执行率达到9</w:t>
      </w:r>
      <w:r>
        <w:rPr>
          <w:rFonts w:hint="default" w:ascii="Times New Roman" w:hAnsi="Times New Roman" w:cs="Times New Roman"/>
          <w:lang w:val="en-US" w:eastAsia="zh-CN"/>
        </w:rPr>
        <w:t>7.37%</w:t>
      </w:r>
      <w:r>
        <w:rPr>
          <w:rFonts w:hint="default" w:ascii="Times New Roman" w:hAnsi="Times New Roman" w:cs="Times New Roman"/>
        </w:rPr>
        <w:t>，年中</w:t>
      </w:r>
      <w:r>
        <w:rPr>
          <w:rFonts w:hint="default" w:ascii="Times New Roman" w:hAnsi="Times New Roman" w:cs="Times New Roman"/>
          <w:lang w:val="en-US" w:eastAsia="zh-CN"/>
        </w:rPr>
        <w:t>未</w:t>
      </w:r>
      <w:r>
        <w:rPr>
          <w:rFonts w:hint="default" w:ascii="Times New Roman" w:hAnsi="Times New Roman" w:cs="Times New Roman"/>
        </w:rPr>
        <w:t>对资金进行调增、调减。</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w:t>
      </w:r>
      <w:r>
        <w:rPr>
          <w:rFonts w:hint="eastAsia" w:ascii="仿宋" w:hAnsi="仿宋" w:eastAsia="仿宋" w:cs="仿宋"/>
          <w:szCs w:val="28"/>
        </w:rPr>
        <w:t>“谁申请资金，谁编制目标”</w:t>
      </w:r>
      <w:r>
        <w:rPr>
          <w:rFonts w:hint="default" w:ascii="Times New Roman" w:hAnsi="Times New Roman" w:cs="Times New Roman"/>
          <w:szCs w:val="28"/>
        </w:rPr>
        <w:t>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 w:cs="Times New Roman"/>
          <w:sz w:val="36"/>
          <w:szCs w:val="36"/>
          <w:lang w:bidi="en-US"/>
        </w:rPr>
      </w:pPr>
      <w:r>
        <w:rPr>
          <w:rFonts w:hint="default" w:ascii="Times New Roman" w:hAnsi="Times New Roman" w:cs="Times New Roman"/>
          <w:szCs w:val="28"/>
        </w:rPr>
        <w:t>该项目绩效目标设置横跨项目期</w:t>
      </w:r>
      <w:r>
        <w:rPr>
          <w:rFonts w:hint="eastAsia" w:ascii="Times New Roman" w:hAnsi="Times New Roman" w:cs="Times New Roman"/>
          <w:szCs w:val="28"/>
          <w:lang w:val="en-US" w:eastAsia="zh-CN"/>
        </w:rPr>
        <w:t>全</w:t>
      </w:r>
      <w:r>
        <w:rPr>
          <w:rFonts w:hint="default" w:ascii="Times New Roman" w:hAnsi="Times New Roman" w:cs="Times New Roman"/>
          <w:szCs w:val="28"/>
        </w:rPr>
        <w:t>年，明确公共卫生服务项目补助资金的分配、拨付、核算、绩效考核及监督管理相关内容，规范和加强公共卫生服务项目补助资金的使用，提高资金使用效益，特申请此项经费支出。全年实际支付319.59万元，剩余资金结转至2023年支付。为总体绩效目标，预计在</w:t>
      </w:r>
      <w:r>
        <w:rPr>
          <w:rFonts w:hint="eastAsia" w:ascii="Times New Roman" w:hAnsi="Times New Roman" w:cs="Times New Roman"/>
          <w:szCs w:val="28"/>
          <w:lang w:val="en-US" w:eastAsia="zh-CN"/>
        </w:rPr>
        <w:t>全</w:t>
      </w:r>
      <w:r>
        <w:rPr>
          <w:rFonts w:hint="default" w:ascii="Times New Roman" w:hAnsi="Times New Roman" w:cs="Times New Roman"/>
          <w:szCs w:val="28"/>
        </w:rPr>
        <w:t>年</w:t>
      </w:r>
      <w:r>
        <w:rPr>
          <w:rFonts w:hint="eastAsia" w:ascii="Times New Roman" w:hAnsi="Times New Roman" w:cs="Times New Roman"/>
          <w:szCs w:val="28"/>
          <w:lang w:val="en-US" w:eastAsia="zh-CN"/>
        </w:rPr>
        <w:t>项目实施</w:t>
      </w:r>
      <w:r>
        <w:rPr>
          <w:rFonts w:hint="default" w:ascii="Times New Roman" w:hAnsi="Times New Roman" w:cs="Times New Roman"/>
          <w:szCs w:val="28"/>
        </w:rPr>
        <w:t>期间，计划</w:t>
      </w:r>
      <w:r>
        <w:rPr>
          <w:rFonts w:hint="eastAsia" w:ascii="Times New Roman" w:hAnsi="Times New Roman" w:cs="Times New Roman"/>
          <w:szCs w:val="28"/>
          <w:lang w:val="en-US" w:eastAsia="zh-CN"/>
        </w:rPr>
        <w:t>适龄人群国家免疫规划疫苗接种次数5万人次，</w:t>
      </w:r>
      <w:r>
        <w:rPr>
          <w:rFonts w:hint="default" w:ascii="Times New Roman" w:hAnsi="Times New Roman" w:cs="Times New Roman"/>
          <w:szCs w:val="28"/>
          <w:lang w:val="en-US" w:eastAsia="zh-CN"/>
        </w:rPr>
        <w:t>65岁以上老年人健康管理率</w:t>
      </w:r>
      <w:r>
        <w:rPr>
          <w:rFonts w:hint="eastAsia" w:ascii="Times New Roman" w:hAnsi="Times New Roman" w:cs="Times New Roman"/>
          <w:szCs w:val="28"/>
          <w:lang w:val="en-US" w:eastAsia="zh-CN"/>
        </w:rPr>
        <w:t>达到80%，</w:t>
      </w:r>
      <w:r>
        <w:rPr>
          <w:rFonts w:hint="default" w:ascii="Times New Roman" w:hAnsi="Times New Roman" w:cs="Times New Roman"/>
          <w:szCs w:val="28"/>
          <w:lang w:val="en-US" w:eastAsia="zh-CN"/>
        </w:rPr>
        <w:t>居民核心知识知晓率</w:t>
      </w:r>
      <w:r>
        <w:rPr>
          <w:rFonts w:hint="eastAsia" w:ascii="Times New Roman" w:hAnsi="Times New Roman" w:cs="Times New Roman"/>
          <w:szCs w:val="28"/>
          <w:lang w:val="en-US" w:eastAsia="zh-CN"/>
        </w:rPr>
        <w:t>达到90%，城乡居民公共卫生差距不断缩小</w:t>
      </w:r>
      <w:bookmarkStart w:id="7" w:name="_Toc67911604"/>
      <w:bookmarkStart w:id="8" w:name="_Toc100784586"/>
      <w:r>
        <w:rPr>
          <w:rFonts w:hint="eastAsia" w:ascii="Times New Roman" w:hAnsi="Times New Roman" w:cs="Times New Roman"/>
          <w:szCs w:val="28"/>
          <w:lang w:val="en-US" w:eastAsia="zh-CN"/>
        </w:rPr>
        <w:t>。</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left="958" w:leftChars="142" w:hanging="560" w:hangingChars="200"/>
        <w:rPr>
          <w:rFonts w:hint="default" w:ascii="Times New Roman" w:hAnsi="Times New Roman" w:cs="Times New Roman"/>
        </w:rPr>
      </w:pPr>
      <w:r>
        <w:rPr>
          <w:rFonts w:hint="default" w:ascii="Times New Roman" w:hAnsi="Times New Roman" w:cs="Times New Roman"/>
        </w:rPr>
        <w:t>（1）绩效评价的对象：2022年中央基本公共卫生服务</w:t>
      </w:r>
      <w:r>
        <w:rPr>
          <w:rFonts w:hint="default" w:ascii="Times New Roman" w:hAnsi="Times New Roman" w:cs="Times New Roman"/>
          <w:kern w:val="0"/>
          <w:sz w:val="32"/>
          <w:szCs w:val="32"/>
          <w:lang w:bidi="en-US"/>
        </w:rPr>
        <w:t>补助资</w:t>
      </w:r>
      <w:r>
        <w:rPr>
          <w:rFonts w:hint="default" w:ascii="Times New Roman" w:hAnsi="Times New Roman" w:cs="Times New Roman"/>
          <w:kern w:val="2"/>
          <w:sz w:val="28"/>
          <w:szCs w:val="22"/>
          <w:lang w:bidi="en-US"/>
        </w:rPr>
        <w:t>金（直达资金）</w:t>
      </w:r>
      <w:r>
        <w:rPr>
          <w:rFonts w:hint="default" w:ascii="Times New Roman" w:hAnsi="Times New Roman" w:cs="Times New Roman"/>
        </w:rPr>
        <w:t xml:space="preserve">项目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1.项目范围：2022年中央基本公共卫生服务</w:t>
      </w:r>
      <w:r>
        <w:rPr>
          <w:rFonts w:hint="default" w:ascii="Times New Roman" w:hAnsi="Times New Roman" w:cs="Times New Roman"/>
          <w:kern w:val="2"/>
          <w:sz w:val="28"/>
          <w:szCs w:val="22"/>
          <w:lang w:bidi="en-US"/>
        </w:rPr>
        <w:t>补助资金（直达资金）</w:t>
      </w:r>
      <w:r>
        <w:rPr>
          <w:rFonts w:hint="default" w:ascii="Times New Roman" w:hAnsi="Times New Roman" w:cs="Times New Roman"/>
        </w:rPr>
        <w:t>项目的完成情况、资金投入的运行情况、项目实施后产生的绩效及影响效果。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rPr>
        <w:t>（5）经济性原则：绩效评价指标设计应当通俗易懂、简便易行，</w:t>
      </w:r>
      <w:r>
        <w:rPr>
          <w:rFonts w:hint="default" w:ascii="Times New Roman" w:hAnsi="Times New Roman" w:cs="Times New Roman"/>
          <w:highlight w:val="none"/>
        </w:rPr>
        <w:t>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9" w:type="default"/>
          <w:footerReference r:id="rId10"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585"/>
        <w:gridCol w:w="2615"/>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58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61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61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61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②审批文件、材料是否符合相关要求；</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61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①项目是否有绩效目标；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0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61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②是否通过清晰、可衡量的指标值予以体现；</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③是否与项目目标任务数或计划数相对应。</w:t>
            </w:r>
          </w:p>
          <w:p>
            <w:pPr>
              <w:pStyle w:val="2"/>
              <w:rPr>
                <w:rFonts w:hint="eastAsia"/>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61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①预算编制是否经过科学论证；</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②预算内容与项目内容是否匹配；</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61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①预算资金分配依据是否充分；</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both"/>
              <w:rPr>
                <w:rFonts w:hint="default" w:ascii="Times New Roman" w:hAnsi="Times New Roman" w:eastAsia="宋体" w:cs="Times New Roman"/>
                <w:color w:val="000000"/>
                <w:kern w:val="0"/>
                <w:sz w:val="22"/>
              </w:rPr>
            </w:pPr>
          </w:p>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p>
            <w:pPr>
              <w:widowControl/>
              <w:ind w:firstLine="0" w:firstLineChars="0"/>
              <w:jc w:val="center"/>
              <w:rPr>
                <w:rFonts w:hint="default" w:ascii="Times New Roman" w:hAnsi="Times New Roman" w:eastAsia="宋体" w:cs="Times New Roman"/>
                <w:color w:val="000000"/>
                <w:kern w:val="0"/>
                <w:sz w:val="22"/>
              </w:rPr>
            </w:pP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61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61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预算执行率=（实际支出资金/实际到位资金）×100%。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61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②资金的拨付是否有完整的审批程序和手续；</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③是否符合项目预算批复或合同规定的用途；</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61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①是否已制定或具有相应的财务和业务管理制度；</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61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①是否遵守相关法律法规和相关管理规定；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②项目调整及支出调整手续是否完备；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③项目合同书、验收报告、技术鉴定等资料是否齐全并及时归档；</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both"/>
              <w:rPr>
                <w:rFonts w:hint="default" w:ascii="Times New Roman" w:hAnsi="Times New Roman" w:eastAsia="宋体" w:cs="Times New Roman"/>
                <w:color w:val="000000"/>
                <w:kern w:val="0"/>
                <w:sz w:val="22"/>
                <w:lang w:val="en-US" w:eastAsia="zh-CN"/>
              </w:rPr>
            </w:pP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lang w:val="en-US" w:eastAsia="zh-CN"/>
              </w:rPr>
              <w:t>产出数量</w:t>
            </w:r>
          </w:p>
        </w:tc>
        <w:tc>
          <w:tcPr>
            <w:tcW w:w="1585" w:type="dxa"/>
            <w:tcBorders>
              <w:tl2br w:val="nil"/>
              <w:tr2bl w:val="nil"/>
            </w:tcBorders>
            <w:shd w:val="clear" w:color="auto" w:fill="FFFFFF"/>
          </w:tcPr>
          <w:p>
            <w:pPr>
              <w:widowControl/>
              <w:ind w:firstLine="0" w:firstLineChars="0"/>
              <w:jc w:val="center"/>
              <w:rPr>
                <w:rFonts w:hint="eastAsia" w:ascii="Times New Roman" w:hAnsi="Times New Roman" w:eastAsia="宋体" w:cs="Times New Roman"/>
                <w:color w:val="000000"/>
                <w:kern w:val="0"/>
                <w:sz w:val="22"/>
                <w:lang w:val="en-US" w:eastAsia="zh-CN"/>
              </w:rPr>
            </w:pPr>
          </w:p>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适龄人群国家免疫规划疫苗接种次数</w:t>
            </w:r>
          </w:p>
        </w:tc>
        <w:tc>
          <w:tcPr>
            <w:tcW w:w="261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实际完成率=（实际产出数/计划产出数）×100%。</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both"/>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lang w:val="en-US" w:eastAsia="zh-CN"/>
              </w:rPr>
              <w:t>65岁以上老年人健康管理率</w:t>
            </w:r>
          </w:p>
        </w:tc>
        <w:tc>
          <w:tcPr>
            <w:tcW w:w="2615" w:type="dxa"/>
            <w:vMerge w:val="restart"/>
            <w:tcBorders>
              <w:tl2br w:val="nil"/>
              <w:tr2bl w:val="nil"/>
            </w:tcBorders>
            <w:shd w:val="clear" w:color="000000" w:fill="FFFFFF"/>
            <w:vAlign w:val="center"/>
          </w:tcPr>
          <w:p>
            <w:pPr>
              <w:widowControl/>
              <w:ind w:firstLine="0" w:firstLineChars="0"/>
              <w:jc w:val="both"/>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p>
            <w:pPr>
              <w:widowControl/>
              <w:ind w:firstLine="0" w:firstLineChars="0"/>
              <w:rPr>
                <w:rFonts w:hint="default" w:ascii="Times New Roman" w:hAnsi="Times New Roman" w:eastAsia="宋体" w:cs="Times New Roman"/>
                <w:color w:val="000000"/>
                <w:kern w:val="0"/>
                <w:sz w:val="22"/>
                <w:szCs w:val="22"/>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5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585" w:type="dxa"/>
            <w:tcBorders>
              <w:tl2br w:val="nil"/>
              <w:tr2bl w:val="nil"/>
            </w:tcBorders>
            <w:shd w:val="clear" w:color="auto" w:fill="FFFFFF"/>
            <w:vAlign w:val="center"/>
          </w:tcPr>
          <w:p>
            <w:pPr>
              <w:widowControl/>
              <w:ind w:firstLine="0" w:firstLineChars="0"/>
              <w:jc w:val="center"/>
              <w:rPr>
                <w:rFonts w:hint="default"/>
              </w:rPr>
            </w:pPr>
            <w:r>
              <w:rPr>
                <w:rFonts w:hint="default" w:ascii="Times New Roman" w:hAnsi="Times New Roman" w:eastAsia="宋体" w:cs="Times New Roman"/>
                <w:color w:val="000000"/>
                <w:kern w:val="0"/>
                <w:sz w:val="22"/>
                <w:lang w:val="en-US" w:eastAsia="zh-CN"/>
              </w:rPr>
              <w:t>居民核心知识知晓率</w:t>
            </w:r>
          </w:p>
        </w:tc>
        <w:tc>
          <w:tcPr>
            <w:tcW w:w="2615" w:type="dxa"/>
            <w:vMerge w:val="continue"/>
            <w:tcBorders>
              <w:tl2br w:val="nil"/>
              <w:tr2bl w:val="nil"/>
            </w:tcBorders>
            <w:shd w:val="clear" w:color="000000" w:fill="FFFFFF"/>
            <w:vAlign w:val="center"/>
          </w:tcPr>
          <w:p>
            <w:pPr>
              <w:widowControl/>
              <w:ind w:firstLine="0" w:firstLineChars="0"/>
              <w:jc w:val="both"/>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szCs w:val="22"/>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lang w:val="en-US" w:eastAsia="zh-CN"/>
              </w:rPr>
              <w:t>产出时效</w:t>
            </w: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lang w:val="en-US" w:eastAsia="zh-CN"/>
              </w:rPr>
              <w:t>资金申领及</w:t>
            </w:r>
            <w:r>
              <w:rPr>
                <w:rFonts w:hint="eastAsia" w:ascii="Times New Roman" w:hAnsi="Times New Roman" w:eastAsia="宋体" w:cs="Times New Roman"/>
                <w:color w:val="000000"/>
                <w:kern w:val="0"/>
                <w:sz w:val="22"/>
                <w:lang w:val="en-US" w:eastAsia="zh-CN"/>
              </w:rPr>
              <w:t xml:space="preserve"> </w:t>
            </w:r>
            <w:r>
              <w:rPr>
                <w:rFonts w:hint="default" w:ascii="Times New Roman" w:hAnsi="Times New Roman" w:eastAsia="宋体" w:cs="Times New Roman"/>
                <w:color w:val="000000"/>
                <w:kern w:val="0"/>
                <w:sz w:val="22"/>
                <w:lang w:val="en-US" w:eastAsia="zh-CN"/>
              </w:rPr>
              <w:t>时性</w:t>
            </w:r>
          </w:p>
        </w:tc>
        <w:tc>
          <w:tcPr>
            <w:tcW w:w="261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实际完成时间：项目实施单位完成该项目实际所耗用的时间。</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left="0" w:leftChars="0" w:firstLine="0" w:firstLineChars="0"/>
              <w:jc w:val="left"/>
              <w:rPr>
                <w:rFonts w:hint="default"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lang w:val="en-US" w:eastAsia="zh-CN"/>
              </w:rPr>
              <w:t>产出成本</w:t>
            </w: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lang w:val="en-US" w:eastAsia="zh-CN"/>
              </w:rPr>
              <w:t>原基本公卫</w:t>
            </w:r>
            <w:r>
              <w:rPr>
                <w:rFonts w:hint="eastAsia" w:ascii="Times New Roman" w:hAnsi="Times New Roman" w:eastAsia="宋体" w:cs="Times New Roman"/>
                <w:color w:val="000000"/>
                <w:kern w:val="0"/>
                <w:sz w:val="22"/>
                <w:lang w:val="en-US" w:eastAsia="zh-CN"/>
              </w:rPr>
              <w:t xml:space="preserve"> 资金</w:t>
            </w:r>
          </w:p>
        </w:tc>
        <w:tc>
          <w:tcPr>
            <w:tcW w:w="261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成本节约率=[（计划成本-实际成本）/计划成本]×100%。</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left="0" w:leftChars="0" w:firstLine="0" w:firstLineChars="0"/>
              <w:jc w:val="left"/>
              <w:rPr>
                <w:rFonts w:hint="default" w:ascii="Times New Roman" w:hAnsi="Times New Roman" w:eastAsia="宋体" w:cs="Times New Roman"/>
                <w:color w:val="000000"/>
                <w:kern w:val="0"/>
                <w:sz w:val="22"/>
                <w:lang w:val="en-US" w:eastAsia="zh-CN"/>
              </w:rPr>
            </w:pPr>
          </w:p>
        </w:tc>
        <w:tc>
          <w:tcPr>
            <w:tcW w:w="158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lang w:val="en-US" w:eastAsia="zh-CN"/>
              </w:rPr>
              <w:t>地方病</w:t>
            </w:r>
            <w:r>
              <w:rPr>
                <w:rFonts w:hint="eastAsia" w:ascii="Times New Roman" w:hAnsi="Times New Roman" w:eastAsia="宋体" w:cs="Times New Roman"/>
                <w:color w:val="000000"/>
                <w:kern w:val="0"/>
                <w:sz w:val="22"/>
                <w:lang w:val="en-US" w:eastAsia="zh-CN"/>
              </w:rPr>
              <w:t>资金</w:t>
            </w:r>
          </w:p>
        </w:tc>
        <w:tc>
          <w:tcPr>
            <w:tcW w:w="2615"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成本节约率=[（计划成本-实际成本）/计划成本]×100%。</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left="0" w:leftChars="0" w:firstLine="0" w:firstLineChars="0"/>
              <w:jc w:val="left"/>
              <w:rPr>
                <w:rFonts w:hint="default"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lang w:val="en-US" w:eastAsia="zh-CN"/>
              </w:rPr>
              <w:t>效益</w:t>
            </w:r>
          </w:p>
        </w:tc>
        <w:tc>
          <w:tcPr>
            <w:tcW w:w="1199" w:type="dxa"/>
            <w:tcBorders>
              <w:tl2br w:val="nil"/>
              <w:tr2bl w:val="nil"/>
            </w:tcBorders>
            <w:shd w:val="clear" w:color="auto" w:fill="FFFFFF"/>
            <w:vAlign w:val="center"/>
          </w:tcPr>
          <w:p>
            <w:pPr>
              <w:widowControl/>
              <w:ind w:left="0" w:leftChars="0" w:firstLine="0" w:firstLineChars="0"/>
              <w:jc w:val="center"/>
              <w:rPr>
                <w:rFonts w:hint="default"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lang w:val="en-US" w:eastAsia="zh-CN"/>
              </w:rPr>
              <w:t>社会效益指标</w:t>
            </w:r>
          </w:p>
        </w:tc>
        <w:tc>
          <w:tcPr>
            <w:tcW w:w="1585" w:type="dxa"/>
            <w:tcBorders>
              <w:tl2br w:val="nil"/>
              <w:tr2bl w:val="nil"/>
            </w:tcBorders>
            <w:shd w:val="clear" w:color="auto" w:fill="FFFFFF"/>
            <w:vAlign w:val="center"/>
          </w:tcPr>
          <w:p>
            <w:pPr>
              <w:widowControl/>
              <w:ind w:left="0" w:leftChars="0"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城乡居民公共卫生差距</w:t>
            </w:r>
          </w:p>
        </w:tc>
        <w:tc>
          <w:tcPr>
            <w:tcW w:w="2615"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left="0" w:leftChars="0" w:firstLine="0" w:firstLineChars="0"/>
              <w:jc w:val="left"/>
              <w:rPr>
                <w:rFonts w:hint="default" w:ascii="Times New Roman" w:hAnsi="Times New Roman" w:eastAsia="宋体" w:cs="Times New Roman"/>
                <w:color w:val="000000"/>
                <w:kern w:val="0"/>
                <w:sz w:val="22"/>
                <w:lang w:val="en-US" w:eastAsia="zh-CN"/>
              </w:rPr>
            </w:pPr>
          </w:p>
        </w:tc>
        <w:tc>
          <w:tcPr>
            <w:tcW w:w="1199" w:type="dxa"/>
            <w:tcBorders>
              <w:tl2br w:val="nil"/>
              <w:tr2bl w:val="nil"/>
            </w:tcBorders>
            <w:shd w:val="clear" w:color="auto" w:fill="FFFFFF"/>
            <w:vAlign w:val="center"/>
          </w:tcPr>
          <w:p>
            <w:pPr>
              <w:widowControl/>
              <w:ind w:left="0" w:leftChars="0" w:firstLine="0" w:firstLineChars="0"/>
              <w:jc w:val="center"/>
              <w:rPr>
                <w:rFonts w:hint="default"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lang w:val="en-US" w:eastAsia="zh-CN"/>
              </w:rPr>
              <w:t>可持续影响指标</w:t>
            </w:r>
          </w:p>
        </w:tc>
        <w:tc>
          <w:tcPr>
            <w:tcW w:w="1585" w:type="dxa"/>
            <w:tcBorders>
              <w:tl2br w:val="nil"/>
              <w:tr2bl w:val="nil"/>
            </w:tcBorders>
            <w:shd w:val="clear" w:color="auto" w:fill="FFFFFF"/>
            <w:vAlign w:val="center"/>
          </w:tcPr>
          <w:p>
            <w:pPr>
              <w:widowControl/>
              <w:ind w:left="0" w:leftChars="0"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基本公共卫生服务水平</w:t>
            </w:r>
          </w:p>
        </w:tc>
        <w:tc>
          <w:tcPr>
            <w:tcW w:w="2615"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left="0" w:leftChars="0" w:firstLine="0" w:firstLineChars="0"/>
              <w:jc w:val="left"/>
              <w:rPr>
                <w:rFonts w:hint="default"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lang w:val="en-US" w:eastAsia="zh-CN"/>
              </w:rPr>
              <w:t>满意度指标完成情况分析</w:t>
            </w:r>
          </w:p>
        </w:tc>
        <w:tc>
          <w:tcPr>
            <w:tcW w:w="1199" w:type="dxa"/>
            <w:tcBorders>
              <w:tl2br w:val="nil"/>
              <w:tr2bl w:val="nil"/>
            </w:tcBorders>
            <w:shd w:val="clear" w:color="auto" w:fill="FFFFFF"/>
            <w:vAlign w:val="center"/>
          </w:tcPr>
          <w:p>
            <w:pPr>
              <w:widowControl/>
              <w:ind w:left="438" w:leftChars="78" w:hanging="220" w:hangingChars="100"/>
              <w:jc w:val="center"/>
              <w:rPr>
                <w:rFonts w:hint="default"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lang w:val="en-US" w:eastAsia="zh-CN"/>
              </w:rPr>
              <w:t>满意度</w:t>
            </w:r>
          </w:p>
          <w:p>
            <w:pPr>
              <w:widowControl/>
              <w:ind w:left="438" w:leftChars="78" w:hanging="220" w:hangingChars="100"/>
              <w:jc w:val="center"/>
              <w:rPr>
                <w:rFonts w:hint="default"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lang w:val="en-US" w:eastAsia="zh-CN"/>
              </w:rPr>
              <w:t>指标</w:t>
            </w:r>
          </w:p>
        </w:tc>
        <w:tc>
          <w:tcPr>
            <w:tcW w:w="1585" w:type="dxa"/>
            <w:tcBorders>
              <w:tl2br w:val="nil"/>
              <w:tr2bl w:val="nil"/>
            </w:tcBorders>
            <w:shd w:val="clear" w:color="auto" w:fill="FFFFFF"/>
            <w:vAlign w:val="center"/>
          </w:tcPr>
          <w:p>
            <w:pPr>
              <w:widowControl/>
              <w:ind w:left="437" w:leftChars="156" w:firstLine="0" w:firstLineChars="0"/>
              <w:jc w:val="both"/>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受益农牧民满意度</w:t>
            </w:r>
          </w:p>
        </w:tc>
        <w:tc>
          <w:tcPr>
            <w:tcW w:w="2615"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w:t>
            </w:r>
            <w:r>
              <w:rPr>
                <w:rFonts w:hint="eastAsia" w:ascii="Times New Roman" w:hAnsi="Times New Roman" w:eastAsia="宋体" w:cs="Times New Roman"/>
                <w:color w:val="000000"/>
                <w:kern w:val="0"/>
                <w:sz w:val="22"/>
                <w:lang w:val="en-US" w:eastAsia="zh-CN"/>
              </w:rPr>
              <w:t xml:space="preserve">   </w:t>
            </w:r>
            <w:r>
              <w:rPr>
                <w:rFonts w:hint="default" w:ascii="Times New Roman" w:hAnsi="Times New Roman" w:eastAsia="宋体" w:cs="Times New Roman"/>
                <w:color w:val="000000"/>
                <w:kern w:val="0"/>
                <w:sz w:val="22"/>
              </w:rPr>
              <w:t>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（2）比较法。是指将实施</w:t>
      </w:r>
      <w:r>
        <w:rPr>
          <w:rFonts w:hint="default" w:ascii="Times New Roman" w:hAnsi="Times New Roman" w:cs="Times New Roman"/>
        </w:rPr>
        <w:t>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w:t>
      </w:r>
      <w:r>
        <w:rPr>
          <w:rFonts w:hint="eastAsia" w:ascii="Times New Roman" w:hAnsi="Times New Roman" w:cs="Times New Roman"/>
          <w:highlight w:val="none"/>
          <w:lang w:val="en-US" w:eastAsia="zh-CN"/>
        </w:rPr>
        <w:t>5</w:t>
      </w:r>
      <w:r>
        <w:rPr>
          <w:rFonts w:hint="default" w:ascii="Times New Roman" w:hAnsi="Times New Roman" w:cs="Times New Roman"/>
          <w:highlight w:val="none"/>
        </w:rPr>
        <w:t>）其他评价方法。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rPr>
        <w:t>根据本项目2022年中</w:t>
      </w:r>
      <w:r>
        <w:rPr>
          <w:rFonts w:hint="default" w:ascii="Times New Roman" w:hAnsi="Times New Roman" w:cs="Times New Roman"/>
          <w:color w:val="auto"/>
        </w:rPr>
        <w:t>央基本公共卫生服务补助资金（直达资金</w:t>
      </w:r>
      <w:r>
        <w:rPr>
          <w:rFonts w:hint="eastAsia" w:ascii="Times New Roman" w:hAnsi="Times New Roman" w:cs="Times New Roman"/>
          <w:color w:val="auto"/>
          <w:lang w:eastAsia="zh-CN"/>
        </w:rPr>
        <w:t>）</w:t>
      </w:r>
      <w:r>
        <w:rPr>
          <w:rFonts w:hint="default" w:ascii="Times New Roman" w:hAnsi="Times New Roman" w:cs="Times New Roman"/>
          <w:color w:val="auto"/>
        </w:rPr>
        <w:t>的特点，本次评价主要采用比较法</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2021年该项目补助资金343万元，分两批补助，其中第一批补助317万元，第二批补助26万元。2022年该项目补助369.5万元，分两批补助，其中第一批补助328.2万元，第二批补助41.3万元</w:t>
      </w:r>
      <w:r>
        <w:rPr>
          <w:rFonts w:hint="eastAsia" w:ascii="Times New Roman" w:hAnsi="Times New Roman" w:cs="Times New Roman"/>
          <w:color w:val="auto"/>
          <w:highlight w:val="none"/>
          <w:lang w:val="en-US" w:eastAsia="zh-CN"/>
        </w:rPr>
        <w:t>。第一批补助较上一年增加11.2万元，第二批补助较上一年增加15.30万元，根据上级拨付资金分配数，测算申报项目预算资金数与实际项目资金数基本一致</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项目已按照如期计划如期进行</w:t>
      </w:r>
      <w:r>
        <w:rPr>
          <w:rFonts w:hint="default" w:ascii="Times New Roman" w:hAnsi="Times New Roman" w:cs="Times New Roman"/>
          <w:highlight w:val="none"/>
        </w:rPr>
        <w:t>。</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before="192" w:beforeLines="50" w:after="192" w:afterLines="50"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keepNext w:val="0"/>
        <w:keepLines w:val="0"/>
        <w:pageBreakBefore w:val="0"/>
        <w:kinsoku/>
        <w:wordWrap/>
        <w:overflowPunct/>
        <w:topLinePunct w:val="0"/>
        <w:autoSpaceDE/>
        <w:autoSpaceDN/>
        <w:bidi w:val="0"/>
        <w:adjustRightInd/>
        <w:snapToGrid/>
        <w:spacing w:before="192" w:beforeLines="50" w:after="192" w:afterLines="50" w:line="360" w:lineRule="auto"/>
        <w:ind w:firstLine="560"/>
        <w:textAlignment w:val="auto"/>
        <w:rPr>
          <w:rFonts w:hint="eastAsia" w:ascii="Times New Roman" w:hAnsi="Times New Roman" w:eastAsia="仿宋_GB2312" w:cs="Times New Roman"/>
          <w:lang w:val="en-US" w:eastAsia="zh-CN"/>
        </w:rPr>
      </w:pPr>
      <w:r>
        <w:rPr>
          <w:rFonts w:hint="eastAsia" w:ascii="Times New Roman" w:hAnsi="Times New Roman" w:cs="Times New Roman"/>
          <w:szCs w:val="22"/>
          <w:lang w:eastAsia="zh-CN"/>
        </w:rPr>
        <w:t>《</w:t>
      </w:r>
      <w:r>
        <w:rPr>
          <w:rFonts w:hint="default" w:ascii="Times New Roman" w:hAnsi="Times New Roman" w:cs="Times New Roman"/>
        </w:rPr>
        <w:t>关于提前下达2022年中央基本公共卫生服务补助资金（直达资金）预算的通知</w:t>
      </w:r>
      <w:r>
        <w:rPr>
          <w:rFonts w:hint="eastAsia" w:ascii="Times New Roman" w:hAnsi="Times New Roman" w:cs="Times New Roman"/>
          <w:szCs w:val="22"/>
          <w:lang w:eastAsia="zh-CN"/>
        </w:rPr>
        <w:t>》（</w:t>
      </w:r>
      <w:r>
        <w:rPr>
          <w:rFonts w:hint="default" w:ascii="Times New Roman" w:hAnsi="Times New Roman" w:cs="Times New Roman"/>
          <w:szCs w:val="22"/>
        </w:rPr>
        <w:t>乌财社</w:t>
      </w:r>
      <w:r>
        <w:rPr>
          <w:rFonts w:hint="default" w:ascii="Times New Roman" w:hAnsi="Times New Roman" w:cs="Times New Roman"/>
          <w:szCs w:val="22"/>
          <w:lang w:eastAsia="zh-CN"/>
        </w:rPr>
        <w:t>【</w:t>
      </w:r>
      <w:r>
        <w:rPr>
          <w:rFonts w:hint="default" w:ascii="Times New Roman" w:hAnsi="Times New Roman" w:cs="Times New Roman"/>
          <w:szCs w:val="22"/>
          <w:lang w:val="en-US" w:eastAsia="zh-CN"/>
        </w:rPr>
        <w:t>2021</w:t>
      </w:r>
      <w:r>
        <w:rPr>
          <w:rFonts w:hint="default" w:ascii="Times New Roman" w:hAnsi="Times New Roman" w:cs="Times New Roman"/>
          <w:szCs w:val="22"/>
          <w:lang w:eastAsia="zh-CN"/>
        </w:rPr>
        <w:t>】</w:t>
      </w:r>
      <w:r>
        <w:rPr>
          <w:rFonts w:hint="default" w:ascii="Times New Roman" w:hAnsi="Times New Roman" w:cs="Times New Roman"/>
          <w:szCs w:val="22"/>
        </w:rPr>
        <w:t>363号</w:t>
      </w:r>
      <w:r>
        <w:rPr>
          <w:rFonts w:hint="eastAsia" w:ascii="Times New Roman" w:hAnsi="Times New Roman" w:cs="Times New Roman"/>
          <w:szCs w:val="22"/>
          <w:lang w:eastAsia="zh-CN"/>
        </w:rPr>
        <w:t>）</w:t>
      </w:r>
    </w:p>
    <w:p>
      <w:pPr>
        <w:keepNext w:val="0"/>
        <w:keepLines w:val="0"/>
        <w:pageBreakBefore w:val="0"/>
        <w:kinsoku/>
        <w:wordWrap/>
        <w:overflowPunct/>
        <w:topLinePunct w:val="0"/>
        <w:autoSpaceDE/>
        <w:autoSpaceDN/>
        <w:bidi w:val="0"/>
        <w:adjustRightInd/>
        <w:snapToGrid/>
        <w:spacing w:before="192" w:beforeLines="50" w:after="192" w:afterLines="50"/>
        <w:ind w:firstLine="560"/>
        <w:textAlignment w:val="auto"/>
        <w:rPr>
          <w:rFonts w:hint="eastAsia" w:ascii="仿宋" w:hAnsi="仿宋" w:eastAsia="仿宋" w:cs="仿宋"/>
          <w:b/>
          <w:bCs/>
          <w:sz w:val="32"/>
          <w:szCs w:val="32"/>
          <w:lang w:val="en-US" w:eastAsia="zh-CN" w:bidi="en-US"/>
        </w:rPr>
      </w:pPr>
      <w:r>
        <w:rPr>
          <w:rFonts w:hint="eastAsia" w:ascii="仿宋" w:hAnsi="仿宋" w:eastAsia="仿宋" w:cs="仿宋"/>
          <w:b/>
          <w:bCs/>
          <w:sz w:val="32"/>
          <w:szCs w:val="32"/>
          <w:lang w:val="en-US" w:eastAsia="zh-CN" w:bidi="en-US"/>
        </w:rPr>
        <w:t xml:space="preserve"> </w:t>
      </w:r>
      <w:bookmarkStart w:id="21" w:name="_Toc67911607"/>
      <w:bookmarkStart w:id="22" w:name="_Toc100784595"/>
      <w:r>
        <w:rPr>
          <w:rFonts w:hint="eastAsia" w:ascii="仿宋" w:hAnsi="仿宋" w:eastAsia="仿宋" w:cs="仿宋"/>
          <w:b/>
          <w:bCs/>
          <w:sz w:val="32"/>
          <w:szCs w:val="32"/>
          <w:lang w:val="en-US" w:eastAsia="zh-CN" w:bidi="en-US"/>
        </w:rPr>
        <w:t>（三）绩效评价工作过程</w:t>
      </w:r>
      <w:bookmarkEnd w:id="21"/>
      <w:bookmarkEnd w:id="22"/>
    </w:p>
    <w:p>
      <w:pPr>
        <w:keepNext w:val="0"/>
        <w:keepLines w:val="0"/>
        <w:pageBreakBefore w:val="0"/>
        <w:widowControl/>
        <w:kinsoku/>
        <w:wordWrap/>
        <w:overflowPunct/>
        <w:topLinePunct w:val="0"/>
        <w:autoSpaceDE/>
        <w:autoSpaceDN/>
        <w:bidi w:val="0"/>
        <w:adjustRightInd/>
        <w:snapToGrid/>
        <w:spacing w:before="192" w:beforeLines="50" w:after="192" w:afterLines="50" w:line="360" w:lineRule="auto"/>
        <w:ind w:firstLine="56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8"/>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bookmarkStart w:id="23" w:name="_Toc67911608"/>
      <w:bookmarkStart w:id="24" w:name="_Toc100784596"/>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100784597"/>
      <w:bookmarkStart w:id="26" w:name="_Toc67911609"/>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结合项目特点，制定符合项目实际的绩效评价指标体系及评分标准，通过数据采集、问卷调查及访谈等形式，对2022年中央基本公共卫生服务补助资金（直达资金）进行客观评价，最终评分结果为：总分</w:t>
      </w:r>
      <w:r>
        <w:rPr>
          <w:rFonts w:hint="default" w:ascii="Times New Roman" w:hAnsi="Times New Roman" w:cs="Times New Roman"/>
          <w:szCs w:val="28"/>
          <w:highlight w:val="none"/>
        </w:rPr>
        <w:t>为</w:t>
      </w:r>
      <w:r>
        <w:rPr>
          <w:rFonts w:hint="eastAsia" w:ascii="Times New Roman" w:hAnsi="Times New Roman" w:cs="Times New Roman"/>
          <w:szCs w:val="28"/>
          <w:highlight w:val="none"/>
          <w:lang w:val="en-US" w:eastAsia="zh-CN"/>
        </w:rPr>
        <w:t>99.09</w:t>
      </w:r>
      <w:r>
        <w:rPr>
          <w:rFonts w:hint="default" w:ascii="Times New Roman" w:hAnsi="Times New Roman" w:cs="Times New Roman"/>
          <w:szCs w:val="28"/>
          <w:highlight w:val="none"/>
        </w:rPr>
        <w:t>分，绩效评级为</w:t>
      </w:r>
      <w:r>
        <w:rPr>
          <w:rFonts w:hint="eastAsia" w:ascii="仿宋" w:hAnsi="仿宋" w:eastAsia="仿宋" w:cs="仿宋"/>
          <w:szCs w:val="28"/>
          <w:highlight w:val="none"/>
        </w:rPr>
        <w:t>“</w:t>
      </w:r>
      <w:r>
        <w:rPr>
          <w:rFonts w:hint="eastAsia" w:ascii="仿宋" w:hAnsi="仿宋" w:eastAsia="仿宋" w:cs="仿宋"/>
          <w:szCs w:val="28"/>
          <w:highlight w:val="none"/>
          <w:lang w:val="en-US" w:eastAsia="zh-CN"/>
        </w:rPr>
        <w:t>优</w:t>
      </w:r>
      <w:r>
        <w:rPr>
          <w:rFonts w:hint="eastAsia" w:ascii="仿宋" w:hAnsi="仿宋" w:eastAsia="仿宋" w:cs="仿宋"/>
          <w:szCs w:val="28"/>
          <w:highlight w:val="none"/>
        </w:rPr>
        <w:t>”</w:t>
      </w:r>
      <w:r>
        <w:rPr>
          <w:rStyle w:val="18"/>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4"/>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default" w:ascii="Times New Roman" w:hAnsi="Times New Roman" w:cs="Times New Roman"/>
                <w:kern w:val="0"/>
                <w:sz w:val="24"/>
                <w:szCs w:val="24"/>
              </w:rPr>
              <w:t>决</w:t>
            </w:r>
            <w:r>
              <w:rPr>
                <w:rFonts w:hint="eastAsia" w:ascii="Times New Roman" w:hAnsi="Times New Roman" w:cs="Times New Roman"/>
                <w:kern w:val="0"/>
                <w:sz w:val="24"/>
                <w:szCs w:val="24"/>
                <w:lang w:val="en-US" w:eastAsia="zh-CN"/>
              </w:rPr>
              <w:t>算</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left="0" w:leftChars="0" w:firstLine="0" w:firstLineChars="0"/>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 xml:space="preserve"> 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4.87</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97.38%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p>
            <w:pPr>
              <w:widowControl/>
              <w:ind w:firstLine="0" w:firstLineChars="0"/>
              <w:jc w:val="center"/>
              <w:rPr>
                <w:rFonts w:hint="default" w:ascii="Times New Roman" w:hAnsi="Times New Roman" w:cs="Times New Roman"/>
                <w:kern w:val="0"/>
                <w:sz w:val="24"/>
                <w:szCs w:val="24"/>
              </w:rPr>
            </w:pPr>
          </w:p>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仿宋_GB2312" w:cs="Times New Roman"/>
                <w:color w:val="auto"/>
                <w:kern w:val="0"/>
                <w:sz w:val="24"/>
                <w:szCs w:val="24"/>
              </w:rPr>
              <w:t>适龄人群国家免疫规划疫苗接种次数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yellow"/>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仿宋_GB2312" w:cs="Times New Roman"/>
                <w:color w:val="auto"/>
                <w:kern w:val="0"/>
                <w:sz w:val="24"/>
                <w:szCs w:val="24"/>
              </w:rPr>
              <w:t>65岁以上老年人健康</w:t>
            </w:r>
            <w:r>
              <w:rPr>
                <w:rFonts w:hint="eastAsia" w:ascii="Times New Roman" w:hAnsi="Times New Roman" w:cs="Times New Roman"/>
                <w:kern w:val="0"/>
                <w:sz w:val="24"/>
                <w:szCs w:val="24"/>
                <w:lang w:val="en-US" w:eastAsia="zh-CN"/>
              </w:rPr>
              <w:t xml:space="preserve"> </w:t>
            </w:r>
            <w:r>
              <w:rPr>
                <w:rFonts w:hint="default" w:ascii="Times New Roman" w:hAnsi="Times New Roman" w:eastAsia="仿宋_GB2312" w:cs="Times New Roman"/>
                <w:color w:val="auto"/>
                <w:kern w:val="0"/>
                <w:sz w:val="24"/>
                <w:szCs w:val="24"/>
              </w:rPr>
              <w:t>管理率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居民核心知识知晓率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仿宋_GB2312" w:cs="Times New Roman"/>
                <w:color w:val="auto"/>
                <w:kern w:val="0"/>
                <w:sz w:val="24"/>
                <w:szCs w:val="24"/>
              </w:rPr>
              <w:t>资金申领及时性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仿宋_GB2312" w:cs="Times New Roman"/>
                <w:color w:val="auto"/>
                <w:kern w:val="0"/>
                <w:sz w:val="24"/>
                <w:szCs w:val="24"/>
              </w:rPr>
              <w:t>原基本公卫资金</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地方病及检测经费等</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4.22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84.4%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仿宋_GB2312" w:cs="Times New Roman"/>
                <w:color w:val="auto"/>
                <w:kern w:val="0"/>
                <w:sz w:val="24"/>
                <w:szCs w:val="24"/>
                <w:lang w:val="en-US" w:eastAsia="zh-CN"/>
              </w:rPr>
              <w:t>社会效益指标：</w:t>
            </w:r>
            <w:r>
              <w:rPr>
                <w:rFonts w:hint="default" w:ascii="Times New Roman" w:hAnsi="Times New Roman" w:eastAsia="仿宋_GB2312" w:cs="Times New Roman"/>
                <w:color w:val="auto"/>
                <w:kern w:val="0"/>
                <w:sz w:val="24"/>
                <w:szCs w:val="24"/>
              </w:rPr>
              <w:t>提高农牧民健康知识水平</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color w:val="auto"/>
                <w:kern w:val="0"/>
                <w:sz w:val="24"/>
                <w:szCs w:val="24"/>
              </w:rPr>
              <w:t>可持续影响指标</w:t>
            </w:r>
            <w:r>
              <w:rPr>
                <w:rFonts w:hint="default" w:ascii="Times New Roman" w:hAnsi="Times New Roman" w:eastAsia="仿宋_GB2312" w:cs="Times New Roman"/>
                <w:color w:val="auto"/>
                <w:kern w:val="0"/>
                <w:sz w:val="24"/>
                <w:szCs w:val="24"/>
                <w:lang w:eastAsia="zh-CN"/>
              </w:rPr>
              <w:t>：公共卫生均等化水平提高</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lang w:val="en-US" w:eastAsia="zh-CN"/>
              </w:rPr>
            </w:pPr>
            <w:r>
              <w:rPr>
                <w:rFonts w:hint="default" w:ascii="Times New Roman" w:hAnsi="Times New Roman" w:eastAsia="仿宋_GB2312" w:cs="Times New Roman"/>
                <w:color w:val="auto"/>
                <w:kern w:val="0"/>
                <w:sz w:val="24"/>
                <w:szCs w:val="24"/>
                <w:lang w:val="en-US" w:eastAsia="zh-CN"/>
              </w:rPr>
              <w:t>服务对象满意度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99.09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99.09%</w:t>
            </w:r>
          </w:p>
        </w:tc>
      </w:tr>
    </w:tbl>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48" w:firstLineChars="196"/>
        <w:jc w:val="both"/>
        <w:rPr>
          <w:rFonts w:hint="eastAsia" w:ascii="Times New Roman" w:hAnsi="Times New Roman" w:cs="Times New Roman"/>
          <w:bCs/>
          <w:szCs w:val="28"/>
          <w:lang w:val="en-US" w:eastAsia="zh-CN"/>
        </w:rPr>
      </w:pPr>
      <w:r>
        <w:rPr>
          <w:rFonts w:hint="default" w:ascii="Times New Roman" w:hAnsi="Times New Roman" w:cs="Times New Roman"/>
          <w:bCs/>
          <w:szCs w:val="28"/>
        </w:rPr>
        <w:t>该项目资金</w:t>
      </w:r>
      <w:r>
        <w:rPr>
          <w:rFonts w:hint="eastAsia" w:ascii="Times New Roman" w:hAnsi="Times New Roman" w:cs="Times New Roman"/>
          <w:bCs/>
          <w:szCs w:val="28"/>
          <w:lang w:val="en-US" w:eastAsia="zh-CN"/>
        </w:rPr>
        <w:t>由中央</w:t>
      </w:r>
      <w:r>
        <w:rPr>
          <w:rFonts w:hint="default" w:ascii="Times New Roman" w:hAnsi="Times New Roman" w:cs="Times New Roman"/>
          <w:bCs/>
          <w:szCs w:val="28"/>
        </w:rPr>
        <w:t>拨付</w:t>
      </w:r>
      <w:r>
        <w:rPr>
          <w:rFonts w:hint="default" w:ascii="Times New Roman" w:hAnsi="Times New Roman" w:cs="Times New Roman"/>
          <w:bCs/>
          <w:szCs w:val="28"/>
          <w:highlight w:val="none"/>
        </w:rPr>
        <w:t>，单位在此次评价期间内，有序完成设定目标的部分工作任务，适龄人群国家免疫规划疫苗</w:t>
      </w:r>
      <w:r>
        <w:rPr>
          <w:rFonts w:hint="default" w:ascii="Times New Roman" w:hAnsi="Times New Roman" w:cs="Times New Roman"/>
          <w:bCs/>
          <w:szCs w:val="28"/>
          <w:lang w:val="en-US" w:eastAsia="zh-CN"/>
        </w:rPr>
        <w:t>接种次数</w:t>
      </w:r>
      <w:r>
        <w:rPr>
          <w:rFonts w:hint="eastAsia" w:ascii="Times New Roman" w:hAnsi="Times New Roman" w:cs="Times New Roman"/>
          <w:bCs/>
          <w:szCs w:val="28"/>
          <w:lang w:val="en-US" w:eastAsia="zh-CN"/>
        </w:rPr>
        <w:t>5万人次，65岁以上老年人健康管理率达到80%，居民核心知识知晓率达到90%，提高农牧民健康知识水平效果明显，公共卫生均等化水平提高长期有效。推进基层医疗卫生机构综合改革，完善运行机制，提高公共卫生服务质量，促进公共卫生服务均衡发展。按照“分级负担、统筹使用、项目付费、专款专用、绩效考核”的原则，实行预算管理和项目管理。</w:t>
      </w:r>
      <w:bookmarkStart w:id="29" w:name="_Toc67911611"/>
      <w:bookmarkStart w:id="30" w:name="_Toc100784599"/>
    </w:p>
    <w:p>
      <w:pPr>
        <w:spacing w:line="360" w:lineRule="auto"/>
        <w:ind w:firstLine="548" w:firstLineChars="196"/>
        <w:jc w:val="both"/>
        <w:rPr>
          <w:rFonts w:hint="default" w:ascii="Times New Roman" w:hAnsi="Times New Roman" w:cs="Times New Roman"/>
          <w:bCs/>
          <w:szCs w:val="28"/>
          <w:lang w:val="en-US" w:eastAsia="zh-CN"/>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100784600"/>
      <w:bookmarkStart w:id="32" w:name="_Toc67911612"/>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lang w:val="en-US" w:eastAsia="zh-CN"/>
        </w:rPr>
        <w:t>推进基层医疗卫生机构综合改革，完善运行机制，提高公共卫生服务质量，促进公共卫生服务均衡发展。明确公共卫生服务项目补助资金的分配、拨付、核算、绩效考核及监督管理相关内容，规范和加强公共卫生服务项目补助资金的使用，提高资金使用效益，特申请此项经费支出。全年实际支付319.59万元，剩余资金结转至2023年支付。</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default" w:ascii="Times New Roman" w:hAnsi="Times New Roman" w:cs="Times New Roman"/>
          <w:kern w:val="0"/>
          <w:szCs w:val="28"/>
        </w:rPr>
        <w:t>乌财社</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2021</w:t>
      </w:r>
      <w:r>
        <w:rPr>
          <w:rFonts w:hint="eastAsia" w:ascii="Times New Roman" w:hAnsi="Times New Roman" w:cs="Times New Roman"/>
          <w:kern w:val="0"/>
          <w:szCs w:val="28"/>
          <w:lang w:eastAsia="zh-CN"/>
        </w:rPr>
        <w:t>】</w:t>
      </w:r>
      <w:r>
        <w:rPr>
          <w:rFonts w:hint="default" w:ascii="Times New Roman" w:hAnsi="Times New Roman" w:cs="Times New Roman"/>
          <w:kern w:val="0"/>
          <w:szCs w:val="28"/>
        </w:rPr>
        <w:t>363号</w:t>
      </w:r>
      <w:r>
        <w:rPr>
          <w:rFonts w:hint="eastAsia" w:ascii="Times New Roman" w:hAnsi="Times New Roman" w:cs="Times New Roman"/>
          <w:kern w:val="0"/>
          <w:szCs w:val="28"/>
          <w:lang w:val="en-US" w:eastAsia="zh-CN"/>
        </w:rPr>
        <w:t>-中央</w:t>
      </w:r>
      <w:r>
        <w:rPr>
          <w:rFonts w:hint="default" w:ascii="Times New Roman" w:hAnsi="Times New Roman" w:cs="Times New Roman"/>
          <w:kern w:val="0"/>
          <w:szCs w:val="28"/>
        </w:rPr>
        <w:t>基本公共卫生服务补助资金</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直达资金</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其中：原基本公卫资金273万元，地方病及检测经费等55.20万元</w:t>
      </w:r>
      <w:r>
        <w:rPr>
          <w:rFonts w:hint="default" w:ascii="Times New Roman" w:hAnsi="Times New Roman" w:cs="Times New Roman"/>
          <w:kern w:val="0"/>
          <w:szCs w:val="28"/>
          <w:lang w:val="en-US" w:eastAsia="zh-CN"/>
        </w:rPr>
        <w:t>。</w:t>
      </w:r>
      <w:r>
        <w:rPr>
          <w:rFonts w:hint="eastAsia" w:ascii="Times New Roman" w:hAnsi="Times New Roman" w:eastAsia="仿宋_GB2312" w:cs="Times New Roman"/>
          <w:kern w:val="2"/>
          <w:sz w:val="28"/>
          <w:szCs w:val="28"/>
          <w:lang w:val="en-US" w:eastAsia="zh-CN" w:bidi="ar-SA"/>
        </w:rPr>
        <w:t>资金直接支付到各乡镇卫生院及乌鲁木齐县人民医院。其中：乌鲁木齐县人民医院16.5万元，乌鲁木齐县妇幼保健服务中心1万元，板房沟卫生院78.48万元，永丰卫生院57.53万元，水西沟卫生院67.01万元，萨尔达坂卫生院32.68万元，托里卫生院30.4万元，甘沟卫生院44.6万元</w:t>
      </w:r>
      <w:r>
        <w:rPr>
          <w:rFonts w:hint="default" w:ascii="Times New Roman" w:hAnsi="Times New Roman" w:eastAsia="仿宋_GB2312" w:cs="Times New Roman"/>
          <w:kern w:val="2"/>
          <w:sz w:val="28"/>
          <w:szCs w:val="28"/>
          <w:lang w:val="en-US" w:eastAsia="zh-CN" w:bidi="ar-SA"/>
        </w:rPr>
        <w:t>。</w:t>
      </w:r>
      <w:r>
        <w:rPr>
          <w:rFonts w:hint="eastAsia" w:ascii="Times New Roman" w:hAnsi="Times New Roman" w:cs="Times New Roman"/>
          <w:kern w:val="0"/>
          <w:szCs w:val="28"/>
          <w:lang w:val="en-US" w:eastAsia="zh-CN"/>
        </w:rPr>
        <w:t>该项目用于开展国家基本公共卫生服务工作，该项资金为中央直达资金，依据文件精神中央分配乌鲁木齐县328.2万元，免费向城乡居民提供基本公共卫生服务，开展对重点疾病及危害因素监测。</w:t>
      </w:r>
      <w:r>
        <w:rPr>
          <w:rFonts w:hint="default" w:ascii="Times New Roman" w:hAnsi="Times New Roman" w:cs="Times New Roman"/>
          <w:kern w:val="0"/>
          <w:szCs w:val="28"/>
        </w:rPr>
        <w:t>故预算编制科学性指标得分3分。</w:t>
      </w:r>
      <w:r>
        <w:rPr>
          <w:rFonts w:hint="default" w:ascii="Times New Roman" w:hAnsi="Times New Roman" w:cs="Times New Roman"/>
          <w:bCs/>
          <w:kern w:val="0"/>
          <w:szCs w:val="28"/>
        </w:rPr>
        <w:t xml:space="preserve"> </w:t>
      </w:r>
    </w:p>
    <w:p>
      <w:pPr>
        <w:spacing w:line="360" w:lineRule="auto"/>
        <w:ind w:firstLine="562"/>
        <w:rPr>
          <w:rFonts w:hint="default" w:ascii="Times New Roman" w:hAnsi="Times New Roman" w:cs="Times New Roman"/>
          <w:kern w:val="0"/>
          <w:szCs w:val="28"/>
          <w:lang w:val="en-US" w:eastAsia="zh-C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kern w:val="0"/>
          <w:szCs w:val="28"/>
          <w:lang w:val="en-US" w:eastAsia="zh-CN"/>
        </w:rPr>
        <w:t>根据</w:t>
      </w:r>
      <w:r>
        <w:rPr>
          <w:rFonts w:hint="default" w:ascii="Times New Roman" w:hAnsi="Times New Roman" w:cs="Times New Roman"/>
          <w:kern w:val="0"/>
          <w:szCs w:val="28"/>
          <w:lang w:val="en-US" w:eastAsia="zh-CN"/>
        </w:rPr>
        <w:t>乌财社</w:t>
      </w:r>
      <w:r>
        <w:rPr>
          <w:rFonts w:hint="eastAsia" w:ascii="Times New Roman" w:hAnsi="Times New Roman" w:cs="Times New Roman"/>
          <w:kern w:val="0"/>
          <w:szCs w:val="28"/>
          <w:lang w:val="en-US" w:eastAsia="zh-CN"/>
        </w:rPr>
        <w:t>【2021】</w:t>
      </w:r>
      <w:r>
        <w:rPr>
          <w:rFonts w:hint="default" w:ascii="Times New Roman" w:hAnsi="Times New Roman" w:cs="Times New Roman"/>
          <w:kern w:val="0"/>
          <w:szCs w:val="28"/>
          <w:lang w:val="en-US" w:eastAsia="zh-CN"/>
        </w:rPr>
        <w:t>363号</w:t>
      </w:r>
      <w:r>
        <w:rPr>
          <w:rFonts w:hint="eastAsia" w:ascii="Times New Roman" w:hAnsi="Times New Roman" w:cs="Times New Roman"/>
          <w:kern w:val="0"/>
          <w:szCs w:val="28"/>
          <w:lang w:val="en-US" w:eastAsia="zh-CN"/>
        </w:rPr>
        <w:t>-中央</w:t>
      </w:r>
      <w:r>
        <w:rPr>
          <w:rFonts w:hint="default" w:ascii="Times New Roman" w:hAnsi="Times New Roman" w:cs="Times New Roman"/>
          <w:kern w:val="0"/>
          <w:szCs w:val="28"/>
          <w:lang w:val="en-US" w:eastAsia="zh-CN"/>
        </w:rPr>
        <w:t>基本公共卫生服务补助资金</w:t>
      </w:r>
      <w:r>
        <w:rPr>
          <w:rFonts w:hint="eastAsia" w:ascii="Times New Roman" w:hAnsi="Times New Roman" w:cs="Times New Roman"/>
          <w:kern w:val="0"/>
          <w:szCs w:val="28"/>
          <w:lang w:val="en-US" w:eastAsia="zh-CN"/>
        </w:rPr>
        <w:t>（直达资金）328.2万元，其中：原基本公卫资金273万元，地方病及检测经费等55.20万元</w:t>
      </w:r>
      <w:r>
        <w:rPr>
          <w:rFonts w:hint="default" w:ascii="Times New Roman" w:hAnsi="Times New Roman" w:cs="Times New Roman"/>
          <w:kern w:val="0"/>
          <w:szCs w:val="28"/>
          <w:lang w:val="en-US" w:eastAsia="zh-CN"/>
        </w:rPr>
        <w:t>。</w:t>
      </w:r>
      <w:r>
        <w:rPr>
          <w:rFonts w:hint="eastAsia" w:ascii="Times New Roman" w:hAnsi="Times New Roman" w:eastAsia="仿宋_GB2312" w:cs="Times New Roman"/>
          <w:kern w:val="2"/>
          <w:sz w:val="28"/>
          <w:szCs w:val="28"/>
          <w:lang w:val="en-US" w:eastAsia="zh-CN" w:bidi="ar-SA"/>
        </w:rPr>
        <w:t>资金直接支付到各乡镇卫生院及乌鲁木齐县人民医院。其中：乌鲁木齐县人民医院16.5万元，乌鲁木齐县妇幼保健服务中心1万元，板房沟卫生院78.48万元，永丰卫生院57.53万元，水西沟卫生院67.01万元，萨尔达坂卫生院32.68万元，托里卫生院30.4万元，甘沟卫生院44.6万元</w:t>
      </w:r>
      <w:r>
        <w:rPr>
          <w:rFonts w:hint="default" w:ascii="Times New Roman" w:hAnsi="Times New Roman" w:eastAsia="仿宋_GB2312" w:cs="Times New Roman"/>
          <w:kern w:val="2"/>
          <w:sz w:val="28"/>
          <w:szCs w:val="28"/>
          <w:lang w:val="en-US" w:eastAsia="zh-CN" w:bidi="ar-SA"/>
        </w:rPr>
        <w:t>。</w:t>
      </w:r>
      <w:r>
        <w:rPr>
          <w:rFonts w:hint="default" w:ascii="Times New Roman" w:hAnsi="Times New Roman" w:cs="Times New Roman"/>
          <w:kern w:val="0"/>
          <w:szCs w:val="28"/>
          <w:lang w:val="en-US" w:eastAsia="zh-CN"/>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67911613"/>
      <w:bookmarkStart w:id="37" w:name="_Toc100784604"/>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w:t>
      </w:r>
      <w:r>
        <w:rPr>
          <w:rFonts w:hint="default" w:ascii="Times New Roman" w:hAnsi="Times New Roman" w:cs="Times New Roman"/>
          <w:color w:val="auto"/>
          <w:szCs w:val="28"/>
        </w:rPr>
        <w:t>分</w:t>
      </w:r>
      <w:r>
        <w:rPr>
          <w:rFonts w:hint="eastAsia" w:ascii="Times New Roman" w:hAnsi="Times New Roman" w:cs="Times New Roman"/>
          <w:color w:val="auto"/>
          <w:szCs w:val="28"/>
          <w:lang w:val="en-US" w:eastAsia="zh-CN"/>
        </w:rPr>
        <w:t>19.87</w:t>
      </w:r>
      <w:r>
        <w:rPr>
          <w:rFonts w:hint="default" w:ascii="Times New Roman" w:hAnsi="Times New Roman" w:cs="Times New Roman"/>
          <w:color w:val="auto"/>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pStyle w:val="7"/>
        <w:keepNext w:val="0"/>
        <w:keepLines w:val="0"/>
        <w:pageBreakBefore w:val="0"/>
        <w:widowControl w:val="0"/>
        <w:kinsoku/>
        <w:wordWrap/>
        <w:overflowPunct/>
        <w:topLinePunct w:val="0"/>
        <w:autoSpaceDE/>
        <w:autoSpaceDN/>
        <w:bidi w:val="0"/>
        <w:adjustRightInd/>
        <w:snapToGrid/>
        <w:spacing w:line="600" w:lineRule="exact"/>
        <w:ind w:firstLine="560"/>
        <w:jc w:val="both"/>
        <w:textAlignment w:val="auto"/>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b/>
          <w:bCs/>
          <w:szCs w:val="28"/>
        </w:rPr>
        <w:t>资金到位率：</w:t>
      </w:r>
      <w:r>
        <w:rPr>
          <w:rFonts w:hint="eastAsia" w:ascii="Times New Roman" w:hAnsi="Times New Roman" w:eastAsia="仿宋_GB2312" w:cs="Times New Roman"/>
          <w:kern w:val="2"/>
          <w:sz w:val="28"/>
          <w:szCs w:val="28"/>
          <w:lang w:val="en-US" w:eastAsia="zh-CN" w:bidi="ar-SA"/>
        </w:rPr>
        <w:t>该项目为中央直达资金，2022年</w:t>
      </w:r>
      <w:r>
        <w:rPr>
          <w:rFonts w:hint="eastAsia" w:ascii="Times New Roman" w:hAnsi="Times New Roman" w:cs="Times New Roman"/>
          <w:kern w:val="2"/>
          <w:sz w:val="28"/>
          <w:szCs w:val="28"/>
          <w:lang w:val="en-US" w:eastAsia="zh-CN" w:bidi="ar-SA"/>
        </w:rPr>
        <w:t>1月中央补助</w:t>
      </w:r>
      <w:r>
        <w:rPr>
          <w:rFonts w:hint="eastAsia" w:ascii="Times New Roman" w:hAnsi="Times New Roman" w:eastAsia="仿宋_GB2312" w:cs="Times New Roman"/>
          <w:kern w:val="2"/>
          <w:sz w:val="28"/>
          <w:szCs w:val="28"/>
          <w:lang w:val="en-US" w:eastAsia="zh-CN" w:bidi="ar-SA"/>
        </w:rPr>
        <w:t>328.2万元</w:t>
      </w:r>
      <w:r>
        <w:rPr>
          <w:rFonts w:hint="eastAsia" w:ascii="Times New Roman" w:hAnsi="Times New Roman" w:cs="Times New Roman"/>
          <w:kern w:val="2"/>
          <w:sz w:val="28"/>
          <w:szCs w:val="28"/>
          <w:lang w:val="en-US" w:eastAsia="zh-CN" w:bidi="ar-SA"/>
        </w:rPr>
        <w:t>已全部到位</w:t>
      </w:r>
      <w:r>
        <w:rPr>
          <w:rFonts w:hint="eastAsia" w:ascii="Times New Roman" w:hAnsi="Times New Roman" w:eastAsia="仿宋_GB2312" w:cs="Times New Roman"/>
          <w:kern w:val="2"/>
          <w:sz w:val="28"/>
          <w:szCs w:val="28"/>
          <w:lang w:val="en-US" w:eastAsia="zh-CN" w:bidi="ar-SA"/>
        </w:rPr>
        <w:t>，资金直接支付到各乡镇卫生院及乌鲁木齐县人民医院。其中：乌鲁木齐县人民医院16.5万元，乌鲁木齐县妇幼保健服务中心1万元，板房沟卫生院78.48万元，永丰卫生院57.53万元，水西沟卫生院67.01万元，萨尔达坂卫生院32.68万元，托里卫生院30.4万元，甘沟卫生院44.6万元</w:t>
      </w:r>
      <w:r>
        <w:rPr>
          <w:rFonts w:hint="default" w:ascii="Times New Roman" w:hAnsi="Times New Roman" w:eastAsia="仿宋_GB2312" w:cs="Times New Roman"/>
          <w:kern w:val="2"/>
          <w:sz w:val="28"/>
          <w:szCs w:val="28"/>
          <w:lang w:val="en-US" w:eastAsia="zh-CN" w:bidi="ar-SA"/>
        </w:rPr>
        <w:t>。故资金到位率指标得分</w:t>
      </w:r>
      <w:r>
        <w:rPr>
          <w:rFonts w:hint="eastAsia" w:ascii="Times New Roman" w:hAnsi="Times New Roman" w:eastAsia="仿宋_GB2312" w:cs="Times New Roman"/>
          <w:kern w:val="2"/>
          <w:sz w:val="28"/>
          <w:szCs w:val="28"/>
          <w:lang w:val="en-US" w:eastAsia="zh-CN" w:bidi="ar-SA"/>
        </w:rPr>
        <w:t>5</w:t>
      </w:r>
      <w:r>
        <w:rPr>
          <w:rFonts w:hint="default" w:ascii="Times New Roman" w:hAnsi="Times New Roman" w:eastAsia="仿宋_GB2312" w:cs="Times New Roman"/>
          <w:kern w:val="2"/>
          <w:sz w:val="28"/>
          <w:szCs w:val="28"/>
          <w:lang w:val="en-US" w:eastAsia="zh-CN" w:bidi="ar-SA"/>
        </w:rPr>
        <w:t>分。</w:t>
      </w:r>
    </w:p>
    <w:p>
      <w:pPr>
        <w:spacing w:line="360" w:lineRule="auto"/>
        <w:ind w:firstLine="562"/>
        <w:rPr>
          <w:rFonts w:hint="default" w:ascii="Times New Roman" w:hAnsi="Times New Roman" w:cs="Times New Roman"/>
          <w:b/>
          <w:bCs/>
          <w:szCs w:val="28"/>
        </w:rPr>
      </w:pPr>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预算执行率：</w:t>
      </w:r>
      <w:r>
        <w:rPr>
          <w:rFonts w:hint="eastAsia" w:ascii="Times New Roman" w:hAnsi="Times New Roman" w:eastAsia="仿宋_GB2312" w:cs="Times New Roman"/>
          <w:kern w:val="0"/>
          <w:sz w:val="28"/>
          <w:szCs w:val="28"/>
          <w:lang w:val="en-US" w:eastAsia="zh-CN" w:bidi="ar-SA"/>
        </w:rPr>
        <w:t>该项目年初预算328.2万元，全年实际支付319.59万元，执行率为97.3</w:t>
      </w:r>
      <w:r>
        <w:rPr>
          <w:rFonts w:hint="eastAsia" w:ascii="Times New Roman" w:hAnsi="Times New Roman" w:cs="Times New Roman"/>
          <w:kern w:val="0"/>
          <w:sz w:val="28"/>
          <w:szCs w:val="28"/>
          <w:lang w:val="en-US" w:eastAsia="zh-CN" w:bidi="ar-SA"/>
        </w:rPr>
        <w:t>8</w:t>
      </w:r>
      <w:r>
        <w:rPr>
          <w:rFonts w:hint="eastAsia" w:ascii="Times New Roman" w:hAnsi="Times New Roman" w:eastAsia="仿宋_GB2312" w:cs="Times New Roman"/>
          <w:kern w:val="0"/>
          <w:sz w:val="28"/>
          <w:szCs w:val="28"/>
          <w:lang w:val="en-US" w:eastAsia="zh-CN" w:bidi="ar-SA"/>
        </w:rPr>
        <w:t>%。</w:t>
      </w:r>
      <w:r>
        <w:rPr>
          <w:rFonts w:hint="eastAsia" w:ascii="Times New Roman" w:hAnsi="Times New Roman" w:cs="Times New Roman"/>
          <w:kern w:val="0"/>
          <w:sz w:val="28"/>
          <w:szCs w:val="28"/>
          <w:lang w:val="en-US" w:eastAsia="zh-CN" w:bidi="ar-SA"/>
        </w:rPr>
        <w:t>该项目资金拨付至</w:t>
      </w:r>
      <w:r>
        <w:rPr>
          <w:rFonts w:hint="eastAsia" w:ascii="Times New Roman" w:hAnsi="Times New Roman" w:eastAsia="仿宋_GB2312" w:cs="Times New Roman"/>
          <w:kern w:val="2"/>
          <w:sz w:val="28"/>
          <w:szCs w:val="28"/>
          <w:lang w:val="en-US" w:eastAsia="zh-CN" w:bidi="ar-SA"/>
        </w:rPr>
        <w:t>乌鲁木齐县人民医院16.5万元，乌鲁木齐县妇幼保健服务中心1万元，板房沟卫生院78.48万元，永丰卫生院57.53万元，水西沟卫生院67.01万元，萨尔达坂卫生院32.68万元，托里卫生院30.4万元，甘沟卫生院44.6万元</w:t>
      </w:r>
      <w:r>
        <w:rPr>
          <w:rFonts w:hint="default" w:ascii="Times New Roman" w:hAnsi="Times New Roman" w:eastAsia="仿宋_GB2312" w:cs="Times New Roman"/>
          <w:kern w:val="2"/>
          <w:sz w:val="28"/>
          <w:szCs w:val="28"/>
          <w:lang w:val="en-US" w:eastAsia="zh-CN" w:bidi="ar-SA"/>
        </w:rPr>
        <w:t>。</w:t>
      </w:r>
      <w:r>
        <w:rPr>
          <w:rFonts w:hint="eastAsia" w:ascii="Times New Roman" w:hAnsi="Times New Roman" w:eastAsia="仿宋_GB2312" w:cs="Times New Roman"/>
          <w:kern w:val="0"/>
          <w:sz w:val="28"/>
          <w:szCs w:val="28"/>
          <w:lang w:val="en-US" w:eastAsia="zh-CN" w:bidi="ar-SA"/>
        </w:rPr>
        <w:t>剩余资金结转至2023年支付。</w:t>
      </w:r>
      <w:r>
        <w:rPr>
          <w:rFonts w:hint="default" w:ascii="Times New Roman" w:hAnsi="Times New Roman" w:eastAsia="仿宋_GB2312" w:cs="Times New Roman"/>
          <w:kern w:val="0"/>
          <w:sz w:val="28"/>
          <w:szCs w:val="28"/>
          <w:lang w:val="en-US" w:eastAsia="zh-CN" w:bidi="ar-SA"/>
        </w:rPr>
        <w:t>故预算执行率得分为</w:t>
      </w:r>
      <w:r>
        <w:rPr>
          <w:rFonts w:hint="eastAsia" w:ascii="Times New Roman" w:hAnsi="Times New Roman" w:cs="Times New Roman"/>
          <w:kern w:val="0"/>
          <w:sz w:val="28"/>
          <w:szCs w:val="28"/>
          <w:lang w:val="en-US" w:eastAsia="zh-CN" w:bidi="ar-SA"/>
        </w:rPr>
        <w:t>4.87</w:t>
      </w:r>
      <w:r>
        <w:rPr>
          <w:rFonts w:hint="default" w:ascii="Times New Roman" w:hAnsi="Times New Roman" w:eastAsia="仿宋_GB2312" w:cs="Times New Roman"/>
          <w:kern w:val="0"/>
          <w:sz w:val="28"/>
          <w:szCs w:val="28"/>
          <w:lang w:val="en-US" w:eastAsia="zh-CN" w:bidi="ar-SA"/>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12.87</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乌鲁木齐县卫生健康委员会</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乌鲁木齐县卫生健康委员会</w:t>
      </w:r>
      <w:r>
        <w:rPr>
          <w:rFonts w:hint="default" w:ascii="Times New Roman" w:hAnsi="Times New Roman" w:cs="Times New Roman"/>
          <w:szCs w:val="28"/>
        </w:rPr>
        <w:t>严格遵守相关法律法规和相关管理规定，项目调整及支出调整手续完备，整体管理合理有序，项目完成后，</w:t>
      </w:r>
      <w:r>
        <w:rPr>
          <w:rFonts w:hint="eastAsia" w:ascii="Times New Roman" w:hAnsi="Times New Roman" w:cs="Times New Roman"/>
          <w:szCs w:val="28"/>
          <w:lang w:val="en-US" w:eastAsia="zh-CN"/>
        </w:rPr>
        <w:t>上级拨款文件及补助资金分配表</w:t>
      </w:r>
      <w:r>
        <w:rPr>
          <w:rFonts w:hint="default" w:ascii="Times New Roman" w:hAnsi="Times New Roman" w:cs="Times New Roman"/>
          <w:szCs w:val="28"/>
        </w:rPr>
        <w:t>及时将会计凭证、</w:t>
      </w:r>
      <w:r>
        <w:rPr>
          <w:rFonts w:hint="eastAsia" w:ascii="Times New Roman" w:hAnsi="Times New Roman" w:cs="Times New Roman"/>
          <w:szCs w:val="28"/>
          <w:lang w:val="en-US" w:eastAsia="zh-CN"/>
        </w:rPr>
        <w:t>上级拨款文件</w:t>
      </w:r>
      <w:r>
        <w:rPr>
          <w:rFonts w:hint="default" w:ascii="Times New Roman" w:hAnsi="Times New Roman" w:cs="Times New Roman"/>
          <w:szCs w:val="28"/>
        </w:rPr>
        <w:t>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100784607"/>
      <w:bookmarkStart w:id="42" w:name="_Toc67911614"/>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30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30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cs="Times New Roman"/>
          <w:bCs/>
          <w:szCs w:val="28"/>
          <w:lang w:eastAsia="zh-CN"/>
        </w:rPr>
      </w:pPr>
      <w:r>
        <w:rPr>
          <w:rFonts w:hint="default"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评价指标</w:t>
      </w:r>
      <w:r>
        <w:rPr>
          <w:rFonts w:hint="eastAsia" w:ascii="仿宋" w:hAnsi="仿宋" w:eastAsia="仿宋" w:cs="仿宋"/>
          <w:bCs/>
          <w:szCs w:val="28"/>
        </w:rPr>
        <w:t>“适龄人群国家免疫规划疫苗接种次数”</w:t>
      </w:r>
      <w:r>
        <w:rPr>
          <w:rFonts w:hint="default" w:ascii="Times New Roman" w:hAnsi="Times New Roman" w:cs="Times New Roman"/>
          <w:bCs/>
          <w:szCs w:val="28"/>
        </w:rPr>
        <w:t>的目标值是5</w:t>
      </w:r>
      <w:r>
        <w:rPr>
          <w:rFonts w:hint="eastAsia" w:ascii="Times New Roman" w:hAnsi="Times New Roman" w:cs="Times New Roman"/>
          <w:bCs/>
          <w:szCs w:val="28"/>
          <w:lang w:val="en-US" w:eastAsia="zh-CN"/>
        </w:rPr>
        <w:t>万次</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值5万次</w:t>
      </w:r>
      <w:r>
        <w:rPr>
          <w:rFonts w:hint="eastAsia" w:ascii="Times New Roman" w:hAnsi="Times New Roman" w:cs="Times New Roman"/>
          <w:bCs/>
          <w:szCs w:val="28"/>
          <w:lang w:eastAsia="zh-CN"/>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b/>
          <w:bCs/>
          <w:szCs w:val="28"/>
        </w:rPr>
        <w:t>实际完成率：</w:t>
      </w:r>
      <w:r>
        <w:rPr>
          <w:rFonts w:hint="default" w:ascii="Times New Roman" w:hAnsi="Times New Roman" w:cs="Times New Roman"/>
          <w:b/>
          <w:bCs/>
          <w:szCs w:val="28"/>
          <w:lang w:val="en-US" w:eastAsia="zh-CN"/>
        </w:rPr>
        <w:t>100%，</w:t>
      </w:r>
      <w:r>
        <w:rPr>
          <w:rFonts w:hint="default" w:ascii="Times New Roman" w:hAnsi="Times New Roman" w:cs="Times New Roman"/>
          <w:b/>
          <w:bCs/>
          <w:szCs w:val="28"/>
        </w:rPr>
        <w:t>故实际完成率得分为</w:t>
      </w:r>
      <w:r>
        <w:rPr>
          <w:rFonts w:hint="default" w:ascii="Times New Roman" w:hAnsi="Times New Roman" w:cs="Times New Roman"/>
          <w:b/>
          <w:bCs/>
          <w:szCs w:val="28"/>
          <w:lang w:val="en-US" w:eastAsia="zh-CN"/>
        </w:rPr>
        <w:t>5</w:t>
      </w:r>
      <w:r>
        <w:rPr>
          <w:rFonts w:hint="default" w:ascii="Times New Roman" w:hAnsi="Times New Roman" w:cs="Times New Roman"/>
          <w:b/>
          <w:bCs/>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2"/>
        <w:rPr>
          <w:rFonts w:hint="eastAsia" w:ascii="Times New Roman" w:hAnsi="Times New Roman" w:cs="Times New Roman"/>
          <w:bCs/>
          <w:color w:val="auto"/>
          <w:szCs w:val="28"/>
          <w:highlight w:val="none"/>
          <w:lang w:val="en-US" w:eastAsia="zh-CN"/>
        </w:rPr>
      </w:pPr>
      <w:r>
        <w:rPr>
          <w:rFonts w:hint="eastAsia" w:ascii="Times New Roman" w:hAnsi="Times New Roman" w:cs="Times New Roman"/>
          <w:bCs/>
          <w:szCs w:val="28"/>
          <w:highlight w:val="none"/>
          <w:lang w:val="en-US" w:eastAsia="zh-CN"/>
        </w:rPr>
        <w:t>质量指标：评级指标“</w:t>
      </w:r>
      <w:r>
        <w:rPr>
          <w:rFonts w:hint="default" w:ascii="Times New Roman" w:hAnsi="Times New Roman" w:cs="Times New Roman"/>
          <w:bCs/>
          <w:szCs w:val="28"/>
          <w:highlight w:val="none"/>
        </w:rPr>
        <w:t>65岁以上老年人健康管理率</w:t>
      </w:r>
      <w:r>
        <w:rPr>
          <w:rFonts w:hint="eastAsia" w:ascii="Times New Roman" w:hAnsi="Times New Roman" w:cs="Times New Roman"/>
          <w:bCs/>
          <w:szCs w:val="28"/>
          <w:highlight w:val="none"/>
          <w:lang w:val="en-US" w:eastAsia="zh-CN"/>
        </w:rPr>
        <w:t>”的目标值80%。</w:t>
      </w:r>
      <w:r>
        <w:rPr>
          <w:rFonts w:hint="eastAsia" w:ascii="Times New Roman" w:hAnsi="Times New Roman" w:eastAsia="仿宋_GB2312" w:cs="Times New Roman"/>
          <w:bCs/>
          <w:i w:val="0"/>
          <w:iCs w:val="0"/>
          <w:caps w:val="0"/>
          <w:spacing w:val="0"/>
          <w:sz w:val="28"/>
          <w:szCs w:val="28"/>
          <w:highlight w:val="none"/>
          <w:shd w:val="clear"/>
        </w:rPr>
        <w:t>积极发挥城乡社区基层医疗卫生机构为老年人提供优质规范中医药服务的作用，推进社区和居家中医药健康服务，促进优质中医药资源向社区、家庭延伸</w:t>
      </w:r>
      <w:r>
        <w:rPr>
          <w:rFonts w:hint="eastAsia" w:ascii="Times New Roman" w:hAnsi="Times New Roman" w:cs="Times New Roman"/>
          <w:bCs/>
          <w:i w:val="0"/>
          <w:iCs w:val="0"/>
          <w:caps w:val="0"/>
          <w:spacing w:val="0"/>
          <w:sz w:val="28"/>
          <w:szCs w:val="28"/>
          <w:highlight w:val="none"/>
          <w:shd w:val="clear"/>
          <w:lang w:eastAsia="zh-CN"/>
        </w:rPr>
        <w:t>。</w:t>
      </w:r>
    </w:p>
    <w:p>
      <w:pPr>
        <w:spacing w:line="360" w:lineRule="auto"/>
        <w:ind w:firstLine="562"/>
        <w:rPr>
          <w:rFonts w:hint="default" w:ascii="Times New Roman" w:hAnsi="Times New Roman" w:eastAsia="仿宋_GB2312" w:cs="Times New Roman"/>
          <w:color w:val="auto"/>
          <w:szCs w:val="28"/>
          <w:highlight w:val="none"/>
          <w:lang w:val="en-US" w:eastAsia="zh-CN"/>
        </w:rPr>
      </w:pPr>
      <w:r>
        <w:rPr>
          <w:rFonts w:hint="eastAsia" w:ascii="Times New Roman" w:hAnsi="Times New Roman" w:cs="Times New Roman"/>
          <w:bCs/>
          <w:color w:val="auto"/>
          <w:szCs w:val="28"/>
          <w:highlight w:val="none"/>
          <w:lang w:val="en-US" w:eastAsia="zh-CN"/>
        </w:rPr>
        <w:t>评级指标“</w:t>
      </w:r>
      <w:r>
        <w:rPr>
          <w:rFonts w:hint="default" w:ascii="Times New Roman" w:hAnsi="Times New Roman" w:cs="Times New Roman"/>
          <w:bCs/>
          <w:color w:val="auto"/>
          <w:szCs w:val="28"/>
          <w:highlight w:val="none"/>
        </w:rPr>
        <w:t>居民</w:t>
      </w:r>
      <w:r>
        <w:rPr>
          <w:rFonts w:hint="default" w:ascii="Times New Roman" w:hAnsi="Times New Roman" w:cs="Times New Roman"/>
          <w:color w:val="auto"/>
          <w:szCs w:val="28"/>
          <w:highlight w:val="none"/>
        </w:rPr>
        <w:t>核心知识知晓率</w:t>
      </w:r>
      <w:r>
        <w:rPr>
          <w:rFonts w:hint="eastAsia" w:ascii="Times New Roman" w:hAnsi="Times New Roman" w:cs="Times New Roman"/>
          <w:bCs/>
          <w:color w:val="auto"/>
          <w:szCs w:val="28"/>
          <w:highlight w:val="none"/>
          <w:lang w:val="en-US" w:eastAsia="zh-CN"/>
        </w:rPr>
        <w:t>”的目标值</w:t>
      </w:r>
      <w:r>
        <w:rPr>
          <w:rFonts w:hint="eastAsia" w:ascii="Times New Roman" w:hAnsi="Times New Roman" w:cs="Times New Roman"/>
          <w:color w:val="auto"/>
          <w:szCs w:val="28"/>
          <w:highlight w:val="none"/>
          <w:lang w:val="en-US" w:eastAsia="zh-CN"/>
        </w:rPr>
        <w:t>90%，县域内居民人数5万人</w:t>
      </w:r>
      <w:r>
        <w:rPr>
          <w:rFonts w:hint="eastAsia" w:ascii="Times New Roman" w:hAnsi="Times New Roman" w:cs="Times New Roman"/>
          <w:bCs/>
          <w:color w:val="auto"/>
          <w:szCs w:val="28"/>
          <w:highlight w:val="none"/>
          <w:lang w:val="en-US" w:eastAsia="zh-CN"/>
        </w:rPr>
        <w:t>，普及知识人数5万人，居民核心知识知晓率超过90%。</w:t>
      </w:r>
      <w:r>
        <w:rPr>
          <w:rFonts w:hint="eastAsia" w:ascii="Times New Roman" w:hAnsi="Times New Roman" w:eastAsia="仿宋_GB2312" w:cs="Times New Roman"/>
          <w:bCs/>
          <w:i w:val="0"/>
          <w:iCs w:val="0"/>
          <w:caps w:val="0"/>
          <w:spacing w:val="0"/>
          <w:sz w:val="28"/>
          <w:szCs w:val="28"/>
          <w:highlight w:val="none"/>
          <w:shd w:val="clear"/>
        </w:rPr>
        <w:t>积极开展中医药膳食疗科普等活动，推广中医传统运动项目，加强中医药健康养生养老文化宣传。</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质量达标率</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100%，</w:t>
      </w:r>
      <w:r>
        <w:rPr>
          <w:rFonts w:hint="default" w:ascii="Times New Roman" w:hAnsi="Times New Roman" w:cs="Times New Roman"/>
          <w:szCs w:val="28"/>
        </w:rPr>
        <w:t>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0"/>
        <w:rPr>
          <w:rFonts w:hint="default" w:ascii="Times New Roman" w:hAnsi="Times New Roman" w:cs="Times New Roman"/>
          <w:szCs w:val="28"/>
        </w:rPr>
      </w:pPr>
      <w:r>
        <w:rPr>
          <w:rFonts w:hint="eastAsia" w:ascii="Times New Roman" w:hAnsi="Times New Roman" w:cs="Times New Roman"/>
          <w:bCs/>
          <w:szCs w:val="28"/>
          <w:highlight w:val="none"/>
          <w:lang w:val="en-US" w:eastAsia="zh-CN"/>
        </w:rPr>
        <w:t>时效指标：评级指标“</w:t>
      </w:r>
      <w:r>
        <w:rPr>
          <w:rFonts w:hint="default" w:ascii="Times New Roman" w:hAnsi="Times New Roman" w:cs="Times New Roman"/>
          <w:bCs/>
          <w:szCs w:val="28"/>
          <w:highlight w:val="none"/>
        </w:rPr>
        <w:t>资金申领及时性</w:t>
      </w:r>
      <w:r>
        <w:rPr>
          <w:rFonts w:hint="eastAsia" w:ascii="Times New Roman" w:hAnsi="Times New Roman" w:cs="Times New Roman"/>
          <w:bCs/>
          <w:szCs w:val="28"/>
          <w:highlight w:val="none"/>
          <w:lang w:val="en-US" w:eastAsia="zh-CN"/>
        </w:rPr>
        <w:t>”</w:t>
      </w:r>
      <w:r>
        <w:rPr>
          <w:rFonts w:hint="eastAsia" w:ascii="Times New Roman" w:hAnsi="Times New Roman" w:cs="Times New Roman"/>
          <w:bCs/>
          <w:szCs w:val="28"/>
          <w:highlight w:val="none"/>
          <w:lang w:eastAsia="zh-CN"/>
        </w:rPr>
        <w:t>：</w:t>
      </w:r>
      <w:r>
        <w:rPr>
          <w:rFonts w:hint="eastAsia" w:ascii="Times New Roman" w:hAnsi="Times New Roman" w:cs="Times New Roman"/>
          <w:bCs/>
          <w:szCs w:val="28"/>
          <w:highlight w:val="none"/>
          <w:lang w:val="en-US" w:eastAsia="zh-CN"/>
        </w:rPr>
        <w:t>2022年1</w:t>
      </w:r>
      <w:r>
        <w:rPr>
          <w:rFonts w:hint="eastAsia" w:ascii="Times New Roman" w:hAnsi="Times New Roman" w:cs="Times New Roman"/>
          <w:bCs/>
          <w:szCs w:val="28"/>
          <w:lang w:val="en-US" w:eastAsia="zh-CN"/>
        </w:rPr>
        <w:t>月中央基本公卫补助资金下达，同月统一由乌鲁木齐县卫生健康委员会分配至县人民医院及各乡镇卫生院。</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spacing w:line="360" w:lineRule="auto"/>
        <w:ind w:firstLine="560"/>
        <w:rPr>
          <w:rFonts w:hint="default" w:ascii="Times New Roman" w:hAnsi="Times New Roman" w:cs="Times New Roman"/>
          <w:bCs/>
          <w:szCs w:val="28"/>
          <w:highlight w:val="none"/>
          <w:lang w:val="en-US" w:eastAsia="zh-CN"/>
        </w:rPr>
      </w:pPr>
      <w:r>
        <w:rPr>
          <w:rFonts w:hint="eastAsia" w:ascii="Times New Roman" w:hAnsi="Times New Roman" w:cs="Times New Roman"/>
          <w:bCs/>
          <w:szCs w:val="28"/>
          <w:highlight w:val="none"/>
          <w:lang w:val="en-US" w:eastAsia="zh-CN"/>
        </w:rPr>
        <w:t>成本指标：评级指标“</w:t>
      </w:r>
      <w:r>
        <w:rPr>
          <w:rFonts w:hint="default" w:ascii="Times New Roman" w:hAnsi="Times New Roman" w:eastAsia="仿宋_GB2312" w:cs="Times New Roman"/>
          <w:bCs/>
          <w:kern w:val="2"/>
          <w:sz w:val="28"/>
          <w:szCs w:val="28"/>
          <w:highlight w:val="none"/>
          <w:lang w:val="en-US" w:eastAsia="zh-CN" w:bidi="ar-SA"/>
        </w:rPr>
        <w:t>原基本公卫资金</w:t>
      </w:r>
      <w:r>
        <w:rPr>
          <w:rFonts w:hint="eastAsia" w:ascii="Times New Roman" w:hAnsi="Times New Roman" w:cs="Times New Roman"/>
          <w:bCs/>
          <w:szCs w:val="28"/>
          <w:highlight w:val="none"/>
          <w:lang w:val="en-US" w:eastAsia="zh-CN"/>
        </w:rPr>
        <w:t>”的目标值</w:t>
      </w:r>
      <w:r>
        <w:rPr>
          <w:rFonts w:hint="eastAsia" w:ascii="Times New Roman" w:hAnsi="Times New Roman" w:cs="Times New Roman"/>
          <w:bCs/>
          <w:kern w:val="2"/>
          <w:sz w:val="28"/>
          <w:szCs w:val="28"/>
          <w:highlight w:val="none"/>
          <w:lang w:val="en-US" w:eastAsia="zh-CN" w:bidi="ar-SA"/>
        </w:rPr>
        <w:t>273万元，实际完成值273万元；</w:t>
      </w:r>
    </w:p>
    <w:p>
      <w:pPr>
        <w:spacing w:line="360" w:lineRule="auto"/>
        <w:ind w:firstLine="560"/>
        <w:rPr>
          <w:rFonts w:hint="eastAsia" w:ascii="Times New Roman" w:hAnsi="Times New Roman" w:cs="Times New Roman"/>
          <w:b/>
          <w:bCs/>
          <w:kern w:val="2"/>
          <w:sz w:val="28"/>
          <w:szCs w:val="28"/>
          <w:highlight w:val="none"/>
          <w:lang w:val="en-US" w:eastAsia="zh-CN" w:bidi="ar-SA"/>
        </w:rPr>
      </w:pPr>
      <w:r>
        <w:rPr>
          <w:rFonts w:hint="eastAsia" w:ascii="Times New Roman" w:hAnsi="Times New Roman" w:cs="Times New Roman"/>
          <w:bCs/>
          <w:szCs w:val="28"/>
          <w:highlight w:val="none"/>
          <w:lang w:val="en-US" w:eastAsia="zh-CN"/>
        </w:rPr>
        <w:t>评级指标“</w:t>
      </w:r>
      <w:r>
        <w:rPr>
          <w:rFonts w:hint="eastAsia" w:ascii="Times New Roman" w:hAnsi="Times New Roman" w:cs="Times New Roman"/>
          <w:bCs/>
          <w:kern w:val="2"/>
          <w:sz w:val="28"/>
          <w:szCs w:val="28"/>
          <w:highlight w:val="none"/>
          <w:lang w:val="en-US" w:eastAsia="zh-CN" w:bidi="ar-SA"/>
        </w:rPr>
        <w:t>地方病及检测经费等</w:t>
      </w:r>
      <w:r>
        <w:rPr>
          <w:rFonts w:hint="eastAsia" w:ascii="Times New Roman" w:hAnsi="Times New Roman" w:cs="Times New Roman"/>
          <w:bCs/>
          <w:szCs w:val="28"/>
          <w:highlight w:val="none"/>
          <w:lang w:val="en-US" w:eastAsia="zh-CN"/>
        </w:rPr>
        <w:t>”的目标值</w:t>
      </w:r>
      <w:r>
        <w:rPr>
          <w:rFonts w:hint="eastAsia" w:ascii="Times New Roman" w:hAnsi="Times New Roman" w:cs="Times New Roman"/>
          <w:bCs/>
          <w:kern w:val="2"/>
          <w:sz w:val="28"/>
          <w:szCs w:val="28"/>
          <w:highlight w:val="none"/>
          <w:lang w:val="en-US" w:eastAsia="zh-CN" w:bidi="ar-SA"/>
        </w:rPr>
        <w:t>55.2万元，实际完成值46.59万元；</w:t>
      </w:r>
    </w:p>
    <w:p>
      <w:pPr>
        <w:pStyle w:val="7"/>
        <w:spacing w:line="360" w:lineRule="auto"/>
        <w:ind w:firstLine="560"/>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成本节约</w:t>
      </w:r>
      <w:r>
        <w:rPr>
          <w:rFonts w:hint="default" w:ascii="Times New Roman" w:hAnsi="Times New Roman" w:cs="Times New Roman"/>
          <w:b w:val="0"/>
          <w:bCs w:val="0"/>
          <w:szCs w:val="28"/>
          <w:highlight w:val="none"/>
        </w:rPr>
        <w:t>率：</w:t>
      </w:r>
      <w:r>
        <w:rPr>
          <w:rFonts w:hint="eastAsia" w:ascii="Times New Roman" w:hAnsi="Times New Roman" w:cs="Times New Roman"/>
          <w:b w:val="0"/>
          <w:bCs w:val="0"/>
          <w:szCs w:val="28"/>
          <w:highlight w:val="none"/>
          <w:lang w:val="en-US" w:eastAsia="zh-CN"/>
        </w:rPr>
        <w:t>项目总成本为328.2万元，</w:t>
      </w:r>
      <w:r>
        <w:rPr>
          <w:rFonts w:hint="eastAsia" w:ascii="Times New Roman" w:hAnsi="Times New Roman" w:eastAsia="仿宋_GB2312" w:cs="Times New Roman"/>
          <w:bCs/>
          <w:kern w:val="2"/>
          <w:sz w:val="28"/>
          <w:szCs w:val="28"/>
          <w:highlight w:val="none"/>
          <w:lang w:val="en-US" w:eastAsia="zh-CN" w:bidi="ar-SA"/>
        </w:rPr>
        <w:t>本项目实际支出319.59万元，无超支情况</w:t>
      </w:r>
      <w:r>
        <w:rPr>
          <w:rFonts w:hint="eastAsia" w:ascii="Times New Roman" w:hAnsi="Times New Roman" w:cs="Times New Roman"/>
          <w:bCs/>
          <w:kern w:val="2"/>
          <w:sz w:val="28"/>
          <w:szCs w:val="28"/>
          <w:highlight w:val="none"/>
          <w:lang w:val="en-US" w:eastAsia="zh-CN" w:bidi="ar-SA"/>
        </w:rPr>
        <w:t>，偏差原因：受2022年8-12月疫情影响，年底补助资金未全额支付，结余资金将在2023年继续支付</w:t>
      </w:r>
      <w:r>
        <w:rPr>
          <w:rFonts w:hint="eastAsia" w:ascii="Times New Roman" w:hAnsi="Times New Roman" w:eastAsia="仿宋_GB2312" w:cs="Times New Roman"/>
          <w:bCs/>
          <w:kern w:val="2"/>
          <w:sz w:val="28"/>
          <w:szCs w:val="28"/>
          <w:highlight w:val="none"/>
          <w:lang w:val="en-US" w:eastAsia="zh-CN" w:bidi="ar-SA"/>
        </w:rPr>
        <w:t>。</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30</w:t>
      </w:r>
      <w:r>
        <w:rPr>
          <w:rFonts w:hint="default" w:ascii="Times New Roman" w:hAnsi="Times New Roman" w:cs="Times New Roman"/>
          <w:b/>
          <w:kern w:val="0"/>
          <w:szCs w:val="28"/>
        </w:rPr>
        <w:t>分，得分</w:t>
      </w:r>
      <w:r>
        <w:rPr>
          <w:rFonts w:hint="eastAsia" w:ascii="Times New Roman" w:hAnsi="Times New Roman" w:cs="Times New Roman"/>
          <w:szCs w:val="28"/>
          <w:lang w:val="en-US" w:eastAsia="zh-CN"/>
        </w:rPr>
        <w:t>30</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项目效益指标由1个二级指标和2个三级指标构成，权重为</w:t>
      </w:r>
      <w:r>
        <w:rPr>
          <w:rFonts w:hint="eastAsia" w:ascii="Times New Roman" w:hAnsi="Times New Roman" w:cs="Times New Roman"/>
          <w:szCs w:val="28"/>
          <w:lang w:val="en-US" w:eastAsia="zh-CN"/>
        </w:rPr>
        <w:t>20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 xml:space="preserve">分。 </w:t>
      </w:r>
    </w:p>
    <w:p>
      <w:pPr>
        <w:pStyle w:val="6"/>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w:t>
      </w:r>
      <w:r>
        <w:rPr>
          <w:rFonts w:hint="eastAsia" w:ascii="仿宋" w:hAnsi="仿宋" w:eastAsia="仿宋" w:cs="仿宋"/>
          <w:szCs w:val="28"/>
        </w:rPr>
        <w:t>“提高农牧民健康知识水平”</w:t>
      </w:r>
      <w:r>
        <w:rPr>
          <w:rFonts w:hint="default" w:ascii="Times New Roman" w:hAnsi="Times New Roman" w:cs="Times New Roman"/>
          <w:szCs w:val="28"/>
        </w:rPr>
        <w:t>，指标值：效果明显，实际完成值：完全达到预期效果。本项目的实施</w:t>
      </w:r>
      <w:r>
        <w:rPr>
          <w:rFonts w:hint="default" w:ascii="Times New Roman" w:hAnsi="Times New Roman" w:cs="Times New Roman"/>
          <w:szCs w:val="28"/>
          <w:lang w:val="en-US" w:eastAsia="zh-CN"/>
        </w:rPr>
        <w:t>推进基层医疗卫生机构综合改革，完善运行机制，提高公共卫生服务质量，促进公共卫生服务均衡发展。</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w:t>
      </w:r>
      <w:r>
        <w:rPr>
          <w:rFonts w:hint="eastAsia" w:ascii="仿宋" w:hAnsi="仿宋" w:eastAsia="仿宋" w:cs="仿宋"/>
          <w:szCs w:val="28"/>
        </w:rPr>
        <w:t>“公共卫生均等化水平提高”</w:t>
      </w:r>
      <w:r>
        <w:rPr>
          <w:rFonts w:hint="default" w:ascii="Times New Roman" w:hAnsi="Times New Roman" w:cs="Times New Roman"/>
          <w:szCs w:val="28"/>
        </w:rPr>
        <w:t>，指标值：长期，实际完成值：完全达到预期效果。推进基层医疗卫生机构综合改革，完善运行机制，提高公共卫生服务质量，促进公共卫生服务均衡发展。按照</w:t>
      </w:r>
      <w:r>
        <w:rPr>
          <w:rFonts w:hint="eastAsia" w:ascii="仿宋" w:hAnsi="仿宋" w:eastAsia="仿宋" w:cs="仿宋"/>
          <w:szCs w:val="28"/>
        </w:rPr>
        <w:t>“分级负担、统筹使用、项目付费、专款专用、绩效考核”</w:t>
      </w:r>
      <w:r>
        <w:rPr>
          <w:rFonts w:hint="default" w:ascii="Times New Roman" w:hAnsi="Times New Roman" w:cs="Times New Roman"/>
          <w:szCs w:val="28"/>
        </w:rPr>
        <w:t>的原则，实行预算管理和项目管理。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w:t>
      </w:r>
    </w:p>
    <w:p>
      <w:pPr>
        <w:pStyle w:val="6"/>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w:t>
      </w:r>
      <w:r>
        <w:rPr>
          <w:rFonts w:hint="eastAsia" w:ascii="仿宋" w:hAnsi="仿宋" w:eastAsia="仿宋" w:cs="仿宋"/>
          <w:szCs w:val="28"/>
        </w:rPr>
        <w:t>“受益农牧民满意度”</w:t>
      </w:r>
      <w:r>
        <w:rPr>
          <w:rFonts w:hint="default" w:ascii="Times New Roman" w:hAnsi="Times New Roman" w:cs="Times New Roman"/>
          <w:szCs w:val="28"/>
        </w:rPr>
        <w:t>，指标值：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20</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18</w:t>
      </w:r>
      <w:r>
        <w:rPr>
          <w:rFonts w:hint="default" w:ascii="Times New Roman" w:hAnsi="Times New Roman" w:cs="Times New Roman"/>
          <w:szCs w:val="28"/>
        </w:rPr>
        <w:t>份。其中，统计</w:t>
      </w:r>
      <w:r>
        <w:rPr>
          <w:rFonts w:hint="eastAsia" w:ascii="仿宋" w:hAnsi="仿宋" w:eastAsia="仿宋" w:cs="仿宋"/>
          <w:szCs w:val="28"/>
        </w:rPr>
        <w:t>“</w:t>
      </w:r>
      <w:r>
        <w:rPr>
          <w:rFonts w:hint="eastAsia" w:ascii="仿宋" w:hAnsi="仿宋" w:eastAsia="仿宋" w:cs="仿宋"/>
          <w:szCs w:val="28"/>
          <w:lang w:val="en-US" w:eastAsia="zh-CN"/>
        </w:rPr>
        <w:t>全民健康体检满意度</w:t>
      </w:r>
      <w:r>
        <w:rPr>
          <w:rFonts w:hint="eastAsia" w:ascii="仿宋" w:hAnsi="仿宋" w:eastAsia="仿宋" w:cs="仿宋"/>
          <w:szCs w:val="28"/>
        </w:rPr>
        <w:t>”</w:t>
      </w:r>
      <w:r>
        <w:rPr>
          <w:rFonts w:hint="default" w:ascii="Times New Roman" w:hAnsi="Times New Roman" w:cs="Times New Roman"/>
          <w:szCs w:val="28"/>
        </w:rPr>
        <w:t>的平均值为</w:t>
      </w:r>
      <w:r>
        <w:rPr>
          <w:rFonts w:hint="eastAsia" w:ascii="Times New Roman" w:hAnsi="Times New Roman" w:cs="Times New Roman"/>
          <w:szCs w:val="28"/>
          <w:lang w:val="en-US" w:eastAsia="zh-CN"/>
        </w:rPr>
        <w:t>满意</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综上，该指标满分10分，得分</w:t>
      </w:r>
      <w:r>
        <w:rPr>
          <w:rFonts w:hint="eastAsia" w:ascii="Times New Roman" w:hAnsi="Times New Roman" w:cs="Times New Roman"/>
          <w:b/>
          <w:kern w:val="0"/>
          <w:szCs w:val="28"/>
          <w:lang w:val="en-US" w:eastAsia="zh-CN"/>
        </w:rPr>
        <w:t>10</w:t>
      </w:r>
      <w:r>
        <w:rPr>
          <w:rFonts w:hint="default" w:ascii="Times New Roman" w:hAnsi="Times New Roman" w:cs="Times New Roman"/>
          <w:b/>
          <w:kern w:val="0"/>
          <w:szCs w:val="28"/>
        </w:rPr>
        <w:t>分。</w:t>
      </w:r>
    </w:p>
    <w:p>
      <w:pPr>
        <w:pStyle w:val="2"/>
        <w:rPr>
          <w:rFonts w:hint="default"/>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100784615"/>
      <w:bookmarkStart w:id="52" w:name="_Toc67911616"/>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97.37</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98</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0.63</w:t>
      </w:r>
      <w:r>
        <w:rPr>
          <w:rFonts w:hint="default" w:ascii="Times New Roman" w:hAnsi="Times New Roman" w:cs="Times New Roman"/>
          <w:szCs w:val="28"/>
        </w:rPr>
        <w:t>%，小于20%</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形成偏差原因：由于2022年疫情原因，导致资金未全额支付，结余资金将在2023年继续支付</w:t>
      </w:r>
      <w:r>
        <w:rPr>
          <w:rFonts w:hint="default" w:ascii="Times New Roman" w:hAnsi="Times New Roman" w:cs="Times New Roman"/>
          <w:szCs w:val="28"/>
        </w:rPr>
        <w:t>。因此，本项目较好地完成了年度总体目标，财政资金使用效益和效率较高。</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100784616"/>
      <w:bookmarkStart w:id="54" w:name="_Toc67911617"/>
      <w:r>
        <w:rPr>
          <w:rFonts w:hint="default" w:ascii="Times New Roman" w:hAnsi="Times New Roman" w:eastAsia="仿宋" w:cs="Times New Roman"/>
          <w:sz w:val="36"/>
          <w:szCs w:val="36"/>
          <w:lang w:bidi="en-US"/>
        </w:rPr>
        <w:t>六、主要经验及做法、存在的问题及原因分析</w:t>
      </w:r>
      <w:bookmarkEnd w:id="53"/>
      <w:bookmarkEnd w:id="5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100784617"/>
      <w:bookmarkStart w:id="56" w:name="_Toc67911618"/>
      <w:r>
        <w:rPr>
          <w:rFonts w:hint="default" w:ascii="Times New Roman" w:hAnsi="Times New Roman" w:eastAsia="仿宋" w:cs="Times New Roman"/>
          <w:sz w:val="32"/>
          <w:szCs w:val="32"/>
          <w:lang w:bidi="en-US"/>
        </w:rPr>
        <w:t>（一）主要经验及做法</w:t>
      </w:r>
      <w:bookmarkEnd w:id="55"/>
      <w:bookmarkEnd w:id="56"/>
    </w:p>
    <w:p>
      <w:pPr>
        <w:pageBreakBefore w:val="0"/>
        <w:kinsoku/>
        <w:wordWrap/>
        <w:overflowPunct/>
        <w:topLinePunct w:val="0"/>
        <w:autoSpaceDE/>
        <w:autoSpaceDN/>
        <w:bidi w:val="0"/>
        <w:adjustRightInd/>
        <w:snapToGrid/>
        <w:spacing w:line="360" w:lineRule="auto"/>
        <w:ind w:firstLine="560" w:firstLineChars="0"/>
        <w:textAlignment w:val="auto"/>
        <w:rPr>
          <w:rFonts w:hint="default" w:ascii="Times New Roman" w:hAnsi="Times New Roman" w:eastAsia="仿宋_GB2312" w:cs="Times New Roman"/>
          <w:b w:val="0"/>
          <w:spacing w:val="0"/>
          <w:sz w:val="28"/>
          <w:szCs w:val="28"/>
        </w:rPr>
      </w:pPr>
      <w:r>
        <w:rPr>
          <w:rFonts w:hint="default" w:ascii="Times New Roman" w:hAnsi="Times New Roman" w:eastAsia="仿宋_GB2312" w:cs="Times New Roman"/>
          <w:szCs w:val="28"/>
          <w:lang w:val="en-US" w:eastAsia="zh-CN"/>
        </w:rPr>
        <w:t>1.</w:t>
      </w:r>
      <w:r>
        <w:rPr>
          <w:rFonts w:hint="default" w:ascii="Times New Roman" w:hAnsi="Times New Roman" w:eastAsia="仿宋_GB2312" w:cs="Times New Roman"/>
          <w:b w:val="0"/>
          <w:spacing w:val="0"/>
          <w:sz w:val="28"/>
          <w:szCs w:val="28"/>
        </w:rPr>
        <w:t>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p>
    <w:p>
      <w:pPr>
        <w:spacing w:line="360" w:lineRule="auto"/>
        <w:ind w:firstLine="560" w:firstLineChars="0"/>
        <w:rPr>
          <w:rFonts w:hint="default" w:ascii="Times New Roman" w:hAnsi="Times New Roman" w:cs="Times New Roman"/>
          <w:szCs w:val="28"/>
        </w:rPr>
      </w:pPr>
      <w:r>
        <w:rPr>
          <w:rFonts w:hint="default" w:ascii="Times New Roman" w:hAnsi="Times New Roman" w:eastAsia="仿宋_GB2312" w:cs="Times New Roman"/>
          <w:b w:val="0"/>
          <w:spacing w:val="0"/>
          <w:sz w:val="28"/>
          <w:szCs w:val="28"/>
          <w:lang w:val="en-US" w:eastAsia="zh-CN"/>
        </w:rPr>
        <w:t>2.</w:t>
      </w:r>
      <w:r>
        <w:rPr>
          <w:rFonts w:hint="default" w:ascii="Times New Roman" w:hAnsi="Times New Roman" w:eastAsia="仿宋_GB2312" w:cs="Times New Roman"/>
          <w:b w:val="0"/>
          <w:spacing w:val="0"/>
          <w:sz w:val="28"/>
          <w:szCs w:val="28"/>
        </w:rPr>
        <w:t>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7" w:name="_Toc100784618"/>
      <w:r>
        <w:rPr>
          <w:rFonts w:hint="default" w:ascii="Times New Roman" w:hAnsi="Times New Roman" w:eastAsia="仿宋" w:cs="Times New Roman"/>
          <w:sz w:val="32"/>
          <w:szCs w:val="32"/>
          <w:lang w:bidi="en-US"/>
        </w:rPr>
        <w:t>（二）存在的问题及原因分析</w:t>
      </w:r>
      <w:bookmarkEnd w:id="57"/>
    </w:p>
    <w:p>
      <w:pPr>
        <w:pageBreakBefore w:val="0"/>
        <w:kinsoku/>
        <w:wordWrap/>
        <w:overflowPunct/>
        <w:topLinePunct w:val="0"/>
        <w:autoSpaceDE/>
        <w:autoSpaceDN/>
        <w:bidi w:val="0"/>
        <w:adjustRightInd/>
        <w:snapToGrid/>
        <w:spacing w:line="360" w:lineRule="auto"/>
        <w:ind w:firstLine="560" w:firstLineChars="0"/>
        <w:textAlignment w:val="auto"/>
        <w:rPr>
          <w:rFonts w:hint="default" w:ascii="Times New Roman" w:hAnsi="Times New Roman" w:eastAsia="仿宋_GB2312" w:cs="Times New Roman"/>
          <w:b w:val="0"/>
          <w:bCs w:val="0"/>
          <w:spacing w:val="0"/>
          <w:sz w:val="28"/>
          <w:szCs w:val="28"/>
        </w:rPr>
      </w:pPr>
      <w:r>
        <w:rPr>
          <w:rFonts w:hint="default" w:ascii="Times New Roman" w:hAnsi="Times New Roman" w:eastAsia="仿宋_GB2312" w:cs="Times New Roman"/>
          <w:b w:val="0"/>
          <w:spacing w:val="0"/>
          <w:sz w:val="28"/>
          <w:szCs w:val="28"/>
          <w:lang w:val="en-US" w:eastAsia="zh-CN"/>
        </w:rPr>
        <w:t>1.</w:t>
      </w:r>
      <w:r>
        <w:rPr>
          <w:rFonts w:hint="default" w:ascii="Times New Roman" w:hAnsi="Times New Roman" w:eastAsia="仿宋_GB2312" w:cs="Times New Roman"/>
          <w:b w:val="0"/>
          <w:spacing w:val="0"/>
          <w:sz w:val="28"/>
          <w:szCs w:val="28"/>
        </w:rPr>
        <w:t>部门职能不明确，个别工作分工不清晰，且人员培训和绩效考核制度不够完善，考核方案部分内容和人员名单更新滞后</w:t>
      </w:r>
      <w:r>
        <w:rPr>
          <w:rFonts w:hint="default" w:ascii="Times New Roman" w:hAnsi="Times New Roman" w:eastAsia="仿宋_GB2312" w:cs="Times New Roman"/>
          <w:b w:val="0"/>
          <w:spacing w:val="0"/>
          <w:sz w:val="28"/>
          <w:szCs w:val="28"/>
          <w:lang w:eastAsia="zh-CN"/>
        </w:rPr>
        <w:t>。</w:t>
      </w:r>
      <w:r>
        <w:rPr>
          <w:rFonts w:hint="default" w:ascii="Times New Roman" w:hAnsi="Times New Roman" w:eastAsia="仿宋_GB2312" w:cs="Times New Roman"/>
          <w:b w:val="0"/>
          <w:spacing w:val="0"/>
          <w:sz w:val="28"/>
          <w:szCs w:val="28"/>
        </w:rPr>
        <w:t xml:space="preserve">  </w:t>
      </w:r>
    </w:p>
    <w:p>
      <w:pPr>
        <w:pageBreakBefore w:val="0"/>
        <w:kinsoku/>
        <w:wordWrap/>
        <w:overflowPunct/>
        <w:topLinePunct w:val="0"/>
        <w:autoSpaceDE/>
        <w:autoSpaceDN/>
        <w:bidi w:val="0"/>
        <w:adjustRightInd/>
        <w:snapToGrid/>
        <w:spacing w:line="360" w:lineRule="auto"/>
        <w:ind w:firstLine="560" w:firstLineChars="0"/>
        <w:textAlignment w:val="auto"/>
        <w:rPr>
          <w:rFonts w:hint="default" w:ascii="Times New Roman" w:hAnsi="Times New Roman" w:eastAsia="仿宋_GB2312" w:cs="Times New Roman"/>
          <w:b w:val="0"/>
          <w:bCs w:val="0"/>
          <w:spacing w:val="0"/>
          <w:sz w:val="28"/>
          <w:szCs w:val="28"/>
        </w:rPr>
      </w:pPr>
      <w:r>
        <w:rPr>
          <w:rFonts w:hint="default" w:ascii="Times New Roman" w:hAnsi="Times New Roman" w:eastAsia="仿宋_GB2312" w:cs="Times New Roman"/>
          <w:b w:val="0"/>
          <w:spacing w:val="0"/>
          <w:sz w:val="28"/>
          <w:szCs w:val="28"/>
          <w:lang w:val="en-US" w:eastAsia="zh-CN"/>
        </w:rPr>
        <w:t>2.</w:t>
      </w:r>
      <w:r>
        <w:rPr>
          <w:rFonts w:hint="default" w:ascii="Times New Roman" w:hAnsi="Times New Roman" w:eastAsia="仿宋_GB2312" w:cs="Times New Roman"/>
          <w:b w:val="0"/>
          <w:spacing w:val="0"/>
          <w:sz w:val="28"/>
          <w:szCs w:val="28"/>
        </w:rPr>
        <w:t>预算编制科学性的问题。首先预算编制之合理性相对不足，主要表现在预算调整数较大，年度目标与长期规划衔接的紧密程度需要增强。</w:t>
      </w:r>
    </w:p>
    <w:p>
      <w:pPr>
        <w:pageBreakBefore w:val="0"/>
        <w:kinsoku/>
        <w:wordWrap/>
        <w:overflowPunct/>
        <w:topLinePunct w:val="0"/>
        <w:autoSpaceDE/>
        <w:autoSpaceDN/>
        <w:bidi w:val="0"/>
        <w:adjustRightInd/>
        <w:snapToGrid/>
        <w:spacing w:line="360" w:lineRule="auto"/>
        <w:ind w:firstLine="560" w:firstLineChars="0"/>
        <w:textAlignment w:val="auto"/>
        <w:rPr>
          <w:rStyle w:val="16"/>
          <w:rFonts w:hint="default" w:ascii="Times New Roman" w:hAnsi="Times New Roman" w:eastAsia="仿宋" w:cs="Times New Roman"/>
          <w:b w:val="0"/>
          <w:spacing w:val="-4"/>
          <w:sz w:val="32"/>
          <w:szCs w:val="32"/>
        </w:rPr>
      </w:pPr>
      <w:r>
        <w:rPr>
          <w:rFonts w:hint="default" w:ascii="Times New Roman" w:hAnsi="Times New Roman" w:eastAsia="仿宋_GB2312" w:cs="Times New Roman"/>
          <w:b w:val="0"/>
          <w:spacing w:val="0"/>
          <w:sz w:val="28"/>
          <w:szCs w:val="28"/>
          <w:lang w:val="en-US" w:eastAsia="zh-CN"/>
        </w:rPr>
        <w:t>3.</w:t>
      </w:r>
      <w:r>
        <w:rPr>
          <w:rFonts w:hint="default" w:ascii="Times New Roman" w:hAnsi="Times New Roman" w:eastAsia="仿宋_GB2312" w:cs="Times New Roman"/>
          <w:b w:val="0"/>
          <w:spacing w:val="0"/>
          <w:sz w:val="28"/>
          <w:szCs w:val="28"/>
        </w:rPr>
        <w:t>部门整体绩效指标应该是反映职责履行的核心指标，而不是反映具体工作内容或产出的指标。应根据部门</w:t>
      </w:r>
      <w:r>
        <w:rPr>
          <w:rFonts w:hint="eastAsia" w:ascii="仿宋" w:hAnsi="仿宋" w:eastAsia="仿宋" w:cs="仿宋"/>
          <w:b w:val="0"/>
          <w:spacing w:val="0"/>
          <w:sz w:val="28"/>
          <w:szCs w:val="28"/>
        </w:rPr>
        <w:t>“三定”</w:t>
      </w:r>
      <w:r>
        <w:rPr>
          <w:rFonts w:hint="default" w:ascii="Times New Roman" w:hAnsi="Times New Roman" w:eastAsia="仿宋_GB2312" w:cs="Times New Roman"/>
          <w:b w:val="0"/>
          <w:spacing w:val="0"/>
          <w:sz w:val="28"/>
          <w:szCs w:val="28"/>
        </w:rPr>
        <w:t>方案确定的主要职能，参考事业发展规划的相关核心指标，综合考核要求等，确定部门履职绩效指标。</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8" w:name="_Toc100784619"/>
      <w:bookmarkStart w:id="59" w:name="_Toc67911619"/>
      <w:bookmarkStart w:id="62" w:name="_GoBack"/>
      <w:bookmarkEnd w:id="62"/>
      <w:r>
        <w:rPr>
          <w:rFonts w:hint="default" w:ascii="Times New Roman" w:hAnsi="Times New Roman" w:eastAsia="仿宋" w:cs="Times New Roman"/>
          <w:sz w:val="36"/>
          <w:szCs w:val="36"/>
          <w:lang w:bidi="en-US"/>
        </w:rPr>
        <w:t>七、其他需要说明的问题</w:t>
      </w:r>
      <w:bookmarkEnd w:id="58"/>
      <w:bookmarkEnd w:id="59"/>
    </w:p>
    <w:p>
      <w:pPr>
        <w:pageBreakBefore w:val="0"/>
        <w:kinsoku/>
        <w:wordWrap/>
        <w:overflowPunct/>
        <w:topLinePunct w:val="0"/>
        <w:autoSpaceDE/>
        <w:autoSpaceDN/>
        <w:bidi w:val="0"/>
        <w:adjustRightInd/>
        <w:snapToGrid/>
        <w:spacing w:line="360" w:lineRule="auto"/>
        <w:ind w:firstLine="560" w:firstLineChars="0"/>
        <w:textAlignment w:val="auto"/>
        <w:rPr>
          <w:rFonts w:hint="eastAsia" w:ascii="Times New Roman" w:hAnsi="Times New Roman" w:eastAsia="仿宋_GB2312" w:cs="Times New Roman"/>
          <w:b w:val="0"/>
          <w:spacing w:val="0"/>
          <w:sz w:val="28"/>
          <w:szCs w:val="28"/>
          <w:lang w:val="en-US" w:eastAsia="zh-CN"/>
        </w:rPr>
      </w:pPr>
      <w:r>
        <w:rPr>
          <w:rFonts w:hint="default" w:ascii="Times New Roman" w:hAnsi="Times New Roman" w:eastAsia="仿宋_GB2312" w:cs="Times New Roman"/>
          <w:b w:val="0"/>
          <w:spacing w:val="0"/>
          <w:sz w:val="28"/>
          <w:szCs w:val="28"/>
          <w:lang w:val="en-US" w:eastAsia="zh-CN"/>
        </w:rPr>
        <w:t>1.项目支出政策和路径设计科学，符合实际需要</w:t>
      </w:r>
      <w:r>
        <w:rPr>
          <w:rFonts w:hint="eastAsia" w:ascii="Times New Roman" w:hAnsi="Times New Roman" w:eastAsia="仿宋_GB2312" w:cs="Times New Roman"/>
          <w:b w:val="0"/>
          <w:spacing w:val="0"/>
          <w:sz w:val="28"/>
          <w:szCs w:val="28"/>
          <w:lang w:val="en-US" w:eastAsia="zh-CN"/>
        </w:rPr>
        <w:t>；</w:t>
      </w:r>
    </w:p>
    <w:p>
      <w:pPr>
        <w:pageBreakBefore w:val="0"/>
        <w:kinsoku/>
        <w:wordWrap/>
        <w:overflowPunct/>
        <w:topLinePunct w:val="0"/>
        <w:autoSpaceDE/>
        <w:autoSpaceDN/>
        <w:bidi w:val="0"/>
        <w:adjustRightInd/>
        <w:snapToGrid/>
        <w:spacing w:line="360" w:lineRule="auto"/>
        <w:ind w:firstLine="560" w:firstLineChars="0"/>
        <w:textAlignment w:val="auto"/>
        <w:rPr>
          <w:rFonts w:hint="eastAsia" w:ascii="Times New Roman" w:hAnsi="Times New Roman" w:eastAsia="仿宋_GB2312" w:cs="Times New Roman"/>
          <w:b w:val="0"/>
          <w:spacing w:val="0"/>
          <w:sz w:val="28"/>
          <w:szCs w:val="28"/>
          <w:lang w:val="en-US" w:eastAsia="zh-CN"/>
        </w:rPr>
      </w:pPr>
      <w:r>
        <w:rPr>
          <w:rFonts w:hint="default" w:ascii="Times New Roman" w:hAnsi="Times New Roman" w:eastAsia="仿宋_GB2312" w:cs="Times New Roman"/>
          <w:b w:val="0"/>
          <w:spacing w:val="0"/>
          <w:sz w:val="28"/>
          <w:szCs w:val="28"/>
          <w:lang w:val="en-US" w:eastAsia="zh-CN"/>
        </w:rPr>
        <w:t>2.项目安排准确，未发现背离项目立项初衷的情况</w:t>
      </w:r>
      <w:r>
        <w:rPr>
          <w:rFonts w:hint="eastAsia" w:ascii="Times New Roman" w:hAnsi="Times New Roman" w:eastAsia="仿宋_GB2312" w:cs="Times New Roman"/>
          <w:b w:val="0"/>
          <w:spacing w:val="0"/>
          <w:sz w:val="28"/>
          <w:szCs w:val="28"/>
          <w:lang w:val="en-US" w:eastAsia="zh-CN"/>
        </w:rPr>
        <w:t>；</w:t>
      </w:r>
    </w:p>
    <w:p>
      <w:pPr>
        <w:pageBreakBefore w:val="0"/>
        <w:kinsoku/>
        <w:wordWrap/>
        <w:overflowPunct/>
        <w:topLinePunct w:val="0"/>
        <w:autoSpaceDE/>
        <w:autoSpaceDN/>
        <w:bidi w:val="0"/>
        <w:adjustRightInd/>
        <w:snapToGrid/>
        <w:spacing w:line="360" w:lineRule="auto"/>
        <w:ind w:firstLine="560" w:firstLineChars="0"/>
        <w:textAlignment w:val="auto"/>
        <w:rPr>
          <w:rFonts w:hint="eastAsia" w:ascii="Times New Roman" w:hAnsi="Times New Roman" w:eastAsia="仿宋_GB2312" w:cs="Times New Roman"/>
          <w:b w:val="0"/>
          <w:spacing w:val="0"/>
          <w:sz w:val="28"/>
          <w:szCs w:val="28"/>
          <w:lang w:val="en-US" w:eastAsia="zh-CN"/>
        </w:rPr>
      </w:pPr>
      <w:r>
        <w:rPr>
          <w:rFonts w:hint="default" w:ascii="Times New Roman" w:hAnsi="Times New Roman" w:eastAsia="仿宋_GB2312" w:cs="Times New Roman"/>
          <w:b w:val="0"/>
          <w:spacing w:val="0"/>
          <w:sz w:val="28"/>
          <w:szCs w:val="28"/>
          <w:lang w:val="en-US" w:eastAsia="zh-CN"/>
        </w:rPr>
        <w:t>3.项目的申报、审核机制完善</w:t>
      </w:r>
      <w:r>
        <w:rPr>
          <w:rFonts w:hint="eastAsia" w:ascii="Times New Roman" w:hAnsi="Times New Roman" w:eastAsia="仿宋_GB2312" w:cs="Times New Roman"/>
          <w:b w:val="0"/>
          <w:spacing w:val="0"/>
          <w:sz w:val="28"/>
          <w:szCs w:val="28"/>
          <w:lang w:val="en-US" w:eastAsia="zh-CN"/>
        </w:rPr>
        <w:t>；</w:t>
      </w:r>
    </w:p>
    <w:p>
      <w:pPr>
        <w:pageBreakBefore w:val="0"/>
        <w:kinsoku/>
        <w:wordWrap/>
        <w:overflowPunct/>
        <w:topLinePunct w:val="0"/>
        <w:autoSpaceDE/>
        <w:autoSpaceDN/>
        <w:bidi w:val="0"/>
        <w:adjustRightInd/>
        <w:snapToGrid/>
        <w:spacing w:line="360" w:lineRule="auto"/>
        <w:ind w:firstLine="560" w:firstLineChars="0"/>
        <w:textAlignment w:val="auto"/>
        <w:rPr>
          <w:rFonts w:hint="eastAsia" w:ascii="Times New Roman" w:hAnsi="Times New Roman" w:eastAsia="仿宋_GB2312" w:cs="Times New Roman"/>
          <w:b w:val="0"/>
          <w:spacing w:val="0"/>
          <w:sz w:val="28"/>
          <w:szCs w:val="28"/>
          <w:lang w:val="en-US" w:eastAsia="zh-CN"/>
        </w:rPr>
      </w:pPr>
      <w:r>
        <w:rPr>
          <w:rFonts w:hint="default" w:ascii="Times New Roman" w:hAnsi="Times New Roman" w:eastAsia="仿宋_GB2312" w:cs="Times New Roman"/>
          <w:b w:val="0"/>
          <w:spacing w:val="0"/>
          <w:sz w:val="28"/>
          <w:szCs w:val="28"/>
          <w:lang w:val="en-US" w:eastAsia="zh-CN"/>
        </w:rPr>
        <w:t>4.未发现虚假行为和骗取财政资金的问题</w:t>
      </w:r>
      <w:r>
        <w:rPr>
          <w:rFonts w:hint="eastAsia" w:ascii="Times New Roman" w:hAnsi="Times New Roman" w:eastAsia="仿宋_GB2312" w:cs="Times New Roman"/>
          <w:b w:val="0"/>
          <w:spacing w:val="0"/>
          <w:sz w:val="28"/>
          <w:szCs w:val="28"/>
          <w:lang w:val="en-US" w:eastAsia="zh-CN"/>
        </w:rPr>
        <w:t>。</w:t>
      </w:r>
    </w:p>
    <w:p>
      <w:pPr>
        <w:pStyle w:val="5"/>
        <w:pageBreakBefore w:val="0"/>
        <w:widowControl w:val="0"/>
        <w:kinsoku/>
        <w:wordWrap/>
        <w:overflowPunct/>
        <w:topLinePunct w:val="0"/>
        <w:autoSpaceDE/>
        <w:autoSpaceDN/>
        <w:bidi w:val="0"/>
        <w:adjustRightInd/>
        <w:snapToGrid/>
        <w:spacing w:before="192" w:beforeLines="50" w:after="192" w:afterLines="50"/>
        <w:ind w:firstLine="0" w:firstLineChars="0"/>
        <w:jc w:val="left"/>
        <w:textAlignment w:val="auto"/>
        <w:rPr>
          <w:rFonts w:hint="default" w:ascii="Times New Roman" w:hAnsi="Times New Roman" w:eastAsia="仿宋" w:cs="Times New Roman"/>
          <w:sz w:val="36"/>
          <w:szCs w:val="36"/>
          <w:lang w:bidi="en-US"/>
        </w:rPr>
      </w:pPr>
      <w:bookmarkStart w:id="60" w:name="_Toc100784620"/>
      <w:bookmarkStart w:id="61" w:name="_Toc67911620"/>
      <w:r>
        <w:rPr>
          <w:rFonts w:hint="default" w:ascii="Times New Roman" w:hAnsi="Times New Roman" w:eastAsia="仿宋" w:cs="Times New Roman"/>
          <w:sz w:val="36"/>
          <w:szCs w:val="36"/>
          <w:lang w:bidi="en-US"/>
        </w:rPr>
        <w:t>八、有关建议</w:t>
      </w:r>
      <w:bookmarkEnd w:id="60"/>
      <w:bookmarkEnd w:id="61"/>
    </w:p>
    <w:p>
      <w:pPr>
        <w:pageBreakBefore w:val="0"/>
        <w:widowControl w:val="0"/>
        <w:kinsoku/>
        <w:wordWrap/>
        <w:overflowPunct/>
        <w:topLinePunct w:val="0"/>
        <w:autoSpaceDE/>
        <w:autoSpaceDN/>
        <w:bidi w:val="0"/>
        <w:adjustRightInd/>
        <w:snapToGrid/>
        <w:spacing w:before="192" w:beforeLines="50" w:after="192" w:afterLines="50" w:line="360" w:lineRule="auto"/>
        <w:ind w:firstLine="560" w:firstLineChars="0"/>
        <w:textAlignment w:val="auto"/>
        <w:rPr>
          <w:rFonts w:hint="default" w:ascii="Times New Roman" w:hAnsi="Times New Roman" w:eastAsia="仿宋_GB2312" w:cs="Times New Roman"/>
          <w:b w:val="0"/>
          <w:spacing w:val="0"/>
          <w:sz w:val="28"/>
          <w:szCs w:val="28"/>
        </w:rPr>
      </w:pPr>
      <w:r>
        <w:rPr>
          <w:rFonts w:hint="default" w:ascii="Times New Roman" w:hAnsi="Times New Roman" w:eastAsia="仿宋_GB2312" w:cs="Times New Roman"/>
          <w:b w:val="0"/>
          <w:spacing w:val="0"/>
          <w:sz w:val="28"/>
          <w:szCs w:val="28"/>
        </w:rPr>
        <w:t>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p>
    <w:p>
      <w:pPr>
        <w:spacing w:line="360" w:lineRule="auto"/>
        <w:ind w:firstLine="560"/>
        <w:rPr>
          <w:rFonts w:hint="default" w:ascii="Times New Roman" w:hAnsi="Times New Roman" w:cs="Times New Roman"/>
          <w:szCs w:val="28"/>
        </w:rPr>
      </w:pPr>
    </w:p>
    <w:p/>
    <w:sectPr>
      <w:headerReference r:id="rId11" w:type="default"/>
      <w:footerReference r:id="rId12"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18"/>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18"/>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ind w:firstLine="0" w:firstLineChars="0"/>
      <w:jc w:val="right"/>
      <w:rPr>
        <w:sz w:val="24"/>
        <w:szCs w:val="24"/>
      </w:rPr>
    </w:pPr>
    <w:r>
      <w:rPr>
        <w:rFonts w:hint="default"/>
        <w:sz w:val="24"/>
        <w:szCs w:val="24"/>
      </w:rPr>
      <w:t>财政项目支出绩效评价报告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ind w:firstLine="0" w:firstLineChars="0"/>
      <w:jc w:val="right"/>
    </w:pPr>
    <w:r>
      <w:rPr>
        <w:rFonts w:hint="default"/>
        <w:sz w:val="24"/>
        <w:szCs w:val="24"/>
      </w:rPr>
      <w:t>财政项目支出绩效评价报告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hint="eastAsia" w:ascii="仿宋_GB2312" w:eastAsia="仿宋_GB2312"/>
        <w:sz w:val="21"/>
        <w:szCs w:val="21"/>
        <w:lang w:eastAsia="zh-CN"/>
      </w:rPr>
    </w:pPr>
    <w:r>
      <w:rPr>
        <w:rFonts w:hint="eastAsia" w:ascii="仿宋_GB2312" w:eastAsia="仿宋_GB2312"/>
        <w:sz w:val="21"/>
        <w:szCs w:val="21"/>
        <w:lang w:eastAsia="zh-CN"/>
      </w:rPr>
      <w:t>财政项目支出绩效评价报告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5ZTZiZjRhMzMyOTFmZDY3Zjg0ZTQyM2RjZGM3ZGYifQ=="/>
  </w:docVars>
  <w:rsids>
    <w:rsidRoot w:val="4DE96B1C"/>
    <w:rsid w:val="233C11EA"/>
    <w:rsid w:val="2A2C0A23"/>
    <w:rsid w:val="3DD2550D"/>
    <w:rsid w:val="4DE96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heading 1"/>
    <w:basedOn w:val="1"/>
    <w:next w:val="1"/>
    <w:qFormat/>
    <w:uiPriority w:val="9"/>
    <w:pPr>
      <w:keepNext/>
      <w:keepLines/>
      <w:spacing w:before="340" w:after="330" w:line="578" w:lineRule="auto"/>
      <w:outlineLvl w:val="0"/>
    </w:pPr>
    <w:rPr>
      <w:b/>
      <w:bCs/>
      <w:kern w:val="44"/>
      <w:sz w:val="44"/>
      <w:szCs w:val="44"/>
    </w:rPr>
  </w:style>
  <w:style w:type="paragraph" w:styleId="6">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iPriority w:val="0"/>
  </w:style>
  <w:style w:type="table" w:default="1" w:styleId="14">
    <w:name w:val="Normal Table"/>
    <w:semiHidden/>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0"/>
    <w:pPr>
      <w:spacing w:before="100" w:beforeLines="0" w:beforeAutospacing="1" w:afterLines="0"/>
      <w:ind w:left="0" w:firstLine="420" w:firstLineChars="200"/>
    </w:pPr>
    <w:rPr>
      <w:rFonts w:hint="default" w:ascii="Tahoma" w:hAnsi="Tahoma"/>
      <w:sz w:val="22"/>
    </w:rPr>
  </w:style>
  <w:style w:type="paragraph" w:styleId="3">
    <w:name w:val="Body Text Indent"/>
    <w:basedOn w:val="1"/>
    <w:next w:val="4"/>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4">
    <w:name w:val="Char Char Char"/>
    <w:basedOn w:val="1"/>
    <w:qFormat/>
    <w:uiPriority w:val="0"/>
  </w:style>
  <w:style w:type="paragraph" w:styleId="7">
    <w:name w:val="annotation text"/>
    <w:basedOn w:val="1"/>
    <w:unhideWhenUsed/>
    <w:qFormat/>
    <w:uiPriority w:val="99"/>
    <w:pPr>
      <w:jc w:val="left"/>
    </w:pPr>
  </w:style>
  <w:style w:type="paragraph" w:styleId="8">
    <w:name w:val="toc 3"/>
    <w:basedOn w:val="1"/>
    <w:next w:val="1"/>
    <w:unhideWhenUsed/>
    <w:qFormat/>
    <w:uiPriority w:val="39"/>
    <w:pPr>
      <w:ind w:left="840" w:leftChars="400"/>
    </w:pPr>
  </w:style>
  <w:style w:type="paragraph" w:styleId="9">
    <w:name w:val="footer"/>
    <w:basedOn w:val="1"/>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character" w:styleId="16">
    <w:name w:val="Strong"/>
    <w:qFormat/>
    <w:uiPriority w:val="0"/>
    <w:rPr>
      <w:b/>
      <w:b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styleId="18">
    <w:name w:val="footnote reference"/>
    <w:basedOn w:val="15"/>
    <w:semiHidden/>
    <w:unhideWhenUsed/>
    <w:qFormat/>
    <w:uiPriority w:val="99"/>
    <w:rPr>
      <w:vertAlign w:val="superscript"/>
    </w:rPr>
  </w:style>
  <w:style w:type="paragraph" w:customStyle="1" w:styleId="19">
    <w:name w:val="TOC Heading"/>
    <w:basedOn w:val="5"/>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10377</Words>
  <Characters>10973</Characters>
  <Lines>0</Lines>
  <Paragraphs>0</Paragraphs>
  <TotalTime>4</TotalTime>
  <ScaleCrop>false</ScaleCrop>
  <LinksUpToDate>false</LinksUpToDate>
  <CharactersWithSpaces>11111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2023-05-23T03:32:00Z</dcterms:created>
  <dc:creator>g</dc:creator>
  <cp:lastModifiedBy>？！</cp:lastModifiedBy>
  <dcterms:modified xsi:type="dcterms:W3CDTF">2023-09-24T15:58:25Z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A507136C15AB45149CE8C4B2375A8AD8_13</vt:lpwstr>
  </property>
</Properties>
</file>