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项目名称：村级医务室及医保信息平台光纤费</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乌鲁木齐县医疗保障局</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县医疗保障局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default" w:ascii="Times New Roman" w:hAnsi="Times New Roman" w:cs="Times New Roman"/>
              <w:b/>
              <w:bCs/>
              <w:color w:val="auto"/>
            </w:rPr>
          </w:pPr>
          <w:r>
            <w:rPr>
              <w:rFonts w:hint="default" w:ascii="Times New Roman" w:hAnsi="Times New Roman" w:cs="Times New Roman"/>
              <w:b/>
              <w:bCs/>
              <w:color w:val="auto"/>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8"/>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8"/>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szCs w:val="28"/>
          <w:lang w:val="en-US" w:eastAsia="zh-CN"/>
        </w:rPr>
      </w:pPr>
      <w:r>
        <w:rPr>
          <w:rFonts w:hint="default"/>
          <w:lang w:val="en-US" w:eastAsia="zh-CN"/>
        </w:rPr>
        <w:t>为了提高医疗保障水平，确保全县农牧民群众办理各项医保业务提供便</w:t>
      </w:r>
      <w:r>
        <w:rPr>
          <w:rFonts w:hint="default" w:ascii="Times New Roman" w:hAnsi="Times New Roman" w:cs="Times New Roman"/>
          <w:szCs w:val="28"/>
          <w:lang w:val="en-US" w:eastAsia="zh-CN"/>
        </w:rPr>
        <w:t>捷、准确的服务，有序接入医保网，实行医保信息平台联通，根据文件要求，全县所辖36个村卫生室接入</w:t>
      </w:r>
      <w:r>
        <w:rPr>
          <w:rFonts w:hint="eastAsia" w:ascii="Times New Roman" w:hAnsi="Times New Roman" w:cs="Times New Roman"/>
          <w:szCs w:val="28"/>
          <w:lang w:val="en-US" w:eastAsia="zh-CN"/>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根据新医保【2021】12号关于印发《自治区医疗保障骨干网接入实施方案》项目</w:t>
      </w:r>
      <w:r>
        <w:rPr>
          <w:rFonts w:hint="eastAsia" w:ascii="Times New Roman" w:hAnsi="Times New Roman" w:cs="Times New Roman"/>
          <w:szCs w:val="28"/>
          <w:lang w:eastAsia="zh-CN"/>
        </w:rPr>
        <w:t>，</w:t>
      </w:r>
      <w:r>
        <w:rPr>
          <w:rFonts w:hint="default" w:ascii="Times New Roman" w:hAnsi="Times New Roman" w:cs="Times New Roman"/>
          <w:szCs w:val="28"/>
        </w:rPr>
        <w:t>医保网络纵向全贯通，横向全覆盖，为统一医保信息系统上线奠定基础，待遇享受无差错，进一步提升办理各项医保业务工作效率。</w:t>
      </w:r>
    </w:p>
    <w:p>
      <w:pPr>
        <w:spacing w:line="360" w:lineRule="auto"/>
        <w:ind w:firstLine="560"/>
        <w:rPr>
          <w:rFonts w:hint="eastAsia" w:ascii="Times New Roman" w:hAnsi="Times New Roman" w:eastAsia="仿宋_GB2312" w:cs="Times New Roman"/>
          <w:lang w:eastAsia="zh-CN"/>
        </w:rPr>
      </w:pPr>
      <w:r>
        <w:rPr>
          <w:rFonts w:hint="default" w:ascii="Times New Roman" w:hAnsi="Times New Roman" w:cs="Times New Roman"/>
          <w:szCs w:val="28"/>
        </w:rPr>
        <w:t>经新医保【2021】12号关于印发《自治区医疗保障骨干网接入实施方案》号文件批准，项目系2022年本级资金，共安排预算</w:t>
      </w:r>
      <w:r>
        <w:rPr>
          <w:rFonts w:hint="eastAsia" w:ascii="Times New Roman" w:hAnsi="Times New Roman" w:cs="Times New Roman"/>
          <w:szCs w:val="28"/>
          <w:lang w:val="en-US" w:eastAsia="zh-CN"/>
        </w:rPr>
        <w:t>10</w:t>
      </w:r>
      <w:r>
        <w:rPr>
          <w:rFonts w:hint="default" w:ascii="Times New Roman" w:hAnsi="Times New Roman" w:cs="Times New Roman"/>
          <w:szCs w:val="28"/>
        </w:rPr>
        <w:t>万元，于2022年年</w:t>
      </w:r>
      <w:r>
        <w:rPr>
          <w:rFonts w:hint="default" w:ascii="Times New Roman" w:hAnsi="Times New Roman" w:cs="Times New Roman"/>
        </w:rPr>
        <w:t>初部分预算批复项目，资金</w:t>
      </w:r>
      <w:r>
        <w:rPr>
          <w:rFonts w:hint="eastAsia" w:ascii="Times New Roman" w:hAnsi="Times New Roman" w:cs="Times New Roman"/>
          <w:lang w:eastAsia="zh-CN"/>
        </w:rPr>
        <w:t>年初全部</w:t>
      </w:r>
      <w:r>
        <w:rPr>
          <w:rFonts w:hint="default" w:ascii="Times New Roman" w:hAnsi="Times New Roman" w:cs="Times New Roman"/>
        </w:rPr>
        <w:t>到位</w:t>
      </w:r>
      <w:r>
        <w:rPr>
          <w:rFonts w:hint="eastAsia" w:ascii="Times New Roman" w:hAnsi="Times New Roman" w:cs="Times New Roman"/>
          <w:lang w:eastAsia="zh-CN"/>
        </w:rPr>
        <w:t>，</w:t>
      </w:r>
      <w:r>
        <w:rPr>
          <w:rFonts w:hint="eastAsia" w:ascii="Times New Roman" w:hAnsi="Times New Roman" w:cs="Times New Roman"/>
          <w:lang w:val="en-US" w:eastAsia="zh-CN"/>
        </w:rPr>
        <w:t>确保资金合理使用并符合财务程序，实行医保光纤费专款专用，未挪作他用，全部</w:t>
      </w:r>
      <w:r>
        <w:rPr>
          <w:rFonts w:hint="eastAsia" w:ascii="Times New Roman" w:hAnsi="Times New Roman" w:cs="Times New Roman"/>
          <w:lang w:eastAsia="zh-CN"/>
        </w:rPr>
        <w:t>执行完成，</w:t>
      </w:r>
      <w:r>
        <w:rPr>
          <w:rFonts w:hint="default" w:ascii="Times New Roman" w:hAnsi="Times New Roman" w:cs="Times New Roman"/>
        </w:rPr>
        <w:t>年中资金</w:t>
      </w:r>
      <w:r>
        <w:rPr>
          <w:rFonts w:hint="eastAsia" w:ascii="Times New Roman" w:hAnsi="Times New Roman" w:cs="Times New Roman"/>
          <w:lang w:eastAsia="zh-CN"/>
        </w:rPr>
        <w:t>无增减变化。</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eastAsia="仿宋_GB2312" w:cs="Times New Roman"/>
          <w:szCs w:val="28"/>
          <w:lang w:eastAsia="zh-CN"/>
        </w:rPr>
      </w:pPr>
      <w:r>
        <w:rPr>
          <w:rFonts w:hint="default" w:ascii="Times New Roman" w:hAnsi="Times New Roman" w:cs="Times New Roman"/>
          <w:szCs w:val="28"/>
        </w:rPr>
        <w:t>该项目</w:t>
      </w:r>
      <w:r>
        <w:rPr>
          <w:rFonts w:hint="eastAsia" w:ascii="Times New Roman" w:hAnsi="Times New Roman" w:cs="Times New Roman"/>
          <w:szCs w:val="28"/>
          <w:lang w:eastAsia="zh-CN"/>
        </w:rPr>
        <w:t>年度</w:t>
      </w:r>
      <w:r>
        <w:rPr>
          <w:rFonts w:hint="default" w:ascii="Times New Roman" w:hAnsi="Times New Roman" w:cs="Times New Roman"/>
          <w:szCs w:val="28"/>
        </w:rPr>
        <w:t>绩效目标</w:t>
      </w:r>
      <w:r>
        <w:rPr>
          <w:rFonts w:hint="eastAsia" w:ascii="Times New Roman" w:hAnsi="Times New Roman" w:cs="Times New Roman"/>
          <w:szCs w:val="28"/>
          <w:lang w:eastAsia="zh-CN"/>
        </w:rPr>
        <w:t>，</w:t>
      </w:r>
      <w:r>
        <w:rPr>
          <w:rFonts w:hint="default" w:ascii="Times New Roman" w:hAnsi="Times New Roman" w:cs="Times New Roman"/>
          <w:szCs w:val="28"/>
        </w:rPr>
        <w:t>医保网络纵向全贯通，横向全覆盖，为统一医保信息系统上线奠定基础，待遇享受无差错，提高医疗保障水平，确保全县农牧民群众办理各项医保业务提供便捷、准确的服务</w:t>
      </w:r>
      <w:r>
        <w:rPr>
          <w:rFonts w:hint="eastAsia" w:ascii="Times New Roman" w:hAnsi="Times New Roman" w:cs="Times New Roman"/>
          <w:szCs w:val="28"/>
          <w:lang w:eastAsia="zh-CN"/>
        </w:rPr>
        <w:t>。</w:t>
      </w:r>
    </w:p>
    <w:p>
      <w:pPr>
        <w:spacing w:line="360" w:lineRule="auto"/>
        <w:ind w:firstLine="560"/>
        <w:rPr>
          <w:rFonts w:hint="default" w:ascii="Times New Roman" w:hAnsi="Times New Roman" w:cs="Times New Roman"/>
          <w:szCs w:val="28"/>
          <w:highlight w:val="none"/>
        </w:rPr>
      </w:pPr>
      <w:bookmarkStart w:id="7" w:name="_Toc67911604"/>
      <w:bookmarkStart w:id="8" w:name="_Toc100784586"/>
      <w:r>
        <w:rPr>
          <w:rFonts w:hint="eastAsia" w:ascii="Times New Roman" w:hAnsi="Times New Roman" w:cs="Times New Roman"/>
          <w:szCs w:val="28"/>
          <w:highlight w:val="none"/>
        </w:rPr>
        <w:t>数量指标：接入光纤村级数，指标值≥36个</w:t>
      </w:r>
      <w:r>
        <w:rPr>
          <w:rFonts w:hint="eastAsia" w:ascii="Times New Roman" w:hAnsi="Times New Roman" w:cs="Times New Roman"/>
          <w:szCs w:val="28"/>
          <w:highlight w:val="none"/>
          <w:lang w:eastAsia="zh-CN"/>
        </w:rPr>
        <w:t>村</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质量指标：医保信息系统正常运行率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eastAsia="zh-CN"/>
        </w:rPr>
        <w:t>95%</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时效指标：医保专线接入及时率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指标值≥95%；</w:t>
      </w:r>
    </w:p>
    <w:p>
      <w:pPr>
        <w:spacing w:line="360" w:lineRule="auto"/>
        <w:ind w:firstLine="560"/>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rPr>
        <w:t>成本指标：村级医保专线接入费</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指标值=62928元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医保信息系统专线年费</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rPr>
        <w:tab/>
      </w:r>
      <w:r>
        <w:rPr>
          <w:rFonts w:hint="eastAsia" w:ascii="Times New Roman" w:hAnsi="Times New Roman" w:cs="Times New Roman"/>
          <w:szCs w:val="28"/>
          <w:highlight w:val="none"/>
        </w:rPr>
        <w:t>=2572元</w:t>
      </w:r>
      <w:r>
        <w:rPr>
          <w:rFonts w:hint="eastAsia" w:ascii="Times New Roman" w:hAnsi="Times New Roman" w:cs="Times New Roman"/>
          <w:szCs w:val="28"/>
          <w:highlight w:val="none"/>
          <w:lang w:eastAsia="zh-CN"/>
        </w:rPr>
        <w:t>；</w:t>
      </w:r>
    </w:p>
    <w:p>
      <w:pPr>
        <w:spacing w:line="360" w:lineRule="auto"/>
        <w:ind w:firstLine="560"/>
        <w:rPr>
          <w:rFonts w:hint="default" w:ascii="Times New Roman" w:hAnsi="Times New Roman" w:eastAsia="仿宋_GB2312" w:cs="Times New Roman"/>
          <w:szCs w:val="28"/>
          <w:highlight w:val="none"/>
          <w:lang w:val="en-US" w:eastAsia="zh-CN"/>
        </w:rPr>
      </w:pPr>
      <w:r>
        <w:rPr>
          <w:rFonts w:hint="eastAsia" w:ascii="Times New Roman" w:hAnsi="Times New Roman" w:cs="Times New Roman"/>
          <w:szCs w:val="28"/>
          <w:highlight w:val="none"/>
          <w:lang w:val="en-US" w:eastAsia="zh-CN"/>
        </w:rPr>
        <w:t>社会效益指标：提升医疗保障工作信息平台效率，</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为有所提升</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lang w:eastAsia="zh-CN"/>
        </w:rPr>
        <w:t>可持续影响</w:t>
      </w:r>
      <w:r>
        <w:rPr>
          <w:rFonts w:hint="eastAsia" w:ascii="Times New Roman" w:hAnsi="Times New Roman" w:cs="Times New Roman"/>
          <w:szCs w:val="28"/>
          <w:highlight w:val="none"/>
        </w:rPr>
        <w:t>指标：可持续开展信息工作</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为长期</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满意度指标：使用人员满意度</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指标值≥90%。</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（1）绩效评价的对象：村级医务室及医保信息平台光纤费</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eastAsia" w:ascii="Times New Roman" w:hAnsi="Times New Roman" w:cs="Times New Roman"/>
          <w:lang w:eastAsia="zh-CN"/>
        </w:rPr>
      </w:pPr>
      <w:r>
        <w:rPr>
          <w:rFonts w:hint="default" w:ascii="Times New Roman" w:hAnsi="Times New Roman" w:cs="Times New Roman"/>
        </w:rPr>
        <w:t>1.项目范围：村级医务室及医保信息平台光纤费</w:t>
      </w:r>
      <w:r>
        <w:rPr>
          <w:rFonts w:hint="eastAsia" w:ascii="Times New Roman" w:hAnsi="Times New Roman" w:cs="Times New Roman"/>
          <w:lang w:eastAsia="zh-CN"/>
        </w:rPr>
        <w:t>项目</w:t>
      </w:r>
      <w:r>
        <w:rPr>
          <w:rFonts w:hint="default" w:ascii="Times New Roman" w:hAnsi="Times New Roman" w:cs="Times New Roman"/>
        </w:rPr>
        <w:t>的完成情况、资金投入的运行情况、项目实施后产生的绩效及影响效果</w:t>
      </w:r>
      <w:r>
        <w:rPr>
          <w:rFonts w:hint="eastAsia" w:ascii="Times New Roman" w:hAnsi="Times New Roman" w:cs="Times New Roman"/>
          <w:lang w:eastAsia="zh-CN"/>
        </w:rPr>
        <w:t>。</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09"/>
        <w:gridCol w:w="1383"/>
        <w:gridCol w:w="1750"/>
        <w:gridCol w:w="2512"/>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90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38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75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51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90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38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51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8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51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90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8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51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90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8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51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90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38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8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51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90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8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90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8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90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38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数量</w:t>
            </w:r>
            <w:r>
              <w:rPr>
                <w:rFonts w:hint="eastAsia" w:ascii="Times New Roman" w:hAnsi="Times New Roman" w:eastAsia="宋体" w:cs="Times New Roman"/>
                <w:color w:val="auto"/>
                <w:kern w:val="0"/>
                <w:sz w:val="22"/>
                <w:highlight w:val="none"/>
                <w:lang w:eastAsia="zh-CN"/>
              </w:rPr>
              <w:t>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shd w:val="clear"/>
              </w:rPr>
              <w:t>接入光纤村级数量</w:t>
            </w:r>
          </w:p>
        </w:tc>
        <w:tc>
          <w:tcPr>
            <w:tcW w:w="2512"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7" w:hRule="atLeast"/>
          <w:jc w:val="center"/>
        </w:trPr>
        <w:tc>
          <w:tcPr>
            <w:tcW w:w="90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383"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质量</w:t>
            </w:r>
            <w:r>
              <w:rPr>
                <w:rFonts w:hint="eastAsia" w:ascii="Times New Roman" w:hAnsi="Times New Roman" w:eastAsia="宋体" w:cs="Times New Roman"/>
                <w:color w:val="auto"/>
                <w:kern w:val="0"/>
                <w:sz w:val="22"/>
                <w:highlight w:val="none"/>
                <w:lang w:eastAsia="zh-CN"/>
              </w:rPr>
              <w:t>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医保信息系统正常运行率</w:t>
            </w:r>
          </w:p>
        </w:tc>
        <w:tc>
          <w:tcPr>
            <w:tcW w:w="251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3" w:hRule="atLeast"/>
          <w:jc w:val="center"/>
        </w:trPr>
        <w:tc>
          <w:tcPr>
            <w:tcW w:w="909" w:type="dxa"/>
            <w:vMerge w:val="continue"/>
            <w:tcBorders>
              <w:tl2br w:val="nil"/>
              <w:tr2bl w:val="nil"/>
            </w:tcBorders>
            <w:shd w:val="clear" w:color="auto" w:fill="FFFFFF"/>
            <w:vAlign w:val="center"/>
          </w:tcPr>
          <w:p>
            <w:pPr>
              <w:widowControl/>
              <w:ind w:firstLine="0" w:firstLineChars="0"/>
              <w:jc w:val="center"/>
            </w:pPr>
          </w:p>
        </w:tc>
        <w:tc>
          <w:tcPr>
            <w:tcW w:w="1383" w:type="dxa"/>
            <w:vMerge w:val="continue"/>
            <w:tcBorders>
              <w:tl2br w:val="nil"/>
              <w:tr2bl w:val="nil"/>
            </w:tcBorders>
            <w:shd w:val="clear" w:color="auto" w:fill="FFFFFF"/>
            <w:vAlign w:val="center"/>
          </w:tcPr>
          <w:p>
            <w:pPr>
              <w:widowControl/>
              <w:ind w:firstLine="0" w:firstLineChars="0"/>
              <w:jc w:val="center"/>
              <w:rPr>
                <w:highlight w:val="none"/>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医保信息平台专线覆盖率</w:t>
            </w:r>
          </w:p>
        </w:tc>
        <w:tc>
          <w:tcPr>
            <w:tcW w:w="2512"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90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383"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时效</w:t>
            </w:r>
            <w:r>
              <w:rPr>
                <w:rFonts w:hint="eastAsia" w:ascii="Times New Roman" w:hAnsi="Times New Roman" w:eastAsia="宋体" w:cs="Times New Roman"/>
                <w:color w:val="auto"/>
                <w:kern w:val="0"/>
                <w:sz w:val="22"/>
                <w:highlight w:val="none"/>
                <w:lang w:eastAsia="zh-CN"/>
              </w:rPr>
              <w:t>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建医保专线接入及时率</w:t>
            </w:r>
          </w:p>
        </w:tc>
        <w:tc>
          <w:tcPr>
            <w:tcW w:w="251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项目实际完成时间</w:t>
            </w:r>
            <w:r>
              <w:rPr>
                <w:rFonts w:hint="default" w:ascii="Times New Roman" w:hAnsi="Times New Roman" w:eastAsia="宋体" w:cs="Times New Roman"/>
                <w:color w:val="000000"/>
                <w:kern w:val="0"/>
                <w:sz w:val="22"/>
              </w:rPr>
              <w:t>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90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83"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eastAsia="zh-CN"/>
              </w:rPr>
              <w:t>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村级医保专线接入费</w:t>
            </w:r>
          </w:p>
        </w:tc>
        <w:tc>
          <w:tcPr>
            <w:tcW w:w="251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909" w:type="dxa"/>
            <w:vMerge w:val="continue"/>
            <w:tcBorders>
              <w:tl2br w:val="nil"/>
              <w:tr2bl w:val="nil"/>
            </w:tcBorders>
            <w:shd w:val="clear" w:color="auto" w:fill="FFFFFF"/>
            <w:vAlign w:val="center"/>
          </w:tcPr>
          <w:p>
            <w:pPr>
              <w:widowControl/>
              <w:ind w:firstLine="0" w:firstLineChars="0"/>
              <w:jc w:val="center"/>
            </w:pPr>
          </w:p>
        </w:tc>
        <w:tc>
          <w:tcPr>
            <w:tcW w:w="1383" w:type="dxa"/>
            <w:vMerge w:val="continue"/>
            <w:tcBorders>
              <w:tl2br w:val="nil"/>
              <w:tr2bl w:val="nil"/>
            </w:tcBorders>
            <w:shd w:val="clear" w:color="auto" w:fill="FFFFFF"/>
            <w:vAlign w:val="center"/>
          </w:tcPr>
          <w:p>
            <w:pPr>
              <w:widowControl/>
              <w:ind w:firstLine="0" w:firstLineChars="0"/>
              <w:jc w:val="center"/>
              <w:rPr>
                <w:highlight w:val="none"/>
              </w:rPr>
            </w:pP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医保信息系统专线年费</w:t>
            </w:r>
          </w:p>
        </w:tc>
        <w:tc>
          <w:tcPr>
            <w:tcW w:w="2512"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90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750"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提升医疗保障信息平台效率</w:t>
            </w:r>
          </w:p>
        </w:tc>
        <w:tc>
          <w:tcPr>
            <w:tcW w:w="2512" w:type="dxa"/>
            <w:vMerge w:val="restart"/>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90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可持续开展信息工作</w:t>
            </w:r>
          </w:p>
        </w:tc>
        <w:tc>
          <w:tcPr>
            <w:tcW w:w="251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90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38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75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使用人员满意度</w:t>
            </w:r>
          </w:p>
        </w:tc>
        <w:tc>
          <w:tcPr>
            <w:tcW w:w="2512"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w:t>
      </w:r>
      <w:r>
        <w:rPr>
          <w:rFonts w:hint="default" w:ascii="Times New Roman" w:hAnsi="Times New Roman" w:cs="Times New Roman"/>
        </w:rPr>
        <w:t>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（5）公众评判法。是</w:t>
      </w:r>
      <w:r>
        <w:rPr>
          <w:rFonts w:hint="default" w:ascii="Times New Roman" w:hAnsi="Times New Roman" w:cs="Times New Roman"/>
        </w:rPr>
        <w:t>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根据本项目村级医务室及医保信息平台光纤费的特点，本次评价主要采用公众评判法</w:t>
      </w:r>
      <w:r>
        <w:rPr>
          <w:rFonts w:hint="eastAsia" w:ascii="Times New Roman" w:hAnsi="Times New Roman" w:cs="Times New Roman"/>
          <w:highlight w:val="none"/>
          <w:lang w:val="en-US" w:eastAsia="zh-CN"/>
        </w:rPr>
        <w:t>中的</w:t>
      </w:r>
      <w:r>
        <w:rPr>
          <w:rFonts w:hint="default" w:ascii="Times New Roman" w:hAnsi="Times New Roman" w:cs="Times New Roman"/>
        </w:rPr>
        <w:t>抽样调查</w:t>
      </w:r>
      <w:r>
        <w:rPr>
          <w:rFonts w:hint="default" w:ascii="Times New Roman" w:hAnsi="Times New Roman" w:cs="Times New Roman"/>
          <w:highlight w:val="none"/>
        </w:rPr>
        <w:t>，对项目总预算和明细预算的内容、标准、计划经济合理进行深入分析，以考察</w:t>
      </w:r>
      <w:r>
        <w:rPr>
          <w:rFonts w:hint="eastAsia" w:ascii="Times New Roman" w:hAnsi="Times New Roman" w:cs="Times New Roman"/>
          <w:highlight w:val="none"/>
          <w:lang w:eastAsia="zh-CN"/>
        </w:rPr>
        <w:t>、调查问卷等方式方法进行评判，</w:t>
      </w:r>
      <w:r>
        <w:rPr>
          <w:rFonts w:hint="eastAsia" w:ascii="Times New Roman" w:hAnsi="Times New Roman" w:cs="Times New Roman"/>
          <w:highlight w:val="none"/>
          <w:lang w:val="en-US" w:eastAsia="zh-CN"/>
        </w:rPr>
        <w:t>该项目主要针对其使用人员进行抽样，下发20份调查问卷，收回20份调查问卷，</w:t>
      </w:r>
      <w:r>
        <w:rPr>
          <w:rFonts w:hint="eastAsia" w:ascii="Times New Roman" w:hAnsi="Times New Roman" w:cs="Times New Roman"/>
          <w:highlight w:val="none"/>
          <w:lang w:eastAsia="zh-CN"/>
        </w:rPr>
        <w:t>此项目</w:t>
      </w:r>
      <w:r>
        <w:rPr>
          <w:rFonts w:hint="default" w:ascii="Times New Roman" w:hAnsi="Times New Roman" w:cs="Times New Roman"/>
          <w:highlight w:val="none"/>
        </w:rPr>
        <w:t>实际产出</w:t>
      </w:r>
      <w:r>
        <w:rPr>
          <w:rFonts w:hint="eastAsia" w:ascii="Times New Roman" w:hAnsi="Times New Roman" w:cs="Times New Roman"/>
          <w:highlight w:val="none"/>
          <w:lang w:eastAsia="zh-CN"/>
        </w:rPr>
        <w:t>指标</w:t>
      </w:r>
      <w:r>
        <w:rPr>
          <w:rFonts w:hint="default" w:ascii="Times New Roman" w:hAnsi="Times New Roman" w:cs="Times New Roman"/>
          <w:highlight w:val="none"/>
        </w:rPr>
        <w:t>和效益</w:t>
      </w:r>
      <w:r>
        <w:rPr>
          <w:rFonts w:hint="eastAsia" w:ascii="Times New Roman" w:hAnsi="Times New Roman" w:cs="Times New Roman"/>
          <w:highlight w:val="none"/>
          <w:lang w:eastAsia="zh-CN"/>
        </w:rPr>
        <w:t>指标</w:t>
      </w:r>
      <w:r>
        <w:rPr>
          <w:rFonts w:hint="default" w:ascii="Times New Roman" w:hAnsi="Times New Roman" w:cs="Times New Roman"/>
          <w:highlight w:val="none"/>
        </w:rPr>
        <w:t>达到预期</w:t>
      </w:r>
      <w:r>
        <w:rPr>
          <w:rFonts w:hint="eastAsia" w:ascii="Times New Roman" w:hAnsi="Times New Roman" w:cs="Times New Roman"/>
          <w:highlight w:val="none"/>
          <w:lang w:eastAsia="zh-CN"/>
        </w:rPr>
        <w:t>效果</w:t>
      </w:r>
      <w:r>
        <w:rPr>
          <w:rFonts w:hint="default" w:ascii="Times New Roman" w:hAnsi="Times New Roman" w:cs="Times New Roman"/>
          <w:highlight w:val="none"/>
        </w:rPr>
        <w:t>。</w:t>
      </w:r>
    </w:p>
    <w:p>
      <w:pPr>
        <w:widowControl/>
        <w:ind w:firstLine="0" w:firstLineChars="0"/>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3" w:name="_Toc67911608"/>
      <w:bookmarkStart w:id="24" w:name="_Toc100784596"/>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rPr>
      </w:pPr>
      <w:r>
        <w:rPr>
          <w:rFonts w:hint="default" w:ascii="Times New Roman" w:hAnsi="Times New Roman" w:cs="Times New Roman"/>
        </w:rPr>
        <w:t>结合项目特点，制定符合项目实际的绩效评价指标体系及评分标准，通过数据采集、问卷调查及访谈等形式，对2022年村级医务室及医保信息平台光纤费进行客观评价，最终评分结果为：总分为</w:t>
      </w:r>
      <w:r>
        <w:rPr>
          <w:rFonts w:hint="eastAsia" w:ascii="Times New Roman" w:hAnsi="Times New Roman" w:cs="Times New Roman"/>
          <w:lang w:val="en-US" w:eastAsia="zh-CN"/>
        </w:rPr>
        <w:t>98</w:t>
      </w:r>
      <w:r>
        <w:rPr>
          <w:rFonts w:hint="default" w:ascii="Times New Roman" w:hAnsi="Times New Roman" w:cs="Times New Roman"/>
        </w:rPr>
        <w:t>分，绩效评级为“</w:t>
      </w:r>
      <w:r>
        <w:rPr>
          <w:rFonts w:hint="eastAsia" w:ascii="Times New Roman" w:hAnsi="Times New Roman" w:cs="Times New Roman"/>
          <w:lang w:eastAsia="zh-CN"/>
        </w:rPr>
        <w:t>优</w:t>
      </w:r>
      <w:r>
        <w:rPr>
          <w:rFonts w:hint="default" w:ascii="Times New Roman" w:hAnsi="Times New Roman" w:cs="Times New Roman"/>
        </w:rPr>
        <w:t>”</w:t>
      </w:r>
      <w:r>
        <w:rPr>
          <w:rFonts w:hint="default" w:ascii="Times New Roman" w:hAnsi="Times New Roman" w:cs="Times New Roman"/>
        </w:rPr>
        <w:footnoteReference w:id="1"/>
      </w:r>
      <w:r>
        <w:rPr>
          <w:rFonts w:hint="default" w:ascii="Times New Roman" w:hAnsi="Times New Roman" w:cs="Times New Roman"/>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rPr>
        <w:t>项目各部分权重和绩效分</w:t>
      </w:r>
      <w:r>
        <w:rPr>
          <w:rFonts w:hint="default" w:ascii="Times New Roman" w:hAnsi="Times New Roman" w:cs="Times New Roman"/>
          <w:szCs w:val="28"/>
          <w:highlight w:val="none"/>
        </w:rPr>
        <w:t>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535"/>
        <w:gridCol w:w="2915"/>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53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91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53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535"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53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535"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240" w:firstLineChars="100"/>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240" w:firstLineChars="100"/>
              <w:jc w:val="both"/>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53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535"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default" w:ascii="Times New Roman" w:hAnsi="Times New Roman" w:cs="Times New Roman"/>
                <w:kern w:val="0"/>
                <w:sz w:val="24"/>
                <w:szCs w:val="24"/>
                <w:highlight w:val="none"/>
              </w:rPr>
              <w:t>数量</w:t>
            </w:r>
            <w:r>
              <w:rPr>
                <w:rFonts w:hint="eastAsia" w:ascii="Times New Roman" w:hAnsi="Times New Roman" w:cs="Times New Roman"/>
                <w:kern w:val="0"/>
                <w:sz w:val="24"/>
                <w:szCs w:val="24"/>
                <w:highlight w:val="none"/>
                <w:lang w:eastAsia="zh-CN"/>
              </w:rPr>
              <w:t>指标</w:t>
            </w:r>
          </w:p>
        </w:tc>
        <w:tc>
          <w:tcPr>
            <w:tcW w:w="2915"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接入光纤村级数量</w:t>
            </w:r>
            <w:r>
              <w:rPr>
                <w:rFonts w:hint="default" w:ascii="Times New Roman" w:hAnsi="Times New Roman" w:cs="Times New Roman"/>
                <w:kern w:val="0"/>
                <w:sz w:val="24"/>
                <w:szCs w:val="24"/>
                <w:highlight w:val="none"/>
              </w:rPr>
              <w:tab/>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质量</w:t>
            </w:r>
            <w:r>
              <w:rPr>
                <w:rFonts w:hint="eastAsia" w:ascii="Times New Roman" w:hAnsi="Times New Roman" w:cs="Times New Roman"/>
                <w:kern w:val="0"/>
                <w:sz w:val="24"/>
                <w:szCs w:val="24"/>
                <w:lang w:eastAsia="zh-CN"/>
              </w:rPr>
              <w:t>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医保信息系统正常运行率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医保信息平台专线覆盖率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535" w:type="dxa"/>
            <w:tcBorders>
              <w:tl2br w:val="nil"/>
              <w:tr2bl w:val="nil"/>
            </w:tcBorders>
            <w:shd w:val="clear" w:color="auto" w:fill="FFFFFF"/>
            <w:vAlign w:val="center"/>
          </w:tcPr>
          <w:p>
            <w:pPr>
              <w:ind w:firstLine="0" w:firstLineChars="0"/>
              <w:jc w:val="center"/>
              <w:rPr>
                <w:rFonts w:hint="eastAsia" w:ascii="Times New Roman" w:hAnsi="Times New Roman" w:eastAsia="仿宋_GB2312" w:cs="Times New Roman"/>
                <w:kern w:val="0"/>
                <w:sz w:val="24"/>
                <w:szCs w:val="24"/>
                <w:highlight w:val="none"/>
                <w:lang w:eastAsia="zh-CN"/>
              </w:rPr>
            </w:pPr>
            <w:r>
              <w:rPr>
                <w:rFonts w:hint="default" w:ascii="Times New Roman" w:hAnsi="Times New Roman" w:cs="Times New Roman"/>
                <w:kern w:val="0"/>
                <w:sz w:val="24"/>
                <w:szCs w:val="24"/>
                <w:highlight w:val="none"/>
              </w:rPr>
              <w:t>时效</w:t>
            </w:r>
            <w:r>
              <w:rPr>
                <w:rFonts w:hint="eastAsia" w:ascii="Times New Roman" w:hAnsi="Times New Roman" w:cs="Times New Roman"/>
                <w:kern w:val="0"/>
                <w:sz w:val="24"/>
                <w:szCs w:val="24"/>
                <w:highlight w:val="none"/>
                <w:lang w:eastAsia="zh-CN"/>
              </w:rPr>
              <w:t>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医保专线接入及时率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成本</w:t>
            </w:r>
            <w:r>
              <w:rPr>
                <w:rFonts w:hint="eastAsia" w:ascii="Times New Roman" w:hAnsi="Times New Roman" w:cs="Times New Roman"/>
                <w:kern w:val="0"/>
                <w:sz w:val="24"/>
                <w:szCs w:val="24"/>
                <w:lang w:eastAsia="zh-CN"/>
              </w:rPr>
              <w:t>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村级医保专线接入费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医保信息系统专线年费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53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w:t>
            </w:r>
          </w:p>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default" w:ascii="Times New Roman" w:hAnsi="Times New Roman" w:eastAsia="宋体" w:cs="Times New Roman"/>
                <w:color w:val="000000"/>
                <w:kern w:val="0"/>
                <w:sz w:val="22"/>
                <w:highlight w:val="none"/>
              </w:rPr>
              <w:t>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提升医疗保障工作信息平台效率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53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highlight w:val="none"/>
              </w:rPr>
              <w:t>可持续影响指标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可持续开展信息工作</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53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使用人员满意度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535"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1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sz w:val="36"/>
          <w:szCs w:val="36"/>
          <w:lang w:bidi="en-US"/>
        </w:rPr>
      </w:pPr>
      <w:r>
        <w:rPr>
          <w:rFonts w:hint="default" w:ascii="Times New Roman" w:hAnsi="Times New Roman" w:cs="Times New Roman"/>
          <w:bCs/>
          <w:szCs w:val="28"/>
          <w:lang w:val="en-US" w:eastAsia="zh-CN"/>
        </w:rPr>
        <w:t>该项目资金区财政及时拨付，单位在此次评价期间内，有序完成设定目标的工作任务，</w:t>
      </w:r>
      <w:r>
        <w:rPr>
          <w:rFonts w:hint="eastAsia" w:ascii="Times New Roman" w:hAnsi="Times New Roman" w:cs="Times New Roman"/>
          <w:bCs/>
          <w:szCs w:val="28"/>
          <w:lang w:val="en-US" w:eastAsia="zh-CN"/>
        </w:rPr>
        <w:t>涉及县域所有的36个村级卫生室以及我单位业务平台（新疆维吾尔自治区医疗保障信息平台），专网光纤及时接入，此项目专网光纤年费2022年年初，按照财务流程与中国电信达成合作，3月结算执行完成，提升了医疗保障工作信息平台的</w:t>
      </w:r>
      <w:r>
        <w:rPr>
          <w:rFonts w:hint="default" w:ascii="Times New Roman" w:hAnsi="Times New Roman" w:cs="Times New Roman"/>
          <w:bCs/>
          <w:szCs w:val="28"/>
          <w:lang w:val="en-US" w:eastAsia="zh-CN"/>
        </w:rPr>
        <w:t>正常运转</w:t>
      </w:r>
      <w:r>
        <w:rPr>
          <w:rFonts w:hint="eastAsia" w:ascii="Times New Roman" w:hAnsi="Times New Roman" w:cs="Times New Roman"/>
          <w:bCs/>
          <w:szCs w:val="28"/>
          <w:lang w:val="en-US" w:eastAsia="zh-CN"/>
        </w:rPr>
        <w:t>，医保网络纵向全贯通，横向全覆盖，待遇享受无差错，提高医疗保障水平，确保全县农牧民群众办理各项医保业务提供便捷、准确的服务，完全达到预期效果。</w:t>
      </w: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szCs w:val="28"/>
        </w:rPr>
        <w:t>本单位年初编制《绩效目标申报表》，依据充分，项目的总体绩效目标为</w:t>
      </w:r>
      <w:r>
        <w:rPr>
          <w:rFonts w:hint="eastAsia" w:ascii="Times New Roman" w:hAnsi="Times New Roman" w:cs="Times New Roman"/>
          <w:szCs w:val="28"/>
          <w:lang w:val="en-US" w:eastAsia="zh-CN"/>
        </w:rPr>
        <w:t>医保网络纵向全贯通，横向全覆盖，为统一医保信息系统上线奠定基础，待遇享受无差错，提高医疗保障水平，确保全县农牧民群众办理各项医保业务提供便捷、准确的服务。</w:t>
      </w:r>
      <w:r>
        <w:rPr>
          <w:rFonts w:hint="default" w:ascii="Times New Roman" w:hAnsi="Times New Roman" w:cs="Times New Roman"/>
          <w:szCs w:val="28"/>
        </w:rPr>
        <w:t>其中，目标已细化为具体的绩效指标，可通过数量指标、质量指标、时效指标和成本指标予以量化，并具有确切的评价标准，且指标设定均与目标相关。各项</w:t>
      </w:r>
      <w:r>
        <w:rPr>
          <w:rFonts w:hint="default" w:ascii="Times New Roman" w:hAnsi="Times New Roman" w:cs="Times New Roman"/>
          <w:kern w:val="0"/>
          <w:szCs w:val="28"/>
        </w:rPr>
        <w:t>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cs="Times New Roman"/>
          <w:szCs w:val="28"/>
          <w:lang w:val="en-US" w:eastAsia="zh-CN"/>
        </w:rPr>
      </w:pPr>
      <w:r>
        <w:rPr>
          <w:rFonts w:hint="default" w:ascii="Times New Roman" w:hAnsi="Times New Roman" w:cs="Times New Roman"/>
          <w:b/>
          <w:bCs/>
          <w:szCs w:val="28"/>
          <w:lang w:eastAsia="zh-CN"/>
        </w:rPr>
        <w:t>预算编制科学性：</w:t>
      </w:r>
      <w:r>
        <w:rPr>
          <w:rFonts w:hint="eastAsia" w:ascii="Times New Roman" w:hAnsi="Times New Roman" w:cs="Times New Roman"/>
          <w:szCs w:val="28"/>
          <w:lang w:val="en-US" w:eastAsia="zh-CN"/>
        </w:rPr>
        <w:t>医保平台村级光纤接入费</w:t>
      </w:r>
      <w:r>
        <w:rPr>
          <w:rFonts w:hint="eastAsia" w:ascii="Times New Roman" w:hAnsi="Times New Roman" w:cs="Times New Roman"/>
          <w:szCs w:val="28"/>
          <w:lang w:eastAsia="zh-CN"/>
        </w:rPr>
        <w:t>项目支出测算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cs="Times New Roman"/>
          <w:szCs w:val="28"/>
          <w:lang w:eastAsia="zh-CN"/>
        </w:rPr>
      </w:pPr>
      <w:r>
        <w:rPr>
          <w:rFonts w:hint="eastAsia" w:ascii="Times New Roman" w:hAnsi="Times New Roman" w:cs="Times New Roman"/>
          <w:szCs w:val="28"/>
          <w:lang w:eastAsia="zh-CN"/>
        </w:rPr>
        <w:t>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w:t>
      </w:r>
      <w:r>
        <w:rPr>
          <w:rFonts w:hint="eastAsia" w:ascii="Times New Roman" w:hAnsi="Times New Roman" w:cs="Times New Roman"/>
          <w:szCs w:val="28"/>
          <w:lang w:val="en-US" w:eastAsia="zh-CN"/>
        </w:rPr>
        <w:t>医保平台村级光纤接入费预算</w:t>
      </w:r>
      <w:r>
        <w:rPr>
          <w:rFonts w:hint="eastAsia" w:ascii="Times New Roman" w:hAnsi="Times New Roman" w:cs="Times New Roman"/>
          <w:szCs w:val="28"/>
          <w:lang w:eastAsia="zh-CN"/>
        </w:rPr>
        <w:t>资金</w:t>
      </w:r>
      <w:r>
        <w:rPr>
          <w:rFonts w:hint="eastAsia" w:ascii="Times New Roman" w:hAnsi="Times New Roman" w:cs="Times New Roman"/>
          <w:szCs w:val="28"/>
          <w:lang w:val="en-US" w:eastAsia="zh-CN"/>
        </w:rPr>
        <w:t>6.55</w:t>
      </w:r>
      <w:r>
        <w:rPr>
          <w:rFonts w:hint="eastAsia" w:ascii="Times New Roman" w:hAnsi="Times New Roman" w:cs="Times New Roman"/>
          <w:szCs w:val="28"/>
          <w:lang w:eastAsia="zh-CN"/>
        </w:rPr>
        <w:t>万元。</w:t>
      </w:r>
    </w:p>
    <w:tbl>
      <w:tblPr>
        <w:tblStyle w:val="15"/>
        <w:tblW w:w="8588" w:type="dxa"/>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5"/>
        <w:gridCol w:w="1117"/>
        <w:gridCol w:w="1900"/>
        <w:gridCol w:w="1135"/>
        <w:gridCol w:w="1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5" w:type="dxa"/>
            <w:tcBorders>
              <w:top w:val="single" w:color="auto" w:sz="4" w:space="0"/>
              <w:left w:val="single" w:color="auto" w:sz="4" w:space="0"/>
              <w:bottom w:val="single" w:color="auto" w:sz="4" w:space="0"/>
              <w:right w:val="single" w:color="auto" w:sz="4" w:space="0"/>
            </w:tcBorders>
          </w:tcPr>
          <w:p>
            <w:pPr>
              <w:spacing w:line="400" w:lineRule="exact"/>
              <w:rPr>
                <w:rFonts w:ascii="仿宋_GB2312" w:hAnsi="宋体" w:eastAsia="仿宋_GB2312"/>
                <w:color w:val="000000"/>
                <w:sz w:val="24"/>
                <w:szCs w:val="24"/>
              </w:rPr>
            </w:pPr>
            <w:r>
              <w:rPr>
                <w:rFonts w:hint="eastAsia" w:ascii="仿宋_GB2312" w:eastAsia="仿宋_GB2312"/>
                <w:color w:val="000000"/>
                <w:sz w:val="24"/>
                <w:szCs w:val="24"/>
              </w:rPr>
              <w:t>名称</w:t>
            </w:r>
          </w:p>
        </w:tc>
        <w:tc>
          <w:tcPr>
            <w:tcW w:w="1117"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hAnsi="宋体" w:eastAsia="仿宋_GB2312"/>
                <w:color w:val="000000"/>
                <w:sz w:val="24"/>
                <w:szCs w:val="24"/>
              </w:rPr>
            </w:pPr>
            <w:r>
              <w:rPr>
                <w:rFonts w:hint="eastAsia" w:ascii="仿宋_GB2312" w:eastAsia="仿宋_GB2312"/>
                <w:color w:val="000000"/>
                <w:sz w:val="24"/>
                <w:szCs w:val="24"/>
              </w:rPr>
              <w:t>数量</w:t>
            </w:r>
          </w:p>
        </w:tc>
        <w:tc>
          <w:tcPr>
            <w:tcW w:w="1900"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hAnsi="宋体" w:eastAsia="仿宋_GB2312"/>
                <w:color w:val="000000"/>
                <w:sz w:val="24"/>
                <w:szCs w:val="24"/>
              </w:rPr>
            </w:pPr>
            <w:r>
              <w:rPr>
                <w:rFonts w:hint="eastAsia" w:ascii="仿宋_GB2312" w:eastAsia="仿宋_GB2312"/>
                <w:color w:val="000000"/>
                <w:sz w:val="24"/>
                <w:szCs w:val="24"/>
              </w:rPr>
              <w:t>单价</w:t>
            </w:r>
          </w:p>
        </w:tc>
        <w:tc>
          <w:tcPr>
            <w:tcW w:w="1135"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hAnsi="宋体" w:eastAsia="仿宋_GB2312"/>
                <w:color w:val="000000"/>
                <w:sz w:val="24"/>
                <w:szCs w:val="24"/>
              </w:rPr>
            </w:pPr>
            <w:r>
              <w:rPr>
                <w:rFonts w:hint="eastAsia" w:ascii="仿宋_GB2312" w:eastAsia="仿宋_GB2312"/>
                <w:color w:val="000000"/>
                <w:sz w:val="24"/>
                <w:szCs w:val="24"/>
              </w:rPr>
              <w:t>合计</w:t>
            </w:r>
          </w:p>
        </w:tc>
        <w:tc>
          <w:tcPr>
            <w:tcW w:w="1451"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eastAsia="仿宋_GB2312"/>
                <w:color w:val="000000"/>
                <w:sz w:val="24"/>
                <w:szCs w:val="24"/>
              </w:rPr>
            </w:pPr>
            <w:r>
              <w:rPr>
                <w:rFonts w:hint="eastAsia" w:ascii="仿宋_GB2312" w:eastAsia="仿宋_GB2312"/>
                <w:color w:val="000000"/>
                <w:sz w:val="24"/>
                <w:szCs w:val="24"/>
              </w:rPr>
              <w:t>价格来源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5" w:type="dxa"/>
            <w:tcBorders>
              <w:top w:val="single" w:color="auto" w:sz="4" w:space="0"/>
              <w:left w:val="single" w:color="auto" w:sz="4" w:space="0"/>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lang w:val="en-US" w:eastAsia="zh-CN"/>
              </w:rPr>
            </w:pPr>
            <w:r>
              <w:rPr>
                <w:rFonts w:hint="eastAsia" w:ascii="仿宋_GB2312" w:eastAsia="仿宋_GB2312"/>
                <w:sz w:val="24"/>
                <w:szCs w:val="24"/>
                <w:lang w:val="en-US" w:eastAsia="zh-CN"/>
              </w:rPr>
              <w:t>医保平台村级光纤接入费</w:t>
            </w:r>
          </w:p>
        </w:tc>
        <w:tc>
          <w:tcPr>
            <w:tcW w:w="1117"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highlight w:val="none"/>
                <w:lang w:val="en-US" w:eastAsia="zh-CN"/>
              </w:rPr>
            </w:pPr>
            <w:r>
              <w:rPr>
                <w:rFonts w:hint="eastAsia" w:ascii="仿宋_GB2312" w:eastAsia="仿宋_GB2312"/>
                <w:color w:val="000000"/>
                <w:sz w:val="24"/>
                <w:szCs w:val="24"/>
                <w:highlight w:val="none"/>
                <w:lang w:val="en-US" w:eastAsia="zh-CN"/>
              </w:rPr>
              <w:t>36个村</w:t>
            </w:r>
          </w:p>
        </w:tc>
        <w:tc>
          <w:tcPr>
            <w:tcW w:w="1900"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highlight w:val="none"/>
                <w:lang w:val="en-US" w:eastAsia="zh-CN"/>
              </w:rPr>
            </w:pPr>
            <w:r>
              <w:rPr>
                <w:rFonts w:hint="eastAsia" w:ascii="仿宋_GB2312" w:eastAsia="仿宋_GB2312"/>
                <w:color w:val="000000"/>
                <w:sz w:val="24"/>
                <w:szCs w:val="24"/>
                <w:highlight w:val="none"/>
                <w:lang w:val="en-US" w:eastAsia="zh-CN"/>
              </w:rPr>
              <w:t>129元</w:t>
            </w:r>
            <w:r>
              <w:rPr>
                <w:rFonts w:hint="eastAsia" w:ascii="仿宋_GB2312"/>
                <w:color w:val="000000"/>
                <w:sz w:val="24"/>
                <w:szCs w:val="24"/>
                <w:highlight w:val="none"/>
                <w:lang w:val="en-US" w:eastAsia="zh-CN"/>
              </w:rPr>
              <w:t>/个村/年</w:t>
            </w:r>
          </w:p>
        </w:tc>
        <w:tc>
          <w:tcPr>
            <w:tcW w:w="1135"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eastAsia="仿宋_GB2312"/>
                <w:color w:val="000000"/>
                <w:sz w:val="24"/>
                <w:szCs w:val="24"/>
                <w:highlight w:val="none"/>
              </w:rPr>
            </w:pPr>
            <w:r>
              <w:rPr>
                <w:rFonts w:hint="eastAsia" w:ascii="仿宋_GB2312" w:eastAsia="仿宋_GB2312"/>
                <w:color w:val="000000"/>
                <w:sz w:val="24"/>
                <w:szCs w:val="24"/>
                <w:highlight w:val="none"/>
                <w:lang w:val="en-US" w:eastAsia="zh-CN"/>
              </w:rPr>
              <w:t>55728</w:t>
            </w:r>
            <w:r>
              <w:rPr>
                <w:rFonts w:hint="eastAsia" w:ascii="仿宋_GB2312" w:eastAsia="仿宋_GB2312"/>
                <w:color w:val="000000"/>
                <w:sz w:val="24"/>
                <w:szCs w:val="24"/>
                <w:highlight w:val="none"/>
              </w:rPr>
              <w:t>元</w:t>
            </w:r>
          </w:p>
        </w:tc>
        <w:tc>
          <w:tcPr>
            <w:tcW w:w="1451" w:type="dxa"/>
            <w:tcBorders>
              <w:top w:val="single" w:color="auto" w:sz="4" w:space="0"/>
              <w:left w:val="nil"/>
              <w:bottom w:val="single" w:color="auto" w:sz="4" w:space="0"/>
              <w:right w:val="single" w:color="auto" w:sz="4" w:space="0"/>
            </w:tcBorders>
          </w:tcPr>
          <w:p>
            <w:pPr>
              <w:ind w:left="0" w:leftChars="0" w:firstLine="0" w:firstLineChars="0"/>
              <w:rPr>
                <w:rFonts w:hint="eastAsia" w:eastAsiaTheme="minorEastAsia"/>
                <w:sz w:val="24"/>
                <w:szCs w:val="24"/>
                <w:lang w:eastAsia="zh-CN"/>
              </w:rPr>
            </w:pPr>
            <w:r>
              <w:rPr>
                <w:rFonts w:hint="eastAsia" w:ascii="仿宋_GB2312" w:eastAsia="仿宋_GB2312"/>
                <w:color w:val="000000"/>
                <w:sz w:val="24"/>
                <w:szCs w:val="24"/>
                <w:lang w:eastAsia="zh-CN"/>
              </w:rPr>
              <w:t>据实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5" w:type="dxa"/>
            <w:tcBorders>
              <w:top w:val="single" w:color="auto" w:sz="4" w:space="0"/>
              <w:left w:val="single" w:color="auto" w:sz="4" w:space="0"/>
              <w:bottom w:val="single" w:color="auto" w:sz="4" w:space="0"/>
              <w:right w:val="single" w:color="auto" w:sz="4" w:space="0"/>
            </w:tcBorders>
          </w:tcPr>
          <w:p>
            <w:pPr>
              <w:spacing w:line="400" w:lineRule="exact"/>
              <w:ind w:left="0" w:leftChars="0" w:firstLine="0" w:firstLineChars="0"/>
              <w:rPr>
                <w:rFonts w:hint="eastAsia" w:ascii="仿宋_GB2312" w:eastAsia="仿宋_GB2312"/>
                <w:color w:val="000000"/>
                <w:sz w:val="24"/>
                <w:szCs w:val="24"/>
                <w:lang w:eastAsia="zh-CN"/>
              </w:rPr>
            </w:pPr>
            <w:r>
              <w:rPr>
                <w:rFonts w:hint="eastAsia" w:ascii="仿宋_GB2312" w:eastAsia="仿宋_GB2312"/>
                <w:sz w:val="24"/>
                <w:szCs w:val="24"/>
                <w:lang w:eastAsia="zh-CN"/>
              </w:rPr>
              <w:t>安装调试费</w:t>
            </w:r>
          </w:p>
        </w:tc>
        <w:tc>
          <w:tcPr>
            <w:tcW w:w="1117"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highlight w:val="none"/>
                <w:lang w:val="en-US" w:eastAsia="zh-CN"/>
              </w:rPr>
            </w:pPr>
            <w:r>
              <w:rPr>
                <w:rFonts w:hint="eastAsia" w:ascii="仿宋_GB2312" w:eastAsia="仿宋_GB2312"/>
                <w:color w:val="000000"/>
                <w:sz w:val="24"/>
                <w:szCs w:val="24"/>
                <w:highlight w:val="none"/>
                <w:lang w:val="en-US" w:eastAsia="zh-CN"/>
              </w:rPr>
              <w:t>36个村</w:t>
            </w:r>
          </w:p>
        </w:tc>
        <w:tc>
          <w:tcPr>
            <w:tcW w:w="1900"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highlight w:val="none"/>
                <w:lang w:val="en-US" w:eastAsia="zh-CN"/>
              </w:rPr>
            </w:pPr>
            <w:r>
              <w:rPr>
                <w:rFonts w:hint="eastAsia" w:ascii="仿宋_GB2312" w:eastAsia="仿宋_GB2312"/>
                <w:color w:val="000000"/>
                <w:sz w:val="24"/>
                <w:szCs w:val="24"/>
                <w:highlight w:val="none"/>
                <w:lang w:val="en-US" w:eastAsia="zh-CN"/>
              </w:rPr>
              <w:t>200元</w:t>
            </w:r>
            <w:r>
              <w:rPr>
                <w:rFonts w:hint="eastAsia" w:ascii="仿宋_GB2312"/>
                <w:color w:val="000000"/>
                <w:sz w:val="24"/>
                <w:szCs w:val="24"/>
                <w:highlight w:val="none"/>
                <w:lang w:val="en-US" w:eastAsia="zh-CN"/>
              </w:rPr>
              <w:t>/个村/年</w:t>
            </w:r>
          </w:p>
        </w:tc>
        <w:tc>
          <w:tcPr>
            <w:tcW w:w="1135"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ascii="仿宋_GB2312" w:eastAsia="仿宋_GB2312"/>
                <w:color w:val="000000"/>
                <w:sz w:val="24"/>
                <w:szCs w:val="24"/>
                <w:highlight w:val="none"/>
              </w:rPr>
            </w:pPr>
            <w:r>
              <w:rPr>
                <w:rFonts w:hint="eastAsia" w:ascii="仿宋_GB2312" w:eastAsia="仿宋_GB2312"/>
                <w:color w:val="000000"/>
                <w:sz w:val="24"/>
                <w:szCs w:val="24"/>
                <w:highlight w:val="none"/>
                <w:lang w:val="en-US" w:eastAsia="zh-CN"/>
              </w:rPr>
              <w:t>7200</w:t>
            </w:r>
            <w:r>
              <w:rPr>
                <w:rFonts w:hint="eastAsia" w:ascii="仿宋_GB2312" w:eastAsia="仿宋_GB2312"/>
                <w:color w:val="000000"/>
                <w:sz w:val="24"/>
                <w:szCs w:val="24"/>
                <w:highlight w:val="none"/>
              </w:rPr>
              <w:t>元</w:t>
            </w:r>
          </w:p>
        </w:tc>
        <w:tc>
          <w:tcPr>
            <w:tcW w:w="1451" w:type="dxa"/>
            <w:tcBorders>
              <w:top w:val="single" w:color="auto" w:sz="4" w:space="0"/>
              <w:left w:val="nil"/>
              <w:bottom w:val="single" w:color="auto" w:sz="4" w:space="0"/>
              <w:right w:val="single" w:color="auto" w:sz="4" w:space="0"/>
            </w:tcBorders>
          </w:tcPr>
          <w:p>
            <w:pPr>
              <w:ind w:left="0" w:leftChars="0" w:firstLine="0" w:firstLineChars="0"/>
              <w:rPr>
                <w:rFonts w:hint="eastAsia" w:eastAsiaTheme="minorEastAsia"/>
                <w:sz w:val="24"/>
                <w:szCs w:val="24"/>
                <w:lang w:eastAsia="zh-CN"/>
              </w:rPr>
            </w:pPr>
            <w:r>
              <w:rPr>
                <w:rFonts w:hint="eastAsia" w:ascii="仿宋_GB2312" w:eastAsia="仿宋_GB2312"/>
                <w:color w:val="000000"/>
                <w:sz w:val="24"/>
                <w:szCs w:val="24"/>
                <w:lang w:eastAsia="zh-CN"/>
              </w:rPr>
              <w:t>据实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5" w:type="dxa"/>
            <w:tcBorders>
              <w:top w:val="single" w:color="auto" w:sz="4" w:space="0"/>
              <w:left w:val="single" w:color="auto" w:sz="4" w:space="0"/>
              <w:bottom w:val="single" w:color="auto" w:sz="4" w:space="0"/>
              <w:right w:val="single" w:color="auto" w:sz="4" w:space="0"/>
            </w:tcBorders>
          </w:tcPr>
          <w:p>
            <w:pPr>
              <w:spacing w:line="400" w:lineRule="exact"/>
              <w:ind w:left="0" w:leftChars="0" w:firstLine="0" w:firstLineChars="0"/>
              <w:rPr>
                <w:rFonts w:hint="eastAsia" w:ascii="仿宋_GB2312" w:hAnsi="宋体" w:eastAsia="仿宋_GB2312"/>
                <w:color w:val="000000"/>
                <w:sz w:val="24"/>
                <w:szCs w:val="24"/>
                <w:lang w:eastAsia="zh-CN"/>
              </w:rPr>
            </w:pPr>
            <w:r>
              <w:rPr>
                <w:rFonts w:hint="eastAsia" w:ascii="仿宋_GB2312" w:eastAsia="仿宋_GB2312"/>
                <w:sz w:val="24"/>
                <w:szCs w:val="24"/>
                <w:lang w:eastAsia="zh-CN"/>
              </w:rPr>
              <w:t>医保专线光纤费</w:t>
            </w:r>
          </w:p>
        </w:tc>
        <w:tc>
          <w:tcPr>
            <w:tcW w:w="1117"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lang w:val="en-US" w:eastAsia="zh-CN"/>
              </w:rPr>
            </w:pPr>
            <w:r>
              <w:rPr>
                <w:rFonts w:hint="eastAsia" w:ascii="仿宋_GB2312" w:eastAsia="仿宋_GB2312"/>
                <w:color w:val="000000"/>
                <w:sz w:val="24"/>
                <w:szCs w:val="24"/>
                <w:lang w:val="en-US" w:eastAsia="zh-CN"/>
              </w:rPr>
              <w:t>12</w:t>
            </w:r>
            <w:r>
              <w:rPr>
                <w:rFonts w:hint="eastAsia" w:ascii="仿宋_GB2312"/>
                <w:color w:val="000000"/>
                <w:sz w:val="24"/>
                <w:szCs w:val="24"/>
                <w:lang w:val="en-US" w:eastAsia="zh-CN"/>
              </w:rPr>
              <w:t>个</w:t>
            </w:r>
            <w:r>
              <w:rPr>
                <w:rFonts w:hint="eastAsia" w:ascii="仿宋_GB2312" w:eastAsia="仿宋_GB2312"/>
                <w:color w:val="000000"/>
                <w:sz w:val="24"/>
                <w:szCs w:val="24"/>
                <w:lang w:val="en-US" w:eastAsia="zh-CN"/>
              </w:rPr>
              <w:t>月</w:t>
            </w:r>
          </w:p>
        </w:tc>
        <w:tc>
          <w:tcPr>
            <w:tcW w:w="1900"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lang w:val="en-US" w:eastAsia="zh-CN"/>
              </w:rPr>
            </w:pPr>
            <w:r>
              <w:rPr>
                <w:rFonts w:hint="eastAsia" w:ascii="仿宋_GB2312" w:eastAsia="仿宋_GB2312"/>
                <w:color w:val="000000"/>
                <w:sz w:val="24"/>
                <w:szCs w:val="24"/>
                <w:lang w:val="en-US" w:eastAsia="zh-CN"/>
              </w:rPr>
              <w:t>214</w:t>
            </w:r>
            <w:r>
              <w:rPr>
                <w:rFonts w:hint="eastAsia" w:ascii="仿宋_GB2312"/>
                <w:color w:val="000000"/>
                <w:sz w:val="24"/>
                <w:szCs w:val="24"/>
                <w:lang w:val="en-US" w:eastAsia="zh-CN"/>
              </w:rPr>
              <w:t>.</w:t>
            </w:r>
            <w:r>
              <w:rPr>
                <w:rFonts w:hint="eastAsia" w:ascii="仿宋_GB2312" w:eastAsia="仿宋_GB2312"/>
                <w:color w:val="000000"/>
                <w:sz w:val="24"/>
                <w:szCs w:val="24"/>
                <w:lang w:val="en-US" w:eastAsia="zh-CN"/>
              </w:rPr>
              <w:t>33</w:t>
            </w:r>
            <w:r>
              <w:rPr>
                <w:rFonts w:hint="eastAsia" w:ascii="仿宋_GB2312"/>
                <w:color w:val="000000"/>
                <w:sz w:val="24"/>
                <w:szCs w:val="24"/>
                <w:lang w:val="en-US" w:eastAsia="zh-CN"/>
              </w:rPr>
              <w:t>元/月</w:t>
            </w:r>
          </w:p>
        </w:tc>
        <w:tc>
          <w:tcPr>
            <w:tcW w:w="1135" w:type="dxa"/>
            <w:tcBorders>
              <w:top w:val="single" w:color="auto" w:sz="4" w:space="0"/>
              <w:left w:val="nil"/>
              <w:bottom w:val="single" w:color="auto" w:sz="4" w:space="0"/>
              <w:right w:val="single" w:color="auto" w:sz="4" w:space="0"/>
            </w:tcBorders>
          </w:tcPr>
          <w:p>
            <w:pPr>
              <w:spacing w:line="400" w:lineRule="exact"/>
              <w:ind w:left="0" w:leftChars="0" w:firstLine="0" w:firstLineChars="0"/>
              <w:rPr>
                <w:rFonts w:hint="default" w:ascii="仿宋_GB2312" w:eastAsia="仿宋_GB2312"/>
                <w:color w:val="000000"/>
                <w:sz w:val="24"/>
                <w:szCs w:val="24"/>
                <w:lang w:val="en-US" w:eastAsia="zh-CN"/>
              </w:rPr>
            </w:pPr>
            <w:r>
              <w:rPr>
                <w:rFonts w:hint="eastAsia" w:ascii="仿宋_GB2312" w:eastAsia="仿宋_GB2312"/>
                <w:color w:val="000000"/>
                <w:sz w:val="24"/>
                <w:szCs w:val="24"/>
                <w:lang w:val="en-US" w:eastAsia="zh-CN"/>
              </w:rPr>
              <w:t>2572元</w:t>
            </w:r>
          </w:p>
        </w:tc>
        <w:tc>
          <w:tcPr>
            <w:tcW w:w="1451" w:type="dxa"/>
            <w:tcBorders>
              <w:top w:val="single" w:color="auto" w:sz="4" w:space="0"/>
              <w:left w:val="nil"/>
              <w:bottom w:val="single" w:color="auto" w:sz="4" w:space="0"/>
              <w:right w:val="single" w:color="auto" w:sz="4" w:space="0"/>
            </w:tcBorders>
          </w:tcPr>
          <w:p>
            <w:pPr>
              <w:ind w:left="0" w:leftChars="0" w:firstLine="0" w:firstLineChars="0"/>
              <w:rPr>
                <w:rFonts w:hint="eastAsia" w:eastAsiaTheme="minorEastAsia"/>
                <w:sz w:val="24"/>
                <w:szCs w:val="24"/>
                <w:lang w:eastAsia="zh-CN"/>
              </w:rPr>
            </w:pPr>
            <w:r>
              <w:rPr>
                <w:rFonts w:hint="eastAsia" w:ascii="仿宋_GB2312" w:eastAsia="仿宋_GB2312"/>
                <w:color w:val="000000"/>
                <w:sz w:val="24"/>
                <w:szCs w:val="24"/>
                <w:lang w:eastAsia="zh-CN"/>
              </w:rPr>
              <w:t>据实</w:t>
            </w:r>
          </w:p>
        </w:tc>
      </w:tr>
    </w:tbl>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kern w:val="0"/>
          <w:szCs w:val="28"/>
        </w:rPr>
        <w:t>故预算编制科学性指标得分3分。</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仿宋_GB2312" w:hAnsi="Times New Roman" w:cs="Times New Roman"/>
          <w:bCs/>
          <w:kern w:val="0"/>
          <w:szCs w:val="28"/>
          <w:highlight w:val="none"/>
          <w:lang w:bidi="en-US"/>
        </w:rPr>
        <w:t>根据</w:t>
      </w:r>
      <w:r>
        <w:rPr>
          <w:rFonts w:hint="default" w:ascii="Times New Roman" w:hAnsi="Times New Roman" w:cs="Times New Roman"/>
          <w:szCs w:val="28"/>
          <w:highlight w:val="none"/>
        </w:rPr>
        <w:t>新医保【2021】12号关于印发《自治区医疗保障骨干网接入实施方案》</w:t>
      </w:r>
      <w:r>
        <w:rPr>
          <w:rFonts w:hint="eastAsia" w:ascii="仿宋_GB2312" w:hAnsi="Times New Roman" w:cs="Times New Roman"/>
          <w:bCs/>
          <w:kern w:val="0"/>
          <w:szCs w:val="28"/>
          <w:highlight w:val="none"/>
          <w:lang w:bidi="en-US"/>
        </w:rPr>
        <w:t>文件精神，该部分资金适合使用</w:t>
      </w:r>
      <w:r>
        <w:rPr>
          <w:rFonts w:hint="eastAsia" w:ascii="Times New Roman" w:hAnsi="Times New Roman" w:cs="Times New Roman"/>
          <w:szCs w:val="28"/>
          <w:highlight w:val="none"/>
          <w:lang w:val="en-US" w:eastAsia="zh-CN"/>
        </w:rPr>
        <w:t>医保平台村级光纤接入费</w:t>
      </w:r>
      <w:r>
        <w:rPr>
          <w:rFonts w:hint="eastAsia" w:ascii="Times New Roman" w:hAnsi="Times New Roman" w:cs="Times New Roman"/>
          <w:szCs w:val="28"/>
          <w:highlight w:val="none"/>
          <w:lang w:eastAsia="zh-CN"/>
        </w:rPr>
        <w:t>项目</w:t>
      </w:r>
      <w:r>
        <w:rPr>
          <w:rFonts w:hint="eastAsia" w:ascii="仿宋_GB2312" w:hAnsi="Times New Roman" w:cs="Times New Roman"/>
          <w:bCs/>
          <w:kern w:val="0"/>
          <w:szCs w:val="28"/>
          <w:highlight w:val="none"/>
          <w:lang w:bidi="en-US"/>
        </w:rPr>
        <w:t>，</w:t>
      </w:r>
      <w:r>
        <w:rPr>
          <w:rFonts w:hint="eastAsia" w:ascii="仿宋_GB2312" w:hAnsi="Times New Roman" w:cs="Times New Roman"/>
          <w:bCs/>
          <w:kern w:val="0"/>
          <w:szCs w:val="28"/>
          <w:highlight w:val="none"/>
          <w:lang w:val="en-US" w:eastAsia="zh-CN" w:bidi="en-US"/>
        </w:rPr>
        <w:t>该项目预算资金</w:t>
      </w:r>
      <w:r>
        <w:rPr>
          <w:rFonts w:hint="eastAsia" w:ascii="仿宋_GB2312" w:hAnsi="Times New Roman" w:cs="Times New Roman"/>
          <w:bCs/>
          <w:kern w:val="0"/>
          <w:szCs w:val="28"/>
          <w:highlight w:val="none"/>
          <w:lang w:bidi="en-US"/>
        </w:rPr>
        <w:t>依据</w:t>
      </w:r>
      <w:r>
        <w:rPr>
          <w:rFonts w:hint="eastAsia" w:ascii="仿宋_GB2312" w:hAnsi="Times New Roman" w:cs="Times New Roman"/>
          <w:bCs/>
          <w:kern w:val="0"/>
          <w:szCs w:val="28"/>
          <w:highlight w:val="none"/>
          <w:lang w:val="en-US" w:eastAsia="zh-CN" w:bidi="en-US"/>
        </w:rPr>
        <w:t>上述预算编制</w:t>
      </w:r>
      <w:r>
        <w:rPr>
          <w:rFonts w:hint="eastAsia" w:ascii="仿宋_GB2312" w:hAnsi="Times New Roman" w:cs="Times New Roman"/>
          <w:bCs/>
          <w:kern w:val="0"/>
          <w:szCs w:val="28"/>
          <w:highlight w:val="none"/>
          <w:lang w:bidi="en-US"/>
        </w:rPr>
        <w:t>来测算，在项目运作后，可以完全覆盖</w:t>
      </w:r>
      <w:r>
        <w:rPr>
          <w:rFonts w:hint="eastAsia" w:ascii="仿宋_GB2312" w:hAnsi="Times New Roman" w:cs="Times New Roman"/>
          <w:bCs/>
          <w:kern w:val="0"/>
          <w:szCs w:val="28"/>
          <w:highlight w:val="none"/>
          <w:lang w:val="en-US" w:eastAsia="zh-CN" w:bidi="en-US"/>
        </w:rPr>
        <w:t>项目</w:t>
      </w:r>
      <w:r>
        <w:rPr>
          <w:rFonts w:hint="eastAsia" w:ascii="仿宋_GB2312" w:hAnsi="Times New Roman" w:cs="Times New Roman"/>
          <w:bCs/>
          <w:kern w:val="0"/>
          <w:szCs w:val="28"/>
          <w:highlight w:val="none"/>
          <w:lang w:bidi="en-US"/>
        </w:rPr>
        <w:t>成本。</w:t>
      </w:r>
      <w:r>
        <w:rPr>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cs="Times New Roman"/>
          <w:szCs w:val="28"/>
        </w:rPr>
      </w:pPr>
      <w:r>
        <w:rPr>
          <w:rFonts w:hint="default" w:ascii="Times New Roman" w:hAnsi="Times New Roman" w:cs="Times New Roman"/>
          <w:szCs w:val="28"/>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p>
    <w:p>
      <w:pPr>
        <w:spacing w:line="360" w:lineRule="auto"/>
        <w:ind w:firstLine="562"/>
        <w:rPr>
          <w:rFonts w:hint="default" w:ascii="Times New Roman" w:hAnsi="Times New Roman" w:cs="Times New Roman"/>
        </w:rPr>
      </w:pP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eastAsia" w:ascii="Times New Roman" w:hAnsi="Times New Roman" w:cs="Times New Roman"/>
          <w:b w:val="0"/>
          <w:bCs w:val="0"/>
          <w:szCs w:val="28"/>
          <w:lang w:val="en-US" w:eastAsia="zh-CN"/>
        </w:rPr>
        <w:t>该项目</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6.55</w:t>
      </w:r>
      <w:r>
        <w:rPr>
          <w:rFonts w:hint="default" w:ascii="Times New Roman" w:hAnsi="Times New Roman" w:cs="Times New Roman"/>
          <w:szCs w:val="28"/>
          <w:lang w:eastAsia="zh-CN"/>
        </w:rPr>
        <w:t>万元</w:t>
      </w:r>
      <w:r>
        <w:rPr>
          <w:rFonts w:hint="eastAsia" w:ascii="仿宋_GB2312" w:hAnsi="仿宋" w:cs="宋体"/>
          <w:kern w:val="0"/>
          <w:szCs w:val="28"/>
        </w:rPr>
        <w:t>由财政拨付</w:t>
      </w:r>
      <w:r>
        <w:rPr>
          <w:rFonts w:hint="eastAsia" w:ascii="仿宋_GB2312" w:hAnsi="仿宋" w:cs="宋体"/>
          <w:b/>
          <w:kern w:val="0"/>
          <w:szCs w:val="28"/>
        </w:rPr>
        <w:t>，</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仿宋_GB2312" w:hAnsi="仿宋" w:cs="宋体"/>
          <w:kern w:val="0"/>
          <w:szCs w:val="28"/>
          <w:highlight w:val="none"/>
          <w:lang w:val="en-US" w:eastAsia="zh-CN"/>
        </w:rPr>
        <w:t>1</w:t>
      </w:r>
      <w:r>
        <w:rPr>
          <w:rFonts w:hint="eastAsia" w:ascii="仿宋_GB2312" w:hAnsi="仿宋" w:cs="宋体"/>
          <w:kern w:val="0"/>
          <w:szCs w:val="28"/>
          <w:highlight w:val="none"/>
        </w:rPr>
        <w:t>月</w:t>
      </w:r>
      <w:r>
        <w:rPr>
          <w:rFonts w:hint="eastAsia" w:ascii="仿宋_GB2312" w:hAnsi="仿宋" w:cs="宋体"/>
          <w:kern w:val="0"/>
          <w:szCs w:val="28"/>
          <w:highlight w:val="none"/>
          <w:lang w:val="en-US" w:eastAsia="zh-CN"/>
        </w:rPr>
        <w:t>20</w:t>
      </w:r>
      <w:r>
        <w:rPr>
          <w:rFonts w:hint="eastAsia" w:ascii="仿宋_GB2312" w:hAnsi="仿宋" w:cs="宋体"/>
          <w:kern w:val="0"/>
          <w:szCs w:val="28"/>
          <w:highlight w:val="none"/>
        </w:rPr>
        <w:t>日</w:t>
      </w:r>
      <w:r>
        <w:rPr>
          <w:rFonts w:hint="default" w:ascii="Times New Roman" w:hAnsi="Times New Roman" w:cs="Times New Roman"/>
          <w:szCs w:val="28"/>
          <w:highlight w:val="none"/>
          <w:lang w:eastAsia="zh-CN"/>
        </w:rPr>
        <w:t>拨付到位，资金与实际到位资金相符，资金到位率100%。</w:t>
      </w:r>
      <w:r>
        <w:rPr>
          <w:rFonts w:hint="default" w:ascii="Times New Roman" w:hAnsi="Times New Roman" w:cs="Times New Roman"/>
          <w:szCs w:val="28"/>
          <w:lang w:eastAsia="zh-CN"/>
        </w:rPr>
        <w:t>故资金到位率指标得分</w:t>
      </w:r>
      <w:r>
        <w:rPr>
          <w:rFonts w:hint="default" w:ascii="Times New Roman" w:hAnsi="Times New Roman" w:cs="Times New Roman"/>
          <w:szCs w:val="28"/>
          <w:lang w:val="en-US" w:eastAsia="zh-CN"/>
        </w:rPr>
        <w:t>5</w:t>
      </w:r>
      <w:r>
        <w:rPr>
          <w:rFonts w:hint="default" w:ascii="Times New Roman" w:hAnsi="Times New Roman" w:cs="Times New Roman"/>
          <w:szCs w:val="28"/>
          <w:lang w:eastAsia="zh-CN"/>
        </w:rPr>
        <w:t>分。</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b/>
          <w:bCs/>
          <w:szCs w:val="28"/>
          <w:lang w:eastAsia="zh-CN"/>
        </w:rPr>
        <w:t>预算执行率：</w:t>
      </w:r>
      <w:r>
        <w:rPr>
          <w:rFonts w:hint="default" w:ascii="Times New Roman" w:hAnsi="Times New Roman" w:cs="Times New Roman"/>
          <w:szCs w:val="28"/>
          <w:lang w:val="en-US" w:eastAsia="zh-CN"/>
        </w:rPr>
        <w:t>项目正常开展，202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5</w:t>
      </w:r>
      <w:r>
        <w:rPr>
          <w:rFonts w:hint="default" w:ascii="Times New Roman" w:hAnsi="Times New Roman" w:cs="Times New Roman"/>
          <w:szCs w:val="28"/>
          <w:lang w:val="en-US" w:eastAsia="zh-CN"/>
        </w:rPr>
        <w:t>日共计支出经费</w:t>
      </w:r>
      <w:r>
        <w:rPr>
          <w:rFonts w:hint="eastAsia" w:ascii="Times New Roman" w:hAnsi="Times New Roman" w:cs="Times New Roman"/>
          <w:szCs w:val="28"/>
          <w:lang w:val="en-US" w:eastAsia="zh-CN"/>
        </w:rPr>
        <w:t>6.55</w:t>
      </w:r>
      <w:r>
        <w:rPr>
          <w:rFonts w:hint="default" w:ascii="Times New Roman" w:hAnsi="Times New Roman" w:cs="Times New Roman"/>
          <w:szCs w:val="28"/>
          <w:lang w:val="en-US" w:eastAsia="zh-CN"/>
        </w:rPr>
        <w:t>万元，经费主要用于</w:t>
      </w:r>
      <w:r>
        <w:rPr>
          <w:rFonts w:hint="eastAsia" w:ascii="Times New Roman" w:hAnsi="Times New Roman" w:cs="Times New Roman"/>
          <w:szCs w:val="28"/>
          <w:lang w:val="en-US" w:eastAsia="zh-CN"/>
        </w:rPr>
        <w:t>36个</w:t>
      </w:r>
      <w:r>
        <w:rPr>
          <w:rFonts w:hint="eastAsia" w:ascii="Times New Roman" w:hAnsi="Times New Roman" w:cs="Times New Roman"/>
          <w:szCs w:val="28"/>
          <w:lang w:eastAsia="zh-CN"/>
        </w:rPr>
        <w:t>村级卫生室以及我单位业务平台（新疆维吾尔自治区医疗保障信息平台）</w:t>
      </w:r>
      <w:r>
        <w:rPr>
          <w:rFonts w:hint="eastAsia" w:ascii="Times New Roman" w:hAnsi="Times New Roman" w:cs="Times New Roman"/>
          <w:szCs w:val="28"/>
          <w:lang w:val="en-US" w:eastAsia="zh-CN"/>
        </w:rPr>
        <w:t>专网</w:t>
      </w:r>
      <w:r>
        <w:rPr>
          <w:rFonts w:hint="eastAsia" w:ascii="Times New Roman" w:hAnsi="Times New Roman" w:cs="Times New Roman"/>
          <w:szCs w:val="28"/>
          <w:lang w:eastAsia="zh-CN"/>
        </w:rPr>
        <w:t>光纤费</w:t>
      </w:r>
      <w:r>
        <w:rPr>
          <w:rFonts w:hint="default" w:ascii="Times New Roman" w:hAnsi="Times New Roman" w:cs="Times New Roman"/>
          <w:szCs w:val="28"/>
          <w:lang w:eastAsia="zh-CN"/>
        </w:rPr>
        <w:t>。</w:t>
      </w:r>
      <w:r>
        <w:rPr>
          <w:rFonts w:hint="eastAsia" w:ascii="Times New Roman" w:hAnsi="Times New Roman" w:cs="Times New Roman"/>
          <w:szCs w:val="28"/>
          <w:lang w:val="en-US" w:eastAsia="zh-CN"/>
        </w:rPr>
        <w:t>2022年年初预算资金到位，3月份按照财务规定的用途一笔将6.55万元专网光纤费支付中国电信乌鲁木齐县水西沟分公司，执行完成，该项目达到预期效果</w:t>
      </w:r>
      <w:r>
        <w:rPr>
          <w:rFonts w:hint="eastAsia" w:ascii="Times New Roman" w:hAnsi="Times New Roman" w:cs="Times New Roman"/>
          <w:szCs w:val="28"/>
          <w:lang w:eastAsia="zh-CN"/>
        </w:rPr>
        <w:t>，</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eastAsia" w:ascii="Times New Roman" w:hAnsi="Times New Roman" w:cs="Times New Roman"/>
          <w:szCs w:val="28"/>
          <w:lang w:val="en-US"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乌鲁木齐县医疗保障局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乌鲁木齐县医疗保障局</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数量指标“接入光纤村级数量”的目标值是</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36个村</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36个村。</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0"/>
        <w:rPr>
          <w:rFonts w:hint="eastAsia" w:ascii="Times New Roman" w:hAnsi="Times New Roman" w:eastAsia="仿宋_GB2312" w:cs="Times New Roman"/>
          <w:bCs/>
          <w:szCs w:val="28"/>
          <w:lang w:eastAsia="zh-CN"/>
        </w:rPr>
      </w:pPr>
      <w:bookmarkStart w:id="45" w:name="_Toc100784610"/>
      <w:r>
        <w:rPr>
          <w:rFonts w:hint="default" w:ascii="Times New Roman" w:hAnsi="Times New Roman" w:eastAsia="仿宋_GB2312" w:cs="Times New Roman"/>
          <w:b w:val="0"/>
          <w:bCs/>
          <w:kern w:val="2"/>
          <w:sz w:val="28"/>
          <w:szCs w:val="28"/>
          <w:lang w:val="en-US" w:eastAsia="zh-CN" w:bidi="ar-SA"/>
        </w:rPr>
        <w:t>医保信息系统正常运行率</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Cs/>
          <w:szCs w:val="28"/>
        </w:rPr>
        <w:t>目标值是</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值95%</w:t>
      </w:r>
      <w:r>
        <w:rPr>
          <w:rFonts w:hint="eastAsia" w:ascii="Times New Roman" w:hAnsi="Times New Roman" w:cs="Times New Roman"/>
          <w:bCs/>
          <w:szCs w:val="28"/>
          <w:lang w:eastAsia="zh-CN"/>
        </w:rPr>
        <w:t>；</w:t>
      </w:r>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eastAsia="仿宋_GB2312" w:cs="Times New Roman"/>
          <w:b w:val="0"/>
          <w:bCs/>
          <w:kern w:val="2"/>
          <w:sz w:val="28"/>
          <w:szCs w:val="28"/>
          <w:lang w:val="en-US" w:eastAsia="zh-CN" w:bidi="ar-SA"/>
        </w:rPr>
        <w:t>医保信息平台专线覆盖率</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Cs/>
          <w:szCs w:val="28"/>
        </w:rPr>
        <w:t>目标值是</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98%</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值98%</w:t>
      </w:r>
      <w:r>
        <w:rPr>
          <w:rFonts w:hint="eastAsia" w:ascii="Times New Roman" w:hAnsi="Times New Roman" w:cs="Times New Roman"/>
          <w:bCs/>
          <w:szCs w:val="28"/>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3.产出时效</w:t>
      </w:r>
      <w:bookmarkEnd w:id="45"/>
    </w:p>
    <w:p>
      <w:pPr>
        <w:spacing w:line="360" w:lineRule="auto"/>
        <w:ind w:firstLine="562"/>
        <w:rPr>
          <w:rFonts w:hint="eastAsia" w:ascii="Times New Roman" w:hAnsi="Times New Roman" w:cs="Times New Roman"/>
          <w:b w:val="0"/>
          <w:bCs/>
          <w:kern w:val="2"/>
          <w:sz w:val="28"/>
          <w:szCs w:val="28"/>
          <w:lang w:val="en-US" w:eastAsia="zh-CN" w:bidi="ar-SA"/>
        </w:rPr>
      </w:pPr>
      <w:r>
        <w:rPr>
          <w:rFonts w:hint="default" w:ascii="Times New Roman" w:hAnsi="Times New Roman" w:cs="Times New Roman"/>
          <w:b/>
          <w:bCs/>
          <w:szCs w:val="28"/>
        </w:rPr>
        <w:t>完成及时性：</w:t>
      </w:r>
      <w:r>
        <w:rPr>
          <w:rFonts w:hint="default" w:ascii="Times New Roman" w:hAnsi="Times New Roman" w:eastAsia="仿宋_GB2312" w:cs="Times New Roman"/>
          <w:b w:val="0"/>
          <w:bCs/>
          <w:kern w:val="2"/>
          <w:sz w:val="28"/>
          <w:szCs w:val="28"/>
          <w:lang w:val="en-US" w:eastAsia="zh-CN" w:bidi="ar-SA"/>
        </w:rPr>
        <w:t>医保专线接入及时率</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Cs/>
          <w:szCs w:val="28"/>
        </w:rPr>
        <w:t>目标值是</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值95%</w:t>
      </w:r>
      <w:r>
        <w:rPr>
          <w:rFonts w:hint="eastAsia" w:ascii="Times New Roman" w:hAnsi="Times New Roman" w:cs="Times New Roman"/>
          <w:b w:val="0"/>
          <w:bCs/>
          <w:kern w:val="2"/>
          <w:sz w:val="28"/>
          <w:szCs w:val="28"/>
          <w:lang w:val="en-US" w:eastAsia="zh-CN" w:bidi="ar-SA"/>
        </w:rPr>
        <w:t>。</w:t>
      </w:r>
      <w:r>
        <w:rPr>
          <w:rFonts w:hint="eastAsia" w:ascii="Times New Roman" w:hAnsi="Times New Roman" w:cs="Times New Roman"/>
          <w:szCs w:val="28"/>
          <w:lang w:eastAsia="zh-CN"/>
        </w:rPr>
        <w:t>因年初财政</w:t>
      </w:r>
      <w:r>
        <w:rPr>
          <w:rFonts w:hint="eastAsia" w:ascii="Times New Roman" w:hAnsi="Times New Roman" w:cs="Times New Roman"/>
          <w:szCs w:val="28"/>
          <w:lang w:val="en-US" w:eastAsia="zh-CN"/>
        </w:rPr>
        <w:t>2.0新大平台试运行，</w:t>
      </w:r>
      <w:r>
        <w:rPr>
          <w:rFonts w:hint="eastAsia" w:ascii="Times New Roman" w:hAnsi="Times New Roman" w:cs="Times New Roman"/>
          <w:szCs w:val="28"/>
          <w:lang w:eastAsia="zh-CN"/>
        </w:rPr>
        <w:t>财政预算程序需要提交、审核等相关事宜，此项目资金经过财务拨付、执行流程缓慢，</w:t>
      </w:r>
      <w:r>
        <w:rPr>
          <w:rFonts w:hint="eastAsia" w:ascii="Times New Roman" w:hAnsi="Times New Roman" w:cs="Times New Roman"/>
          <w:szCs w:val="28"/>
          <w:lang w:val="en-US" w:eastAsia="zh-CN"/>
        </w:rPr>
        <w:t>3月份才支付完成。</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cs="Times New Roman"/>
          <w:b/>
          <w:bCs/>
          <w:szCs w:val="28"/>
          <w:highlight w:val="none"/>
        </w:rPr>
        <w:t>成本节约率：</w:t>
      </w:r>
      <w:r>
        <w:rPr>
          <w:rFonts w:hint="eastAsia" w:ascii="Times New Roman" w:hAnsi="Times New Roman" w:eastAsia="仿宋_GB2312" w:cs="Times New Roman"/>
          <w:b w:val="0"/>
          <w:bCs/>
          <w:kern w:val="2"/>
          <w:sz w:val="28"/>
          <w:szCs w:val="28"/>
          <w:lang w:val="en-US" w:eastAsia="zh-CN" w:bidi="ar-SA"/>
        </w:rPr>
        <w:t>该项目实际支出</w:t>
      </w:r>
      <w:r>
        <w:rPr>
          <w:rFonts w:hint="default" w:ascii="Times New Roman" w:hAnsi="Times New Roman" w:eastAsia="仿宋_GB2312" w:cs="Times New Roman"/>
          <w:b w:val="0"/>
          <w:bCs/>
          <w:kern w:val="2"/>
          <w:sz w:val="28"/>
          <w:szCs w:val="28"/>
          <w:lang w:val="en-US" w:eastAsia="zh-CN" w:bidi="ar-SA"/>
        </w:rPr>
        <w:t xml:space="preserve"> </w:t>
      </w:r>
      <w:r>
        <w:rPr>
          <w:rFonts w:hint="eastAsia" w:ascii="Times New Roman" w:hAnsi="Times New Roman" w:eastAsia="仿宋_GB2312" w:cs="Times New Roman"/>
          <w:b w:val="0"/>
          <w:bCs/>
          <w:kern w:val="2"/>
          <w:sz w:val="28"/>
          <w:szCs w:val="28"/>
          <w:lang w:val="en-US" w:eastAsia="zh-CN" w:bidi="ar-SA"/>
        </w:rPr>
        <w:t>6.55</w:t>
      </w:r>
      <w:r>
        <w:rPr>
          <w:rFonts w:hint="default" w:ascii="Times New Roman" w:hAnsi="Times New Roman" w:eastAsia="仿宋_GB2312" w:cs="Times New Roman"/>
          <w:b w:val="0"/>
          <w:bCs/>
          <w:kern w:val="2"/>
          <w:sz w:val="28"/>
          <w:szCs w:val="28"/>
          <w:lang w:val="en-US" w:eastAsia="zh-CN" w:bidi="ar-SA"/>
        </w:rPr>
        <w:t xml:space="preserve"> </w:t>
      </w:r>
      <w:r>
        <w:rPr>
          <w:rFonts w:hint="eastAsia" w:ascii="Times New Roman" w:hAnsi="Times New Roman" w:eastAsia="仿宋_GB2312" w:cs="Times New Roman"/>
          <w:b w:val="0"/>
          <w:bCs/>
          <w:kern w:val="2"/>
          <w:sz w:val="28"/>
          <w:szCs w:val="28"/>
          <w:lang w:val="en-US" w:eastAsia="zh-CN" w:bidi="ar-SA"/>
        </w:rPr>
        <w:t>万元，无超支情况，项目资金全部完成</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 w:val="0"/>
          <w:bCs w:val="0"/>
          <w:szCs w:val="28"/>
          <w:lang w:val="en-US" w:eastAsia="zh-CN"/>
        </w:rPr>
        <w:t>项目预算控制率</w:t>
      </w:r>
      <w:r>
        <w:rPr>
          <w:rFonts w:hint="eastAsia" w:ascii="Times New Roman" w:hAnsi="Times New Roman" w:eastAsia="仿宋_GB2312" w:cs="Times New Roman"/>
          <w:b w:val="0"/>
          <w:bCs w:val="0"/>
          <w:kern w:val="2"/>
          <w:sz w:val="28"/>
          <w:szCs w:val="28"/>
          <w:lang w:val="en-US" w:eastAsia="zh-CN" w:bidi="ar-SA"/>
        </w:rPr>
        <w:t>100%</w:t>
      </w:r>
      <w:r>
        <w:rPr>
          <w:rFonts w:hint="eastAsia" w:ascii="Times New Roman" w:hAnsi="Times New Roman" w:cs="Times New Roman"/>
          <w:szCs w:val="28"/>
          <w:lang w:val="en-US" w:eastAsia="zh-CN"/>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r>
        <w:rPr>
          <w:rFonts w:hint="default" w:ascii="Times New Roman" w:hAnsi="Times New Roman" w:eastAsia="仿宋_GB2312" w:cs="Times New Roman"/>
          <w:b w:val="0"/>
          <w:bCs w:val="0"/>
          <w:kern w:val="2"/>
          <w:sz w:val="28"/>
          <w:szCs w:val="28"/>
          <w:lang w:val="en-US" w:eastAsia="zh-CN" w:bidi="ar-SA"/>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38</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eastAsia="zh-CN"/>
        </w:rPr>
        <w:t>提升医疗保障工作信息平台效率，</w:t>
      </w:r>
      <w:r>
        <w:rPr>
          <w:rFonts w:hint="default" w:ascii="Times New Roman" w:hAnsi="Times New Roman" w:cs="Times New Roman"/>
          <w:szCs w:val="28"/>
        </w:rPr>
        <w:t>指标值：有所提</w:t>
      </w:r>
      <w:r>
        <w:rPr>
          <w:rFonts w:hint="eastAsia" w:ascii="Times New Roman" w:hAnsi="Times New Roman" w:cs="Times New Roman"/>
          <w:szCs w:val="28"/>
          <w:lang w:val="en-US" w:eastAsia="zh-CN"/>
        </w:rPr>
        <w:t>升</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评价指标可持续开展信息工作，指标值：</w:t>
      </w:r>
      <w:r>
        <w:rPr>
          <w:rFonts w:hint="eastAsia" w:ascii="Times New Roman" w:hAnsi="Times New Roman" w:cs="Times New Roman"/>
          <w:szCs w:val="28"/>
          <w:lang w:eastAsia="zh-CN"/>
        </w:rPr>
        <w:t>长期，</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w:t>
      </w:r>
    </w:p>
    <w:p>
      <w:pPr>
        <w:autoSpaceDE w:val="0"/>
        <w:spacing w:line="600" w:lineRule="exact"/>
        <w:ind w:firstLine="562"/>
        <w:rPr>
          <w:rFonts w:hint="default" w:ascii="Times New Roman" w:hAnsi="Times New Roman" w:cs="Times New Roman"/>
          <w:b/>
          <w:kern w:val="0"/>
          <w:szCs w:val="28"/>
          <w:lang w:val="en-US" w:eastAsia="zh-CN"/>
        </w:rPr>
      </w:pPr>
      <w:r>
        <w:rPr>
          <w:rFonts w:hint="default" w:ascii="Times New Roman" w:hAnsi="Times New Roman" w:cs="Times New Roman"/>
          <w:b/>
          <w:kern w:val="0"/>
          <w:szCs w:val="28"/>
        </w:rPr>
        <w:t>综上，</w:t>
      </w:r>
      <w:r>
        <w:rPr>
          <w:rFonts w:hint="default" w:ascii="Times New Roman" w:hAnsi="Times New Roman" w:cs="Times New Roman"/>
          <w:b/>
          <w:kern w:val="0"/>
          <w:szCs w:val="28"/>
          <w:lang w:val="en-US" w:eastAsia="zh-CN"/>
        </w:rPr>
        <w:t>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lang w:val="en-US" w:eastAsia="zh-CN"/>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lang w:val="en-US" w:eastAsia="zh-CN"/>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lang w:eastAsia="zh-CN"/>
        </w:rPr>
        <w:t>使用人员满意度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20</w:t>
      </w:r>
      <w:r>
        <w:rPr>
          <w:rFonts w:hint="default" w:ascii="Times New Roman" w:hAnsi="Times New Roman" w:cs="Times New Roman"/>
          <w:szCs w:val="28"/>
        </w:rPr>
        <w:t>份。其中，统计</w:t>
      </w:r>
      <w:r>
        <w:rPr>
          <w:rFonts w:hint="eastAsia" w:ascii="Times New Roman" w:hAnsi="Times New Roman" w:cs="Times New Roman"/>
          <w:szCs w:val="28"/>
          <w:lang w:eastAsia="zh-CN"/>
        </w:rPr>
        <w:t>“使用人员满意度”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lang w:val="en-US" w:eastAsia="zh-CN"/>
        </w:rPr>
      </w:pPr>
      <w:r>
        <w:rPr>
          <w:rFonts w:hint="default" w:ascii="Times New Roman" w:hAnsi="Times New Roman" w:cs="Times New Roman"/>
          <w:b/>
          <w:kern w:val="0"/>
          <w:szCs w:val="28"/>
        </w:rPr>
        <w:t>综上，该指标</w:t>
      </w:r>
      <w:r>
        <w:rPr>
          <w:rFonts w:hint="default" w:ascii="Times New Roman" w:hAnsi="Times New Roman" w:cs="Times New Roman"/>
          <w:b/>
          <w:kern w:val="0"/>
          <w:szCs w:val="28"/>
          <w:lang w:val="en-US" w:eastAsia="zh-CN"/>
        </w:rPr>
        <w:t>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lang w:val="en-US" w:eastAsia="zh-CN"/>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lang w:val="en-US" w:eastAsia="zh-CN"/>
        </w:rPr>
        <w:t>分。</w:t>
      </w:r>
    </w:p>
    <w:p>
      <w:pPr>
        <w:autoSpaceDE w:val="0"/>
        <w:spacing w:line="600" w:lineRule="exact"/>
        <w:ind w:firstLine="562"/>
        <w:rPr>
          <w:rFonts w:hint="default" w:ascii="Times New Roman" w:hAnsi="Times New Roman" w:cs="Times New Roman"/>
          <w:b/>
          <w:kern w:val="0"/>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lang w:eastAsia="zh-CN"/>
        </w:rPr>
        <w:t>通过该项目实施执行过程，线上医保相关业务准确，线上办理相关医保业务快捷方便。</w:t>
      </w:r>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szCs w:val="28"/>
        </w:rPr>
        <w:t>2.</w:t>
      </w:r>
      <w:r>
        <w:rPr>
          <w:rFonts w:hint="eastAsia" w:ascii="Times New Roman" w:hAnsi="Times New Roman" w:cs="Times New Roman"/>
          <w:szCs w:val="28"/>
          <w:lang w:eastAsia="zh-CN"/>
        </w:rPr>
        <w:t>村级医保网接入，专线信息平台联通，减轻农牧民的负担，提高效率。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eastAsia="仿宋_GB2312" w:cs="Times New Roman"/>
          <w:szCs w:val="28"/>
          <w:lang w:eastAsia="zh-CN"/>
        </w:rPr>
      </w:pPr>
      <w:r>
        <w:rPr>
          <w:rFonts w:hint="eastAsia" w:ascii="Times New Roman" w:hAnsi="Times New Roman" w:cs="Times New Roman"/>
          <w:szCs w:val="28"/>
          <w:lang w:eastAsia="zh-CN"/>
        </w:rPr>
        <w:t>该项目实施过程中，应更快速有效提高医保业务水平和发挥项目作用，使群众满意度提升。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67911619"/>
      <w:bookmarkStart w:id="59" w:name="_Toc100784619"/>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60" w:name="_Toc100784620"/>
      <w:bookmarkStart w:id="61" w:name="_Toc67911620"/>
      <w:r>
        <w:rPr>
          <w:rFonts w:hint="default" w:ascii="Times New Roman" w:hAnsi="Times New Roman" w:eastAsia="仿宋" w:cs="Times New Roman"/>
          <w:sz w:val="36"/>
          <w:szCs w:val="36"/>
          <w:lang w:bidi="en-US"/>
        </w:rPr>
        <w:t>八、</w:t>
      </w:r>
      <w:r>
        <w:rPr>
          <w:rFonts w:hint="default" w:ascii="Times New Roman" w:hAnsi="Times New Roman" w:eastAsia="仿宋" w:cs="Times New Roman"/>
          <w:sz w:val="32"/>
          <w:szCs w:val="32"/>
          <w:lang w:bidi="en-US"/>
        </w:rPr>
        <w:t>有关建议</w:t>
      </w:r>
      <w:bookmarkEnd w:id="60"/>
      <w:bookmarkEnd w:id="6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绩效目标贯穿项目实施的整个阶段，事关项目的发展方向，建议单位领导更加重视参与项目测算、实施、阶段性指导，在以后年度项目绩效工作中将结合项目实施内容形成项目有目标、绩效可量化、考核有依据的计划自标管理机制，便于有效考核执行效果。</w:t>
      </w:r>
      <w:bookmarkStart w:id="62" w:name="_GoBack"/>
      <w:bookmarkEnd w:id="62"/>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5ZTZiZjRhMzMyOTFmZDY3Zjg0ZTQyM2RjZGM3ZG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C2061D"/>
    <w:rsid w:val="04BF2585"/>
    <w:rsid w:val="088D4E3D"/>
    <w:rsid w:val="0A7B04A7"/>
    <w:rsid w:val="0FFA3C1C"/>
    <w:rsid w:val="128679E9"/>
    <w:rsid w:val="15FD5733"/>
    <w:rsid w:val="16B91B84"/>
    <w:rsid w:val="1714505C"/>
    <w:rsid w:val="17DD1259"/>
    <w:rsid w:val="18F148A6"/>
    <w:rsid w:val="1BD231E0"/>
    <w:rsid w:val="1D460B28"/>
    <w:rsid w:val="1D58505E"/>
    <w:rsid w:val="1D8D39B2"/>
    <w:rsid w:val="20CF48FA"/>
    <w:rsid w:val="21004E0A"/>
    <w:rsid w:val="21AC28AE"/>
    <w:rsid w:val="222C235B"/>
    <w:rsid w:val="22903433"/>
    <w:rsid w:val="22C14C38"/>
    <w:rsid w:val="245A05CF"/>
    <w:rsid w:val="24F942A7"/>
    <w:rsid w:val="26CB78F9"/>
    <w:rsid w:val="2B8B3353"/>
    <w:rsid w:val="2FAD43AF"/>
    <w:rsid w:val="3117743D"/>
    <w:rsid w:val="36D24248"/>
    <w:rsid w:val="3D6E5BED"/>
    <w:rsid w:val="40480970"/>
    <w:rsid w:val="41E51D78"/>
    <w:rsid w:val="430948CB"/>
    <w:rsid w:val="44B75AE6"/>
    <w:rsid w:val="45E879E6"/>
    <w:rsid w:val="47580FDE"/>
    <w:rsid w:val="4C4379D8"/>
    <w:rsid w:val="4D134330"/>
    <w:rsid w:val="511D0DB2"/>
    <w:rsid w:val="5516017D"/>
    <w:rsid w:val="55710ED1"/>
    <w:rsid w:val="55BF25B3"/>
    <w:rsid w:val="583F5CA0"/>
    <w:rsid w:val="5BBB3658"/>
    <w:rsid w:val="5D300D30"/>
    <w:rsid w:val="5D834146"/>
    <w:rsid w:val="5EE329F1"/>
    <w:rsid w:val="5F023D5A"/>
    <w:rsid w:val="613C6F23"/>
    <w:rsid w:val="664D35C6"/>
    <w:rsid w:val="66551D0F"/>
    <w:rsid w:val="66EE31EA"/>
    <w:rsid w:val="6BE17A97"/>
    <w:rsid w:val="6DDB23A3"/>
    <w:rsid w:val="70853FB1"/>
    <w:rsid w:val="72E95878"/>
    <w:rsid w:val="73D169AF"/>
    <w:rsid w:val="75066F92"/>
    <w:rsid w:val="76DA2B89"/>
    <w:rsid w:val="7B740622"/>
    <w:rsid w:val="7BF27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9312</Words>
  <Characters>9699</Characters>
  <Lines>79</Lines>
  <Paragraphs>22</Paragraphs>
  <TotalTime>21</TotalTime>
  <ScaleCrop>false</ScaleCrop>
  <LinksUpToDate>false</LinksUpToDate>
  <CharactersWithSpaces>9833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cp:lastModifiedBy>
  <cp:lastPrinted>2023-04-11T02:57:00Z</cp:lastPrinted>
  <dcterms:modified xsi:type="dcterms:W3CDTF">2023-09-24T15:56:35Z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