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bookmarkStart w:id="63" w:name="_GoBack"/>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tabs>
          <w:tab w:val="left" w:pos="6623"/>
        </w:tabs>
        <w:spacing w:line="480" w:lineRule="auto"/>
        <w:ind w:firstLine="0" w:firstLineChars="0"/>
        <w:jc w:val="left"/>
        <w:rPr>
          <w:rFonts w:hint="eastAsia" w:ascii="Times New Roman" w:hAnsi="Times New Roman" w:eastAsia="黑体" w:cs="Times New Roman"/>
          <w:b/>
          <w:kern w:val="0"/>
          <w:sz w:val="50"/>
          <w:szCs w:val="50"/>
          <w:highlight w:val="none"/>
          <w:lang w:eastAsia="zh-CN" w:bidi="en-US"/>
        </w:rPr>
      </w:pPr>
      <w:r>
        <w:rPr>
          <w:rFonts w:hint="eastAsia" w:ascii="Times New Roman" w:hAnsi="Times New Roman" w:eastAsia="黑体" w:cs="Times New Roman"/>
          <w:b/>
          <w:kern w:val="0"/>
          <w:sz w:val="50"/>
          <w:szCs w:val="50"/>
          <w:highlight w:val="none"/>
          <w:lang w:eastAsia="zh-CN" w:bidi="en-US"/>
        </w:rPr>
        <w:tab/>
      </w: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left="3196" w:leftChars="570" w:hanging="1600" w:hangingChars="500"/>
        <w:jc w:val="left"/>
        <w:rPr>
          <w:rFonts w:hint="default" w:ascii="Times New Roman" w:hAnsi="Times New Roman" w:eastAsia="仿宋_GB2312" w:cs="Times New Roman"/>
          <w:kern w:val="0"/>
          <w:sz w:val="32"/>
          <w:szCs w:val="32"/>
          <w:highlight w:val="none"/>
          <w:lang w:val="en-US" w:eastAsia="zh-CN" w:bidi="en-US"/>
        </w:rPr>
      </w:pPr>
      <w:r>
        <w:rPr>
          <w:rFonts w:hint="default" w:ascii="Times New Roman" w:hAnsi="Times New Roman" w:cs="Times New Roman"/>
          <w:kern w:val="0"/>
          <w:sz w:val="32"/>
          <w:szCs w:val="32"/>
          <w:highlight w:val="none"/>
          <w:lang w:bidi="en-US"/>
        </w:rPr>
        <w:t>项目名称：</w:t>
      </w:r>
      <w:r>
        <w:rPr>
          <w:rFonts w:hint="eastAsia" w:ascii="Times New Roman" w:hAnsi="Times New Roman" w:cs="Times New Roman"/>
          <w:kern w:val="0"/>
          <w:sz w:val="32"/>
          <w:szCs w:val="32"/>
          <w:highlight w:val="none"/>
          <w:lang w:val="en-US" w:eastAsia="zh-CN" w:bidi="en-US"/>
        </w:rPr>
        <w:t>存量资金安排桑萨依沟生态恢复治理工程款</w:t>
      </w:r>
    </w:p>
    <w:p>
      <w:pPr>
        <w:spacing w:line="480" w:lineRule="auto"/>
        <w:ind w:left="280" w:leftChars="100" w:firstLine="1091" w:firstLineChars="341"/>
        <w:jc w:val="left"/>
        <w:rPr>
          <w:rFonts w:hint="default" w:ascii="Times New Roman" w:hAnsi="Times New Roman" w:eastAsia="仿宋_GB2312" w:cs="Times New Roman"/>
          <w:kern w:val="0"/>
          <w:sz w:val="32"/>
          <w:szCs w:val="32"/>
          <w:highlight w:val="none"/>
          <w:lang w:val="en-US" w:eastAsia="zh-CN"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val="en-US" w:eastAsia="zh-CN" w:bidi="en-US"/>
        </w:rPr>
        <w:t>乌鲁木齐县发展和改革委员会</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主管部门：乌鲁木齐县发展和改革委员会</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b/>
          <w:bCs/>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zh-CN"/>
            </w:rPr>
            <w:t>目录</w:t>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67911601"/>
      <w:bookmarkStart w:id="1" w:name="_Toc100784583"/>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eastAsia" w:ascii="Times New Roman" w:hAnsi="Times New Roman" w:cs="Times New Roman"/>
          <w:highlight w:val="none"/>
          <w:lang w:val="en-US" w:eastAsia="zh-CN"/>
        </w:rPr>
      </w:pPr>
      <w:r>
        <w:rPr>
          <w:rFonts w:hint="default" w:ascii="Times New Roman" w:hAnsi="Times New Roman" w:cs="Times New Roman"/>
          <w:highlight w:val="none"/>
          <w:lang w:val="en-US" w:eastAsia="zh-CN"/>
        </w:rPr>
        <w:t>根据</w:t>
      </w:r>
      <w:r>
        <w:rPr>
          <w:rFonts w:hint="eastAsia" w:ascii="Times New Roman" w:hAnsi="Times New Roman" w:cs="Times New Roman"/>
          <w:highlight w:val="none"/>
          <w:lang w:val="en-US" w:eastAsia="zh-CN"/>
        </w:rPr>
        <w:t>乌县财预存量追加【2022】0247号</w:t>
      </w:r>
      <w:r>
        <w:rPr>
          <w:rFonts w:hint="default" w:ascii="Times New Roman" w:hAnsi="Times New Roman" w:cs="Times New Roman"/>
          <w:highlight w:val="none"/>
          <w:lang w:val="en-US" w:eastAsia="zh-CN"/>
        </w:rPr>
        <w:t>相关文件，</w:t>
      </w:r>
      <w:r>
        <w:rPr>
          <w:rFonts w:hint="eastAsia" w:ascii="Times New Roman" w:hAnsi="Times New Roman" w:cs="Times New Roman"/>
          <w:highlight w:val="none"/>
          <w:lang w:val="en-US" w:eastAsia="zh-CN"/>
        </w:rPr>
        <w:t>存量资金安排桑萨依沟生态恢复治理工程款</w:t>
      </w:r>
      <w:r>
        <w:rPr>
          <w:rFonts w:hint="default" w:ascii="Times New Roman" w:hAnsi="Times New Roman" w:cs="Times New Roman"/>
          <w:highlight w:val="none"/>
          <w:lang w:val="en-US" w:eastAsia="zh-CN"/>
        </w:rPr>
        <w:t>项目</w:t>
      </w:r>
      <w:r>
        <w:rPr>
          <w:rFonts w:hint="eastAsia" w:ascii="Times New Roman" w:hAnsi="Times New Roman" w:cs="Times New Roman"/>
          <w:highlight w:val="none"/>
          <w:lang w:val="en-US" w:eastAsia="zh-CN"/>
        </w:rPr>
        <w:t>，为环保部环保督察重点项目，主要开展环境治理与生态修复。主要包括废弃建筑拆除、硬化层拆除及填埋、覆土；工业场地平整、覆土；工业场地陡坡削坡处理；塌陷坑回填、平整、覆土；取土场治理；项目区外设置铁丝围栏和警示牌；播撒草籽。</w:t>
      </w:r>
    </w:p>
    <w:p>
      <w:pPr>
        <w:spacing w:line="360" w:lineRule="auto"/>
        <w:ind w:firstLine="560"/>
        <w:rPr>
          <w:rFonts w:hint="default" w:ascii="Times New Roman" w:hAnsi="Times New Roman" w:cs="Times New Roman"/>
          <w:highlight w:val="none"/>
        </w:rPr>
      </w:pPr>
      <w:r>
        <w:rPr>
          <w:rFonts w:hint="eastAsia" w:ascii="Times New Roman" w:hAnsi="Times New Roman" w:cs="Times New Roman"/>
          <w:highlight w:val="none"/>
          <w:lang w:val="en-US" w:eastAsia="zh-CN"/>
        </w:rPr>
        <w:t>生态修复已成为我国生态环境建设的重要组成部分，通过对已破坏区域的生态修复，能够有效改善生态环境；在生态修复的同时，也可以对所在地进行必要的土地整理，对此部分土地进行重新利用，可以进行草场培育，增大植被覆盖度，改善人居环境条件。</w:t>
      </w:r>
      <w:r>
        <w:rPr>
          <w:rFonts w:hint="default" w:ascii="Times New Roman" w:hAnsi="Times New Roman" w:cs="Times New Roman"/>
          <w:highlight w:val="none"/>
          <w:lang w:val="en-US" w:eastAsia="zh-CN"/>
        </w:rPr>
        <w:t>（项目背景及项目建设完成情况）</w:t>
      </w:r>
      <w:r>
        <w:rPr>
          <w:rFonts w:hint="default" w:ascii="Times New Roman" w:hAnsi="Times New Roman" w:cs="Times New Roman"/>
          <w:kern w:val="0"/>
          <w:sz w:val="32"/>
          <w:szCs w:val="32"/>
          <w:highlight w:val="none"/>
          <w:lang w:val="en-US" w:eastAsia="zh-CN" w:bidi="en-US"/>
        </w:rPr>
        <w:t>。</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经</w:t>
      </w:r>
      <w:r>
        <w:rPr>
          <w:rFonts w:hint="eastAsia" w:ascii="Times New Roman" w:hAnsi="Times New Roman" w:cs="Times New Roman"/>
          <w:highlight w:val="none"/>
          <w:lang w:val="en-US" w:eastAsia="zh-CN"/>
        </w:rPr>
        <w:t>乌县财预存量追加【2022】0247</w:t>
      </w:r>
      <w:r>
        <w:rPr>
          <w:rFonts w:hint="default" w:ascii="Times New Roman" w:hAnsi="Times New Roman" w:cs="Times New Roman"/>
          <w:highlight w:val="none"/>
        </w:rPr>
        <w:t>号文件批准，项目系2022年本级资金，共安排预算</w:t>
      </w:r>
      <w:r>
        <w:rPr>
          <w:rFonts w:hint="eastAsia" w:ascii="Times New Roman" w:hAnsi="Times New Roman" w:cs="Times New Roman"/>
          <w:highlight w:val="none"/>
          <w:lang w:val="en-US" w:eastAsia="zh-CN"/>
        </w:rPr>
        <w:t>300</w:t>
      </w:r>
      <w:r>
        <w:rPr>
          <w:rFonts w:hint="default" w:ascii="Times New Roman" w:hAnsi="Times New Roman" w:cs="Times New Roman"/>
          <w:highlight w:val="none"/>
        </w:rPr>
        <w:t>万元，于2022年年中追加部分预算批复项目，资金到位</w:t>
      </w:r>
      <w:r>
        <w:rPr>
          <w:rFonts w:hint="eastAsia" w:ascii="Times New Roman" w:hAnsi="Times New Roman" w:cs="Times New Roman"/>
          <w:highlight w:val="none"/>
          <w:lang w:val="en-US" w:eastAsia="zh-CN"/>
        </w:rPr>
        <w:t>300</w:t>
      </w:r>
      <w:r>
        <w:rPr>
          <w:rFonts w:hint="default" w:ascii="Times New Roman" w:hAnsi="Times New Roman" w:cs="Times New Roman"/>
          <w:highlight w:val="none"/>
        </w:rPr>
        <w:t>万元</w:t>
      </w:r>
      <w:r>
        <w:rPr>
          <w:rFonts w:hint="eastAsia" w:ascii="Times New Roman" w:hAnsi="Times New Roman" w:cs="Times New Roman"/>
          <w:highlight w:val="none"/>
          <w:lang w:eastAsia="zh-CN"/>
        </w:rPr>
        <w:t>，</w:t>
      </w:r>
      <w:r>
        <w:rPr>
          <w:rFonts w:hint="default" w:ascii="Times New Roman" w:hAnsi="Times New Roman" w:cs="Times New Roman"/>
          <w:highlight w:val="none"/>
        </w:rPr>
        <w:t>支付</w:t>
      </w:r>
      <w:r>
        <w:rPr>
          <w:rFonts w:hint="eastAsia" w:ascii="Times New Roman" w:hAnsi="Times New Roman" w:cs="Times New Roman"/>
          <w:highlight w:val="none"/>
          <w:lang w:val="en-US" w:eastAsia="zh-CN"/>
        </w:rPr>
        <w:t>300</w:t>
      </w:r>
      <w:r>
        <w:rPr>
          <w:rFonts w:hint="default" w:ascii="Times New Roman" w:hAnsi="Times New Roman" w:cs="Times New Roman"/>
          <w:highlight w:val="none"/>
        </w:rPr>
        <w:t>万元，年中</w:t>
      </w:r>
      <w:r>
        <w:rPr>
          <w:rFonts w:hint="eastAsia" w:ascii="Times New Roman" w:hAnsi="Times New Roman" w:cs="Times New Roman"/>
          <w:highlight w:val="none"/>
          <w:lang w:val="en-US" w:eastAsia="zh-CN"/>
        </w:rPr>
        <w:t>未</w:t>
      </w:r>
      <w:r>
        <w:rPr>
          <w:rFonts w:hint="default" w:ascii="Times New Roman" w:hAnsi="Times New Roman" w:cs="Times New Roman"/>
          <w:highlight w:val="none"/>
        </w:rPr>
        <w:t>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100784585"/>
      <w:bookmarkStart w:id="5" w:name="_Toc67911603"/>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sz w:val="36"/>
          <w:szCs w:val="36"/>
          <w:highlight w:val="none"/>
          <w:lang w:bidi="en-US"/>
        </w:rPr>
      </w:pPr>
      <w:r>
        <w:rPr>
          <w:rFonts w:hint="default" w:ascii="Times New Roman" w:hAnsi="Times New Roman" w:cs="Times New Roman"/>
          <w:szCs w:val="28"/>
          <w:highlight w:val="none"/>
        </w:rPr>
        <w:t>该项目绩效目标设置横跨项目期</w:t>
      </w:r>
      <w:r>
        <w:rPr>
          <w:rFonts w:hint="eastAsia" w:ascii="Times New Roman" w:hAnsi="Times New Roman" w:cs="Times New Roman"/>
          <w:szCs w:val="28"/>
          <w:highlight w:val="none"/>
          <w:lang w:val="en-US" w:eastAsia="zh-CN"/>
        </w:rPr>
        <w:t>两</w:t>
      </w:r>
      <w:r>
        <w:rPr>
          <w:rFonts w:hint="default" w:ascii="Times New Roman" w:hAnsi="Times New Roman" w:cs="Times New Roman"/>
          <w:szCs w:val="28"/>
          <w:highlight w:val="none"/>
        </w:rPr>
        <w:t>年，为总体绩效目标，恢复该乌鲁木齐河上游东南沟地区原有生态功能，进一步减少水土流失，提升区域生态环境质量，确保乌鲁木齐河水源水质优良，推进了乌鲁木齐河大西沟中山带生态系统良性循环，促进当地经济社会与环境保护工作的可持续发展，起到了积极的示范意义。</w:t>
      </w:r>
      <w:bookmarkStart w:id="7" w:name="_Toc100784586"/>
      <w:bookmarkStart w:id="8" w:name="_Toc6791160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100784587"/>
      <w:bookmarkStart w:id="10" w:name="_Toc67911605"/>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（1）绩效评价的对象：</w:t>
      </w:r>
      <w:r>
        <w:rPr>
          <w:rFonts w:hint="eastAsia" w:ascii="Times New Roman" w:hAnsi="Times New Roman" w:cs="Times New Roman"/>
          <w:highlight w:val="none"/>
          <w:lang w:val="en-US" w:eastAsia="zh-CN"/>
        </w:rPr>
        <w:t>存量资金安排桑萨依沟生态恢复治理工程款</w:t>
      </w:r>
      <w:r>
        <w:rPr>
          <w:rFonts w:hint="default" w:ascii="Times New Roman" w:hAnsi="Times New Roman" w:cs="Times New Roman"/>
          <w:highlight w:val="none"/>
        </w:rPr>
        <w:t xml:space="preserve">项目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lang w:val="en-US" w:eastAsia="zh-CN"/>
        </w:rPr>
      </w:pPr>
      <w:r>
        <w:rPr>
          <w:rFonts w:hint="default" w:ascii="Times New Roman" w:hAnsi="Times New Roman" w:cs="Times New Roman"/>
          <w:highlight w:val="none"/>
        </w:rPr>
        <w:t>1.项目范围：</w:t>
      </w:r>
      <w:r>
        <w:rPr>
          <w:rFonts w:hint="eastAsia" w:ascii="Times New Roman" w:hAnsi="Times New Roman" w:cs="Times New Roman"/>
          <w:highlight w:val="none"/>
          <w:lang w:val="en-US" w:eastAsia="zh-CN"/>
        </w:rPr>
        <w:t>存量资金安排桑萨依沟生态恢复治理工程款</w:t>
      </w:r>
      <w:r>
        <w:rPr>
          <w:rFonts w:hint="default" w:ascii="Times New Roman" w:hAnsi="Times New Roman" w:cs="Times New Roman"/>
          <w:highlight w:val="none"/>
          <w:lang w:val="en-US" w:eastAsia="zh-CN"/>
        </w:rPr>
        <w:t>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拉运回填、筑坡总体积</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场地平整</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覆土石方</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1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植被覆盖率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资金支付完成率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5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经费成本控制率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生态</w:t>
            </w:r>
            <w:r>
              <w:rPr>
                <w:rFonts w:hint="default" w:ascii="Times New Roman" w:hAnsi="Times New Roman" w:eastAsia="宋体" w:cs="Times New Roman"/>
                <w:color w:val="000000"/>
                <w:kern w:val="0"/>
                <w:sz w:val="22"/>
                <w:highlight w:val="none"/>
              </w:rPr>
              <w:t>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恢复治理区域生态功能，减少水土流失，重塑人与自然和谐相处</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完善地区环境，促进旅游发展</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辖区居民满意度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w:t>
      </w:r>
      <w:r>
        <w:rPr>
          <w:rFonts w:hint="default" w:ascii="Times New Roman" w:hAnsi="Times New Roman" w:cs="Times New Roman"/>
          <w:highlight w:val="none"/>
        </w:rPr>
        <w:t>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根据本项目（</w:t>
      </w:r>
      <w:r>
        <w:rPr>
          <w:rFonts w:hint="eastAsia" w:ascii="Times New Roman" w:hAnsi="Times New Roman" w:cs="Times New Roman"/>
          <w:highlight w:val="none"/>
          <w:lang w:val="en-US" w:eastAsia="zh-CN"/>
        </w:rPr>
        <w:t>存量资金安排桑萨依沟生态恢复治理工程款</w:t>
      </w:r>
      <w:r>
        <w:rPr>
          <w:rFonts w:hint="default" w:ascii="Times New Roman" w:hAnsi="Times New Roman" w:cs="Times New Roman"/>
          <w:highlight w:val="none"/>
        </w:rPr>
        <w:t>）的特点，本次评价主要采用公众评判法，对项目总预算和明细预算的内容、标准、计划是否经济合理进行深入分析，以考察实际产出和效益是否达到预期。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highlight w:val="none"/>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w:t>
      </w:r>
      <w:r>
        <w:rPr>
          <w:rFonts w:hint="default" w:ascii="Times New Roman" w:hAnsi="Times New Roman" w:cs="Times New Roman"/>
          <w:szCs w:val="28"/>
          <w:highlight w:val="none"/>
        </w:rPr>
        <w:t>访谈等形式，对2022年</w:t>
      </w:r>
      <w:r>
        <w:rPr>
          <w:rFonts w:hint="eastAsia" w:ascii="Times New Roman" w:hAnsi="Times New Roman" w:cs="Times New Roman"/>
          <w:szCs w:val="28"/>
          <w:highlight w:val="none"/>
          <w:lang w:val="en-US" w:eastAsia="zh-CN"/>
        </w:rPr>
        <w:t>存量资金安排桑萨依沟生态恢复治理工程款</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优</w:t>
      </w:r>
      <w:r>
        <w:rPr>
          <w:rFonts w:hint="default" w:ascii="Times New Roman" w:hAnsi="Times New Roman" w:cs="Times New Roman"/>
          <w:szCs w:val="28"/>
          <w:highlight w:val="none"/>
        </w:rPr>
        <w:t>”</w:t>
      </w:r>
      <w:r>
        <w:rPr>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拉运回填、筑坡总体积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场地平整</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覆土石方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植被覆盖率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资金支付完成率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经费成本控制率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恢复治理区域生态功能，减少水土流失，重塑人与自然和谐相处</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完善地区环境，促进旅游发展</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辖区居民满意度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100784598"/>
            <w:bookmarkStart w:id="28" w:name="_Toc67911610"/>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60"/>
        <w:rPr>
          <w:rFonts w:hint="default" w:ascii="Times New Roman" w:hAnsi="Times New Roman" w:cs="Times New Roman"/>
          <w:szCs w:val="28"/>
          <w:highlight w:val="none"/>
          <w:lang w:val="en-US"/>
        </w:rPr>
      </w:pPr>
      <w:r>
        <w:rPr>
          <w:rFonts w:hint="default" w:ascii="Times New Roman" w:hAnsi="Times New Roman" w:cs="Times New Roman"/>
          <w:szCs w:val="28"/>
          <w:highlight w:val="none"/>
        </w:rPr>
        <w:t>该项目资金区财政及时拨付，单位在此次评价期间内，有序完成设定目标的部分工作任务，拉运回填、筑坡总体积</w:t>
      </w:r>
      <w:r>
        <w:rPr>
          <w:rFonts w:hint="eastAsia" w:ascii="Times New Roman" w:hAnsi="Times New Roman" w:cs="Times New Roman"/>
          <w:szCs w:val="28"/>
          <w:highlight w:val="none"/>
          <w:lang w:val="en-US" w:eastAsia="zh-CN"/>
        </w:rPr>
        <w:t>1129169.18立方米，场地平整225274.2立方米，覆土石方225274.2立方米。</w:t>
      </w:r>
      <w:bookmarkStart w:id="29" w:name="_Toc67911611"/>
      <w:bookmarkStart w:id="30" w:name="_Toc100784599"/>
      <w:r>
        <w:rPr>
          <w:rFonts w:hint="eastAsia" w:ascii="Times New Roman" w:hAnsi="Times New Roman" w:cs="Times New Roman"/>
          <w:szCs w:val="28"/>
          <w:highlight w:val="none"/>
          <w:lang w:val="en-US" w:eastAsia="zh-CN"/>
        </w:rPr>
        <w:t>植被覆盖率达到90%，与周边地形地貌相协调。本恢复该乌鲁木齐河上游东南沟地区原有生态功能，进一步减少水土流失，提升区域生态环境质量，确保乌鲁木齐河水源水质优良，推进了乌鲁木齐河大西沟中山带生态系统良性循环，促进当地经济社会与环境保护工作的可持续发展，起到了积极的示范意义。</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67911612"/>
      <w:bookmarkStart w:id="32" w:name="_Toc100784600"/>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cs="Times New Roman"/>
          <w:kern w:val="0"/>
          <w:szCs w:val="28"/>
          <w:highlight w:val="none"/>
        </w:rPr>
        <w:t>本恢复该乌鲁木齐河上游东南沟地区原有生态功能，进一步减少水土流失，提升区域生态环境质量，确保乌鲁木齐河水源水质优良，推进了乌鲁木齐河大西沟中山带生态系统良性循环，促进当地经济社会与环境保护工作的可持续发展，起到了积极的示范意义。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autoSpaceDE w:val="0"/>
        <w:spacing w:line="600" w:lineRule="exact"/>
        <w:ind w:firstLine="560"/>
        <w:rPr>
          <w:rFonts w:hint="default" w:ascii="Times New Roman" w:hAnsi="Times New Roman" w:eastAsia="仿宋" w:cs="Times New Roman"/>
          <w:b w:val="0"/>
          <w:bCs w:val="0"/>
          <w:color w:val="auto"/>
          <w:sz w:val="30"/>
          <w:szCs w:val="30"/>
          <w:highlight w:val="none"/>
        </w:rPr>
      </w:pPr>
      <w:r>
        <w:rPr>
          <w:rFonts w:hint="default" w:ascii="Times New Roman" w:hAnsi="Times New Roman" w:cs="Times New Roman"/>
          <w:b/>
          <w:kern w:val="0"/>
          <w:szCs w:val="28"/>
          <w:highlight w:val="none"/>
        </w:rPr>
        <w:t>预算编制科学性：</w:t>
      </w:r>
      <w:r>
        <w:rPr>
          <w:rFonts w:hint="default" w:ascii="Times New Roman" w:hAnsi="Times New Roman" w:eastAsia="仿宋" w:cs="Times New Roman"/>
          <w:b w:val="0"/>
          <w:bCs w:val="0"/>
          <w:color w:val="auto"/>
          <w:sz w:val="30"/>
          <w:szCs w:val="30"/>
          <w:highlight w:val="none"/>
          <w:lang w:eastAsia="zh-CN"/>
        </w:rPr>
        <w:t>项目绩效目标申报</w:t>
      </w:r>
      <w:r>
        <w:rPr>
          <w:rFonts w:hint="default" w:ascii="Times New Roman" w:hAnsi="Times New Roman" w:eastAsia="仿宋" w:cs="Times New Roman"/>
          <w:b w:val="0"/>
          <w:bCs w:val="0"/>
          <w:color w:val="auto"/>
          <w:sz w:val="30"/>
          <w:szCs w:val="30"/>
          <w:highlight w:val="none"/>
        </w:rPr>
        <w:t>编制清晰，有明确标准、预算内容和项目内容相匹配，</w:t>
      </w:r>
      <w:r>
        <w:rPr>
          <w:rFonts w:hint="default" w:ascii="Times New Roman" w:hAnsi="Times New Roman" w:eastAsia="仿宋" w:cs="Times New Roman"/>
          <w:b w:val="0"/>
          <w:bCs w:val="0"/>
          <w:color w:val="auto"/>
          <w:sz w:val="30"/>
          <w:szCs w:val="30"/>
          <w:highlight w:val="none"/>
        </w:rPr>
        <w:t>故预算编制科学性指标得分3分</w:t>
      </w:r>
      <w:r>
        <w:rPr>
          <w:rFonts w:hint="default" w:ascii="Times New Roman" w:hAnsi="Times New Roman" w:eastAsia="仿宋" w:cs="Times New Roman"/>
          <w:b w:val="0"/>
          <w:bCs w:val="0"/>
          <w:color w:val="auto"/>
          <w:sz w:val="30"/>
          <w:szCs w:val="30"/>
          <w:highlight w:val="none"/>
        </w:rPr>
        <w:t>。</w:t>
      </w:r>
    </w:p>
    <w:p>
      <w:pPr>
        <w:autoSpaceDE w:val="0"/>
        <w:spacing w:line="600" w:lineRule="exact"/>
        <w:ind w:firstLine="560"/>
        <w:rPr>
          <w:rFonts w:hint="default" w:ascii="Times New Roman" w:hAnsi="Times New Roman" w:cs="Times New Roman"/>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w:t>
      </w:r>
      <w:r>
        <w:rPr>
          <w:rFonts w:hint="eastAsia" w:ascii="Times New Roman" w:hAnsi="Times New Roman" w:cs="Times New Roman"/>
          <w:kern w:val="0"/>
          <w:szCs w:val="28"/>
          <w:highlight w:val="none"/>
          <w:lang w:val="en-US" w:eastAsia="zh-CN"/>
        </w:rPr>
        <w:t>支付给洪城控股集团有限公司300万元</w:t>
      </w: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67911613"/>
      <w:bookmarkStart w:id="37" w:name="_Toc100784604"/>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eastAsia" w:ascii="Times New Roman" w:hAnsi="Times New Roman" w:cs="Times New Roman"/>
          <w:highlight w:val="none"/>
          <w:lang w:val="en-US" w:eastAsia="zh-CN"/>
        </w:rPr>
        <w:t>2022年7月6日财政资金到位300万元，使用上年结转资金</w:t>
      </w:r>
      <w:r>
        <w:rPr>
          <w:rFonts w:hint="default" w:ascii="Times New Roman" w:hAnsi="Times New Roman" w:cs="Times New Roman"/>
          <w:b/>
          <w:kern w:val="0"/>
          <w:szCs w:val="28"/>
          <w:highlight w:val="none"/>
        </w:rPr>
        <w:t>。</w:t>
      </w:r>
      <w:r>
        <w:rPr>
          <w:rFonts w:hint="default" w:ascii="Times New Roman" w:hAnsi="Times New Roman" w:cs="Times New Roman"/>
          <w:kern w:val="0"/>
          <w:szCs w:val="28"/>
          <w:highlight w:val="none"/>
        </w:rPr>
        <w:t>故资金到位率</w:t>
      </w:r>
      <w:r>
        <w:rPr>
          <w:rFonts w:hint="eastAsia" w:ascii="Times New Roman" w:hAnsi="Times New Roman" w:cs="Times New Roman"/>
          <w:kern w:val="0"/>
          <w:szCs w:val="28"/>
          <w:highlight w:val="none"/>
          <w:lang w:val="en-US" w:eastAsia="zh-CN"/>
        </w:rPr>
        <w:t>100%，</w:t>
      </w:r>
      <w:r>
        <w:rPr>
          <w:rFonts w:hint="default" w:ascii="Times New Roman" w:hAnsi="Times New Roman" w:cs="Times New Roman"/>
          <w:kern w:val="0"/>
          <w:szCs w:val="28"/>
          <w:highlight w:val="none"/>
        </w:rPr>
        <w:t>指标得分</w:t>
      </w:r>
      <w:r>
        <w:rPr>
          <w:rFonts w:hint="eastAsia" w:ascii="Times New Roman" w:hAnsi="Times New Roman" w:cs="Times New Roman"/>
          <w:kern w:val="0"/>
          <w:szCs w:val="28"/>
          <w:highlight w:val="none"/>
          <w:lang w:val="en-US" w:eastAsia="zh-CN"/>
        </w:rPr>
        <w:t>5</w:t>
      </w:r>
      <w:r>
        <w:rPr>
          <w:rFonts w:hint="default" w:ascii="Times New Roman" w:hAnsi="Times New Roman" w:cs="Times New Roman"/>
          <w:kern w:val="0"/>
          <w:szCs w:val="28"/>
          <w:highlight w:val="none"/>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预算执行率：</w:t>
      </w:r>
      <w:r>
        <w:rPr>
          <w:rFonts w:hint="eastAsia" w:ascii="Times New Roman" w:hAnsi="Times New Roman" w:cs="Times New Roman"/>
          <w:szCs w:val="28"/>
          <w:highlight w:val="none"/>
          <w:lang w:val="en-US" w:eastAsia="zh-CN"/>
        </w:rPr>
        <w:t>2022年7月6日支付给洪城控股集团有限公司300万元的工程服务费，预算执行率100%</w:t>
      </w:r>
      <w:r>
        <w:rPr>
          <w:rFonts w:hint="default" w:ascii="Times New Roman" w:hAnsi="Times New Roman" w:cs="Times New Roman"/>
          <w:szCs w:val="28"/>
          <w:highlight w:val="none"/>
        </w:rPr>
        <w:t>。故预算执行率得分为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13</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：乌鲁木齐县发展和改革委员会已制定相应的财务和业务管理制度，且制度合法、合规、完整，为项目顺利实施提供重要保障。故管理制度健全性得分为3分。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乌鲁木齐县发展和改革委员会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67911614"/>
      <w:bookmarkStart w:id="42" w:name="_Toc100784607"/>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w:t>
      </w:r>
      <w:r>
        <w:rPr>
          <w:rFonts w:hint="eastAsia" w:ascii="Times New Roman" w:hAnsi="Times New Roman" w:cs="Times New Roman"/>
          <w:szCs w:val="28"/>
          <w:highlight w:val="none"/>
          <w:lang w:val="en-US" w:eastAsia="zh-CN"/>
        </w:rPr>
        <w:t>6</w:t>
      </w:r>
      <w:r>
        <w:rPr>
          <w:rFonts w:hint="default" w:ascii="Times New Roman" w:hAnsi="Times New Roman" w:cs="Times New Roman"/>
          <w:szCs w:val="28"/>
          <w:highlight w:val="none"/>
        </w:rPr>
        <w:t>个三级指标构成，权重为40分，实际得分</w:t>
      </w:r>
      <w:r>
        <w:rPr>
          <w:rFonts w:hint="eastAsia" w:ascii="Times New Roman" w:hAnsi="Times New Roman" w:cs="Times New Roman"/>
          <w:szCs w:val="28"/>
          <w:highlight w:val="none"/>
          <w:lang w:val="en-US" w:eastAsia="zh-CN"/>
        </w:rPr>
        <w:t>40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0"/>
        <w:rPr>
          <w:rFonts w:hint="eastAsia" w:ascii="Times New Roman" w:hAnsi="Times New Roman" w:eastAsia="仿宋_GB2312" w:cs="Times New Roman"/>
          <w:bCs/>
          <w:szCs w:val="28"/>
          <w:highlight w:val="none"/>
          <w:lang w:eastAsia="zh-CN"/>
        </w:rPr>
      </w:pPr>
      <w:r>
        <w:rPr>
          <w:rFonts w:hint="default" w:ascii="Times New Roman" w:hAnsi="Times New Roman" w:cs="Times New Roman"/>
          <w:bCs/>
          <w:szCs w:val="28"/>
          <w:highlight w:val="none"/>
        </w:rPr>
        <w:t>数量指标“拉运回填、筑坡总体积”的目标值是1129169.18立方米，2022年度我单位实际完成1129169.18立方米</w:t>
      </w:r>
      <w:r>
        <w:rPr>
          <w:rFonts w:hint="eastAsia" w:ascii="Times New Roman" w:hAnsi="Times New Roman" w:cs="Times New Roman"/>
          <w:bCs/>
          <w:szCs w:val="28"/>
          <w:highlight w:val="none"/>
          <w:lang w:eastAsia="zh-CN"/>
        </w:rPr>
        <w:t>；</w:t>
      </w:r>
    </w:p>
    <w:p>
      <w:pPr>
        <w:spacing w:line="360" w:lineRule="auto"/>
        <w:ind w:firstLine="560"/>
        <w:rPr>
          <w:rFonts w:hint="eastAsia" w:ascii="Times New Roman" w:hAnsi="Times New Roman" w:eastAsia="仿宋_GB2312" w:cs="Times New Roman"/>
          <w:bCs/>
          <w:szCs w:val="28"/>
          <w:highlight w:val="none"/>
          <w:lang w:eastAsia="zh-CN"/>
        </w:rPr>
      </w:pPr>
      <w:r>
        <w:rPr>
          <w:rFonts w:hint="default" w:ascii="Times New Roman" w:hAnsi="Times New Roman" w:cs="Times New Roman"/>
          <w:bCs/>
          <w:szCs w:val="28"/>
          <w:highlight w:val="none"/>
        </w:rPr>
        <w:t>数量指标“场地平整”的目标值是225274.2立方米，2022年度我单位225274.2立方米</w:t>
      </w:r>
      <w:r>
        <w:rPr>
          <w:rFonts w:hint="eastAsia" w:ascii="Times New Roman" w:hAnsi="Times New Roman" w:cs="Times New Roman"/>
          <w:bCs/>
          <w:szCs w:val="28"/>
          <w:highlight w:val="none"/>
          <w:lang w:eastAsia="zh-CN"/>
        </w:rPr>
        <w:t>；</w:t>
      </w:r>
    </w:p>
    <w:p>
      <w:pPr>
        <w:spacing w:line="360" w:lineRule="auto"/>
        <w:ind w:firstLine="560"/>
        <w:rPr>
          <w:rFonts w:hint="eastAsia" w:ascii="Times New Roman" w:hAnsi="Times New Roman" w:eastAsia="仿宋_GB2312" w:cs="Times New Roman"/>
          <w:bCs/>
          <w:szCs w:val="28"/>
          <w:highlight w:val="none"/>
          <w:lang w:eastAsia="zh-CN"/>
        </w:rPr>
      </w:pPr>
      <w:r>
        <w:rPr>
          <w:rFonts w:hint="default" w:ascii="Times New Roman" w:hAnsi="Times New Roman" w:cs="Times New Roman"/>
          <w:bCs/>
          <w:szCs w:val="28"/>
          <w:highlight w:val="none"/>
        </w:rPr>
        <w:t>数量指标“覆土石方”的目标值是225274.2立方米，2022年度我单位225274.2立方米</w:t>
      </w:r>
      <w:r>
        <w:rPr>
          <w:rFonts w:hint="eastAsia" w:ascii="Times New Roman" w:hAnsi="Times New Roman" w:cs="Times New Roman"/>
          <w:bCs/>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0"/>
        <w:rPr>
          <w:rFonts w:hint="eastAsia" w:ascii="Times New Roman" w:hAnsi="Times New Roman" w:eastAsia="仿宋_GB2312" w:cs="Times New Roman"/>
          <w:bCs/>
          <w:szCs w:val="28"/>
          <w:highlight w:val="none"/>
          <w:lang w:eastAsia="zh-CN"/>
        </w:rPr>
      </w:pPr>
      <w:r>
        <w:rPr>
          <w:rFonts w:hint="eastAsia" w:ascii="Times New Roman" w:hAnsi="Times New Roman" w:cs="Times New Roman"/>
          <w:b/>
          <w:bCs/>
          <w:szCs w:val="28"/>
          <w:highlight w:val="none"/>
          <w:lang w:val="en-US" w:eastAsia="zh-CN"/>
        </w:rPr>
        <w:t>产出质量</w:t>
      </w:r>
      <w:r>
        <w:rPr>
          <w:rFonts w:hint="default" w:ascii="Times New Roman" w:hAnsi="Times New Roman" w:cs="Times New Roman"/>
          <w:b/>
          <w:bCs/>
          <w:szCs w:val="28"/>
          <w:highlight w:val="none"/>
        </w:rPr>
        <w:t>：</w:t>
      </w:r>
      <w:r>
        <w:rPr>
          <w:rFonts w:hint="eastAsia" w:ascii="Times New Roman" w:hAnsi="Times New Roman" w:cs="Times New Roman"/>
          <w:b w:val="0"/>
          <w:bCs w:val="0"/>
          <w:szCs w:val="28"/>
          <w:highlight w:val="none"/>
          <w:lang w:eastAsia="zh-CN"/>
        </w:rPr>
        <w:t>“植被覆盖率”</w:t>
      </w:r>
      <w:r>
        <w:rPr>
          <w:rFonts w:hint="default" w:ascii="Times New Roman" w:hAnsi="Times New Roman" w:cs="Times New Roman"/>
          <w:b w:val="0"/>
          <w:bCs w:val="0"/>
          <w:szCs w:val="28"/>
          <w:highlight w:val="none"/>
        </w:rPr>
        <w:t>目</w:t>
      </w:r>
      <w:r>
        <w:rPr>
          <w:rFonts w:hint="default" w:ascii="Times New Roman" w:hAnsi="Times New Roman" w:cs="Times New Roman"/>
          <w:bCs/>
          <w:szCs w:val="28"/>
          <w:highlight w:val="none"/>
        </w:rPr>
        <w:t>标值是</w:t>
      </w:r>
      <w:r>
        <w:rPr>
          <w:rFonts w:hint="default" w:ascii="Arial" w:hAnsi="Arial" w:cs="Arial"/>
          <w:bCs/>
          <w:szCs w:val="28"/>
          <w:highlight w:val="none"/>
        </w:rPr>
        <w:t>≥</w:t>
      </w:r>
      <w:r>
        <w:rPr>
          <w:rFonts w:hint="default" w:ascii="Times New Roman" w:hAnsi="Times New Roman" w:cs="Times New Roman"/>
          <w:bCs/>
          <w:szCs w:val="28"/>
          <w:highlight w:val="none"/>
        </w:rPr>
        <w:t>90%，2022年度我单位90%</w:t>
      </w:r>
      <w:r>
        <w:rPr>
          <w:rFonts w:hint="eastAsia" w:ascii="Times New Roman" w:hAnsi="Times New Roman" w:cs="Times New Roman"/>
          <w:bCs/>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质量达标率得分为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b w:val="0"/>
          <w:bCs w:val="0"/>
          <w:szCs w:val="28"/>
          <w:highlight w:val="none"/>
          <w:lang w:val="en-US" w:eastAsia="zh-CN"/>
        </w:rPr>
        <w:t>产出时效</w:t>
      </w:r>
      <w:r>
        <w:rPr>
          <w:rFonts w:hint="default" w:ascii="Times New Roman" w:hAnsi="Times New Roman" w:cs="Times New Roman"/>
          <w:b w:val="0"/>
          <w:bCs w:val="0"/>
          <w:szCs w:val="28"/>
          <w:highlight w:val="none"/>
        </w:rPr>
        <w:t>：</w:t>
      </w:r>
      <w:r>
        <w:rPr>
          <w:rFonts w:hint="eastAsia" w:ascii="Times New Roman" w:hAnsi="Times New Roman" w:cs="Times New Roman"/>
          <w:b w:val="0"/>
          <w:bCs w:val="0"/>
          <w:szCs w:val="28"/>
          <w:highlight w:val="none"/>
          <w:lang w:eastAsia="zh-CN"/>
        </w:rPr>
        <w:t>“资金支付完成率”</w:t>
      </w:r>
      <w:r>
        <w:rPr>
          <w:rFonts w:hint="default" w:ascii="Times New Roman" w:hAnsi="Times New Roman" w:cs="Times New Roman"/>
          <w:b w:val="0"/>
          <w:bCs w:val="0"/>
          <w:szCs w:val="28"/>
          <w:highlight w:val="none"/>
        </w:rPr>
        <w:t>目</w:t>
      </w:r>
      <w:r>
        <w:rPr>
          <w:rFonts w:hint="default" w:ascii="Times New Roman" w:hAnsi="Times New Roman" w:cs="Times New Roman"/>
          <w:bCs/>
          <w:szCs w:val="28"/>
          <w:highlight w:val="none"/>
        </w:rPr>
        <w:t>标值是</w:t>
      </w:r>
      <w:r>
        <w:rPr>
          <w:rFonts w:hint="default" w:ascii="Arial" w:hAnsi="Arial" w:cs="Arial"/>
          <w:bCs/>
          <w:szCs w:val="28"/>
          <w:highlight w:val="none"/>
        </w:rPr>
        <w:t>≥</w:t>
      </w:r>
      <w:r>
        <w:rPr>
          <w:rFonts w:hint="default" w:ascii="Times New Roman" w:hAnsi="Times New Roman" w:cs="Times New Roman"/>
          <w:bCs/>
          <w:szCs w:val="28"/>
          <w:highlight w:val="none"/>
        </w:rPr>
        <w:t>9</w:t>
      </w:r>
      <w:r>
        <w:rPr>
          <w:rFonts w:hint="eastAsia" w:ascii="Times New Roman" w:hAnsi="Times New Roman" w:cs="Times New Roman"/>
          <w:bCs/>
          <w:szCs w:val="28"/>
          <w:highlight w:val="none"/>
          <w:lang w:val="en-US" w:eastAsia="zh-CN"/>
        </w:rPr>
        <w:t>5</w:t>
      </w:r>
      <w:r>
        <w:rPr>
          <w:rFonts w:hint="default" w:ascii="Times New Roman" w:hAnsi="Times New Roman" w:cs="Times New Roman"/>
          <w:bCs/>
          <w:szCs w:val="28"/>
          <w:highlight w:val="none"/>
        </w:rPr>
        <w:t>%，2022年度我单位9</w:t>
      </w:r>
      <w:r>
        <w:rPr>
          <w:rFonts w:hint="eastAsia" w:ascii="Times New Roman" w:hAnsi="Times New Roman" w:cs="Times New Roman"/>
          <w:bCs/>
          <w:szCs w:val="28"/>
          <w:highlight w:val="none"/>
          <w:lang w:val="en-US" w:eastAsia="zh-CN"/>
        </w:rPr>
        <w:t>5</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eastAsia="zh-CN"/>
        </w:rPr>
        <w:t>；</w:t>
      </w:r>
      <w:r>
        <w:rPr>
          <w:rFonts w:hint="default" w:ascii="Times New Roman" w:hAnsi="Times New Roman" w:cs="Times New Roman"/>
          <w:szCs w:val="28"/>
          <w:highlight w:val="none"/>
        </w:rPr>
        <w:t>故完成及时性得分为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eastAsia" w:ascii="Times New Roman" w:hAnsi="Times New Roman" w:eastAsia="仿宋_GB2312" w:cs="Times New Roman"/>
          <w:b w:val="0"/>
          <w:bCs w:val="0"/>
          <w:szCs w:val="28"/>
          <w:highlight w:val="none"/>
          <w:lang w:eastAsia="zh-CN"/>
        </w:rPr>
      </w:pPr>
      <w:r>
        <w:rPr>
          <w:rFonts w:hint="default" w:ascii="Times New Roman" w:hAnsi="Times New Roman" w:cs="Times New Roman"/>
          <w:b w:val="0"/>
          <w:bCs w:val="0"/>
          <w:szCs w:val="28"/>
          <w:highlight w:val="none"/>
        </w:rPr>
        <w:t>成本节约率：</w:t>
      </w:r>
      <w:r>
        <w:rPr>
          <w:rFonts w:hint="eastAsia" w:ascii="Times New Roman" w:hAnsi="Times New Roman" w:cs="Times New Roman"/>
          <w:b w:val="0"/>
          <w:bCs w:val="0"/>
          <w:szCs w:val="28"/>
          <w:highlight w:val="none"/>
          <w:lang w:val="en-US" w:eastAsia="zh-CN"/>
        </w:rPr>
        <w:t>100%，</w:t>
      </w:r>
      <w:r>
        <w:rPr>
          <w:rFonts w:hint="eastAsia"/>
          <w:b w:val="0"/>
          <w:bCs w:val="0"/>
          <w:highlight w:val="none"/>
        </w:rPr>
        <w:t>成本未超出，全部花完</w:t>
      </w:r>
      <w:r>
        <w:rPr>
          <w:rFonts w:hint="eastAsia"/>
          <w:b w:val="0"/>
          <w:bCs w:val="0"/>
          <w:highlight w:val="none"/>
          <w:lang w:eastAsia="zh-CN"/>
        </w:rPr>
        <w:t>。</w:t>
      </w:r>
    </w:p>
    <w:p>
      <w:pPr>
        <w:spacing w:line="360" w:lineRule="auto"/>
        <w:ind w:firstLine="562"/>
        <w:rPr>
          <w:rFonts w:hint="default" w:ascii="Times New Roman" w:hAnsi="Times New Roman" w:cs="Times New Roman"/>
          <w:b w:val="0"/>
          <w:bCs w:val="0"/>
          <w:szCs w:val="28"/>
          <w:highlight w:val="none"/>
        </w:rPr>
      </w:pPr>
      <w:r>
        <w:rPr>
          <w:rFonts w:hint="default" w:ascii="Times New Roman" w:hAnsi="Times New Roman" w:cs="Times New Roman"/>
          <w:b w:val="0"/>
          <w:bCs w:val="0"/>
          <w:szCs w:val="28"/>
          <w:highlight w:val="none"/>
        </w:rPr>
        <w:t>项目预算控制率</w:t>
      </w:r>
      <w:r>
        <w:rPr>
          <w:rFonts w:hint="eastAsia" w:ascii="Times New Roman" w:hAnsi="Times New Roman" w:cs="Times New Roman"/>
          <w:b w:val="0"/>
          <w:bCs w:val="0"/>
          <w:szCs w:val="28"/>
          <w:highlight w:val="none"/>
          <w:lang w:val="en-US" w:eastAsia="zh-CN"/>
        </w:rPr>
        <w:t>100%</w:t>
      </w:r>
      <w:r>
        <w:rPr>
          <w:rFonts w:hint="default" w:ascii="Times New Roman" w:hAnsi="Times New Roman" w:cs="Times New Roman"/>
          <w:b w:val="0"/>
          <w:bCs w:val="0"/>
          <w:szCs w:val="28"/>
          <w:highlight w:val="none"/>
        </w:rPr>
        <w:t>，故得分为</w:t>
      </w:r>
      <w:r>
        <w:rPr>
          <w:rFonts w:hint="eastAsia" w:ascii="Times New Roman" w:hAnsi="Times New Roman" w:cs="Times New Roman"/>
          <w:b w:val="0"/>
          <w:bCs w:val="0"/>
          <w:szCs w:val="28"/>
          <w:highlight w:val="none"/>
          <w:lang w:val="en-US" w:eastAsia="zh-CN"/>
        </w:rPr>
        <w:t>10</w:t>
      </w:r>
      <w:r>
        <w:rPr>
          <w:rFonts w:hint="default" w:ascii="Times New Roman" w:hAnsi="Times New Roman" w:cs="Times New Roman"/>
          <w:b w:val="0"/>
          <w:bCs w:val="0"/>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szCs w:val="28"/>
          <w:highlight w:val="none"/>
          <w:lang w:val="en-US" w:eastAsia="zh-CN"/>
        </w:rPr>
        <w:t>40</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100784612"/>
      <w:bookmarkStart w:id="48" w:name="_Toc67911615"/>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项目效益指标由1个二级指标和</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 xml:space="preserve">分。 </w:t>
      </w:r>
    </w:p>
    <w:p>
      <w:pPr>
        <w:autoSpaceDE w:val="0"/>
        <w:spacing w:line="600" w:lineRule="exact"/>
        <w:ind w:firstLine="562"/>
        <w:rPr>
          <w:rFonts w:hint="default" w:ascii="Times New Roman" w:hAnsi="Times New Roman" w:cs="Times New Roman"/>
          <w:b/>
          <w:kern w:val="0"/>
          <w:sz w:val="32"/>
          <w:szCs w:val="32"/>
          <w:highlight w:val="none"/>
        </w:rPr>
      </w:pPr>
      <w:bookmarkStart w:id="49" w:name="_Toc100784613"/>
      <w:r>
        <w:rPr>
          <w:rFonts w:hint="default" w:ascii="Times New Roman" w:hAnsi="Times New Roman" w:cs="Times New Roman"/>
          <w:b/>
          <w:kern w:val="0"/>
          <w:sz w:val="32"/>
          <w:szCs w:val="32"/>
          <w:highlight w:val="none"/>
        </w:rPr>
        <w:t>1.项目效益</w:t>
      </w:r>
      <w:bookmarkEnd w:id="49"/>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：不适用。</w:t>
      </w:r>
    </w:p>
    <w:p>
      <w:pPr>
        <w:spacing w:line="360" w:lineRule="auto"/>
        <w:ind w:firstLine="562"/>
        <w:rPr>
          <w:rFonts w:hint="eastAsia" w:ascii="Times New Roman" w:hAnsi="Times New Roman" w:cs="Times New Roman"/>
          <w:szCs w:val="28"/>
          <w:highlight w:val="none"/>
          <w:lang w:eastAsia="zh-CN"/>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：评价指标“恢复治理区域生态功能，减少水土流失，重塑人与自然和谐相处”，指标值：进一步改善，实际完成值：达成年度指标。本项目的实施</w:t>
      </w:r>
      <w:r>
        <w:rPr>
          <w:rFonts w:hint="eastAsia" w:ascii="Times New Roman" w:hAnsi="Times New Roman" w:cs="Times New Roman"/>
          <w:szCs w:val="28"/>
          <w:highlight w:val="none"/>
          <w:lang w:val="en-US" w:eastAsia="zh-CN"/>
        </w:rPr>
        <w:t>可</w:t>
      </w:r>
      <w:r>
        <w:rPr>
          <w:rFonts w:hint="default" w:ascii="Times New Roman" w:hAnsi="Times New Roman" w:cs="Times New Roman"/>
          <w:szCs w:val="28"/>
          <w:highlight w:val="none"/>
        </w:rPr>
        <w:t>恢复乌鲁木齐河上游东南沟地区原有生态功能，进一步减少水土流失，提升区域生态环境质量，确保乌鲁木齐河水源水质优良</w:t>
      </w:r>
      <w:r>
        <w:rPr>
          <w:rFonts w:hint="eastAsia" w:ascii="Times New Roman" w:hAnsi="Times New Roman" w:cs="Times New Roman"/>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评价指标“完善地区环境，促进旅游发展”，指标值：有效，实际完成值：达成年度指标。推进了乌鲁木齐河大西沟中山带生态系统良性循环，促进当地经济社会与环境保护工作的可持续发展，起到了积极的示范意义。</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15</w:t>
      </w:r>
      <w:r>
        <w:rPr>
          <w:rFonts w:hint="default" w:ascii="Times New Roman" w:hAnsi="Times New Roman" w:cs="Times New Roman"/>
          <w:b/>
          <w:kern w:val="0"/>
          <w:szCs w:val="28"/>
          <w:highlight w:val="none"/>
        </w:rPr>
        <w:t>分。</w:t>
      </w:r>
    </w:p>
    <w:p>
      <w:pPr>
        <w:autoSpaceDE w:val="0"/>
        <w:spacing w:line="600" w:lineRule="exact"/>
        <w:ind w:firstLine="562"/>
        <w:rPr>
          <w:rFonts w:hint="default" w:ascii="Times New Roman" w:hAnsi="Times New Roman" w:cs="Times New Roman"/>
          <w:b/>
          <w:kern w:val="0"/>
          <w:sz w:val="32"/>
          <w:szCs w:val="32"/>
          <w:highlight w:val="none"/>
        </w:rPr>
      </w:pPr>
      <w:bookmarkStart w:id="50" w:name="_Toc100784614"/>
      <w:r>
        <w:rPr>
          <w:rFonts w:hint="default" w:ascii="Times New Roman" w:hAnsi="Times New Roman" w:cs="Times New Roman"/>
          <w:b/>
          <w:kern w:val="0"/>
          <w:sz w:val="32"/>
          <w:szCs w:val="32"/>
          <w:highlight w:val="none"/>
        </w:rPr>
        <w:t>2. 满意度指标完成情况分析</w:t>
      </w:r>
      <w:bookmarkEnd w:id="50"/>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评价指标“辖区居民满意度”，指标值：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%，实际完成值：</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6</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6</w:t>
      </w:r>
      <w:r>
        <w:rPr>
          <w:rFonts w:hint="default" w:ascii="Times New Roman" w:hAnsi="Times New Roman" w:cs="Times New Roman"/>
          <w:szCs w:val="28"/>
          <w:highlight w:val="none"/>
        </w:rPr>
        <w:t>份。其中，统计“辖区居民满意度”的平均值为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67911616"/>
      <w:bookmarkStart w:id="52" w:name="_Toc100784615"/>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0</w:t>
      </w:r>
      <w:r>
        <w:rPr>
          <w:rFonts w:hint="default" w:ascii="Times New Roman" w:hAnsi="Times New Roman" w:cs="Times New Roman"/>
          <w:szCs w:val="28"/>
          <w:highlight w:val="none"/>
        </w:rPr>
        <w:t>%，小于20%。因此，本项目较好地完成了年度总体目标，财政资金使用效益和效率较高。</w:t>
      </w: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67911618"/>
      <w:bookmarkStart w:id="56" w:name="_Toc100784617"/>
      <w:r>
        <w:rPr>
          <w:rFonts w:hint="default" w:ascii="Times New Roman" w:hAnsi="Times New Roman" w:eastAsia="仿宋" w:cs="Times New Roman"/>
          <w:sz w:val="32"/>
          <w:szCs w:val="32"/>
          <w:highlight w:val="none"/>
          <w:lang w:bidi="en-US"/>
        </w:rPr>
        <w:t>（一）主要经验及做法</w:t>
      </w:r>
      <w:bookmarkEnd w:id="55"/>
      <w:bookmarkEnd w:id="5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highlight w:val="none"/>
          <w:lang w:val="en-US" w:eastAsia="zh-CN" w:bidi="ar-SA"/>
        </w:rPr>
      </w:pPr>
      <w:bookmarkStart w:id="57" w:name="_Toc14802"/>
      <w:bookmarkStart w:id="58" w:name="_Toc100784618"/>
      <w:r>
        <w:rPr>
          <w:rFonts w:hint="default" w:ascii="Times New Roman" w:hAnsi="Times New Roman" w:eastAsia="仿宋_GB2312" w:cs="Times New Roman"/>
          <w:b w:val="0"/>
          <w:bCs w:val="0"/>
          <w:kern w:val="2"/>
          <w:sz w:val="28"/>
          <w:szCs w:val="28"/>
          <w:highlight w:val="none"/>
          <w:lang w:val="en-US" w:eastAsia="zh-CN" w:bidi="ar-SA"/>
        </w:rPr>
        <w:t>科学合理编制预算</w:t>
      </w:r>
      <w:bookmarkEnd w:id="57"/>
      <w:r>
        <w:rPr>
          <w:rFonts w:hint="eastAsia" w:ascii="Times New Roman" w:hAnsi="Times New Roman" w:eastAsia="仿宋_GB2312" w:cs="Times New Roman"/>
          <w:b w:val="0"/>
          <w:bCs w:val="0"/>
          <w:kern w:val="2"/>
          <w:sz w:val="28"/>
          <w:szCs w:val="28"/>
          <w:highlight w:val="none"/>
          <w:lang w:val="en-US" w:eastAsia="zh-CN" w:bidi="ar-SA"/>
        </w:rPr>
        <w:t>。</w:t>
      </w:r>
      <w:r>
        <w:rPr>
          <w:rFonts w:hint="default" w:ascii="Times New Roman" w:hAnsi="Times New Roman" w:eastAsia="仿宋_GB2312" w:cs="Times New Roman"/>
          <w:b w:val="0"/>
          <w:bCs w:val="0"/>
          <w:kern w:val="2"/>
          <w:sz w:val="28"/>
          <w:szCs w:val="28"/>
          <w:highlight w:val="none"/>
          <w:lang w:val="en-US" w:eastAsia="zh-CN" w:bidi="ar-SA"/>
        </w:rPr>
        <w:t>每一项工作的开展都离不开经费的充足保障，但是经费预算要想合情合理，必须要对项目实施的目的意义搞清搞准，对项目要掌握清楚，要有预见性，防止出现实际支出与预算相差过大的问题。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（二）存在的问题及原因分析</w:t>
      </w:r>
      <w:bookmarkEnd w:id="58"/>
    </w:p>
    <w:p>
      <w:pPr>
        <w:spacing w:line="360" w:lineRule="auto"/>
        <w:ind w:firstLine="560"/>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预算绩效管理工作机制不够完善，绩效管理工作开展缺乏强有力的制度保障。</w:t>
      </w:r>
      <w:r>
        <w:rPr>
          <w:rFonts w:hint="default" w:ascii="Times New Roman" w:hAnsi="Times New Roman" w:cs="Times New Roman"/>
          <w:szCs w:val="28"/>
          <w:highlight w:val="none"/>
          <w:lang w:val="en-US" w:eastAsia="zh-CN"/>
        </w:rPr>
        <w:t>目前部分单位领导对绩效管理工作及其意义缺乏正确的认识，认为绩效管理工作只是财务部门的事，没有引起足够的重视，导致部分单位绩效申报工作流于形式，绩效申报与单位实际状况脱离。单位绩效管理工作多</w:t>
      </w:r>
      <w:r>
        <w:rPr>
          <w:rFonts w:hint="eastAsia" w:ascii="Times New Roman" w:hAnsi="Times New Roman" w:cs="Times New Roman"/>
          <w:szCs w:val="28"/>
          <w:highlight w:val="none"/>
          <w:lang w:val="en-US" w:eastAsia="zh-CN"/>
        </w:rPr>
        <w:t>由</w:t>
      </w:r>
      <w:r>
        <w:rPr>
          <w:rFonts w:hint="default" w:ascii="Times New Roman" w:hAnsi="Times New Roman" w:cs="Times New Roman"/>
          <w:szCs w:val="28"/>
          <w:highlight w:val="none"/>
          <w:lang w:val="en-US" w:eastAsia="zh-CN"/>
        </w:rPr>
        <w:t>财务人员负责，绩效目标的执行情况，只在上报时点时才与项目执行部门（业务部门）进行沟通，且职责界限模糊不清，缺失有效的绩效管理工作机制和制度体系</w:t>
      </w:r>
      <w:r>
        <w:rPr>
          <w:rFonts w:hint="eastAsia" w:ascii="Times New Roman" w:hAnsi="Times New Roman" w:cs="Times New Roman"/>
          <w:szCs w:val="28"/>
          <w:highlight w:val="none"/>
          <w:lang w:val="en-US" w:eastAsia="zh-CN"/>
        </w:rPr>
        <w:t>。</w:t>
      </w:r>
    </w:p>
    <w:p>
      <w:pPr>
        <w:spacing w:line="360" w:lineRule="auto"/>
        <w:ind w:firstLine="560"/>
        <w:rPr>
          <w:rFonts w:hint="default" w:ascii="Times New Roman" w:hAnsi="Times New Roman" w:cs="Times New Roman"/>
          <w:szCs w:val="28"/>
          <w:highlight w:val="none"/>
          <w:lang w:val="en-US" w:eastAsia="zh-CN"/>
        </w:rPr>
      </w:pPr>
      <w:bookmarkStart w:id="59" w:name="_Toc100784619"/>
      <w:bookmarkStart w:id="60" w:name="_Toc6791161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9"/>
      <w:bookmarkEnd w:id="60"/>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61" w:name="_Toc100784620"/>
      <w:bookmarkStart w:id="62" w:name="_Toc67911620"/>
      <w:r>
        <w:rPr>
          <w:rFonts w:hint="default" w:ascii="Times New Roman" w:hAnsi="Times New Roman" w:eastAsia="仿宋" w:cs="Times New Roman"/>
          <w:sz w:val="36"/>
          <w:szCs w:val="36"/>
          <w:highlight w:val="none"/>
          <w:lang w:bidi="en-US"/>
        </w:rPr>
        <w:t>八、有关建议</w:t>
      </w:r>
      <w:bookmarkEnd w:id="61"/>
      <w:bookmarkEnd w:id="62"/>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1.对预算安排与执行的建议</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按年度预算计划，做到“量入为出，略有节余”的原则，领导及财务人员高度重视，能够按月按季度对经费执行情况进行分析，发现问题，解决问题，能很好地按年度预算执行，做到了经费按进度无超支，各项工作任务按进度不误事。</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2.对资金管理的建议</w:t>
      </w:r>
    </w:p>
    <w:p>
      <w:pPr>
        <w:spacing w:line="360" w:lineRule="auto"/>
        <w:ind w:firstLine="560"/>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理顺资金管理体制，要明确政府和各主管部门在专项资金的使用、管理中的分工，做到权责分明，责任到人。对资金的管理，要由财政和主管部门建立健全系统的管理制度，规范资金使用，做到专款专用，所有项目资金从分配到使用都要明确，做到资金、项目、文号对应，以明确资金流向和使用情况，防止截留，挪用现象的发生。</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3.项目管理的建议</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lang w:val="en-US" w:eastAsia="zh-CN"/>
        </w:rPr>
        <w:t>建章立制，强化专项资金的监督。财政部门和主管部门要对项目实施和资金使用进行全程跟踪监督，及时掌握项目进度，督促项目实施单位加强管理，定期报告项目实施情况，增加项目资金使用的透明度，同时，要充分发挥纪委、审计监督部门的作用，建立长期有效的专项资金监督管理新体系，确保专项资金用到实处，实现效益最大化。对每一项目，从其预算到实施的整个过程都实行跟踪问效，对出现偏差的项目，要及时对其实施过程的每一环节都要进行认真分析，找出存在的问题，及时改正。</w:t>
      </w:r>
    </w:p>
    <w:p>
      <w:pPr>
        <w:spacing w:line="360" w:lineRule="auto"/>
        <w:ind w:firstLine="560"/>
        <w:rPr>
          <w:rFonts w:hint="default" w:ascii="Times New Roman" w:hAnsi="Times New Roman" w:cs="Times New Roman"/>
          <w:szCs w:val="28"/>
          <w:highlight w:val="none"/>
        </w:rPr>
      </w:pPr>
    </w:p>
    <w:p>
      <w:pPr>
        <w:spacing w:line="360" w:lineRule="auto"/>
        <w:ind w:firstLine="560"/>
        <w:rPr>
          <w:rFonts w:hint="default" w:ascii="Times New Roman" w:hAnsi="Times New Roman" w:cs="Times New Roman"/>
          <w:szCs w:val="28"/>
          <w:highlight w:val="none"/>
        </w:rPr>
      </w:pPr>
    </w:p>
    <w:bookmarkEnd w:id="63"/>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财政委托审计费自评报告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4YmE2MTYzZjE1OTc5Zjg1YWRiNDcxMWVhYTI3MD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791204F"/>
    <w:rsid w:val="08A52FEB"/>
    <w:rsid w:val="0916666B"/>
    <w:rsid w:val="09407711"/>
    <w:rsid w:val="100009EE"/>
    <w:rsid w:val="128679E9"/>
    <w:rsid w:val="142B7BFA"/>
    <w:rsid w:val="1839502E"/>
    <w:rsid w:val="193E3611"/>
    <w:rsid w:val="1EA025FB"/>
    <w:rsid w:val="263C6C61"/>
    <w:rsid w:val="2B1607ED"/>
    <w:rsid w:val="2EE93382"/>
    <w:rsid w:val="2F051D28"/>
    <w:rsid w:val="30A202B0"/>
    <w:rsid w:val="32252923"/>
    <w:rsid w:val="36401AD9"/>
    <w:rsid w:val="36EC6951"/>
    <w:rsid w:val="428C0CF8"/>
    <w:rsid w:val="49E30CA1"/>
    <w:rsid w:val="4F627A7C"/>
    <w:rsid w:val="51826FF2"/>
    <w:rsid w:val="53930D0B"/>
    <w:rsid w:val="55BF25B3"/>
    <w:rsid w:val="55D170E4"/>
    <w:rsid w:val="56554CD5"/>
    <w:rsid w:val="5B904CF6"/>
    <w:rsid w:val="5BBB3658"/>
    <w:rsid w:val="5EE329F1"/>
    <w:rsid w:val="63EB4F8B"/>
    <w:rsid w:val="6C543710"/>
    <w:rsid w:val="77E66CEA"/>
    <w:rsid w:val="78303D56"/>
    <w:rsid w:val="78F96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22</Pages>
  <Words>8594</Words>
  <Characters>9037</Characters>
  <Lines>79</Lines>
  <Paragraphs>22</Paragraphs>
  <TotalTime>1</TotalTime>
  <ScaleCrop>false</ScaleCrop>
  <LinksUpToDate>false</LinksUpToDate>
  <CharactersWithSpaces>9169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Administrator</cp:lastModifiedBy>
  <cp:lastPrinted>2023-04-11T02:57:00Z</cp:lastPrinted>
  <dcterms:modified xsi:type="dcterms:W3CDTF">2023-11-23T03:44:40Z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C72CFD68021D41D8BC351CC4CC9D8637_12</vt:lpwstr>
  </property>
</Properties>
</file>