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highlight w:val="none"/>
          <w:lang w:bidi="en-US"/>
        </w:rPr>
      </w:pPr>
      <w:bookmarkStart w:id="63" w:name="_GoBack"/>
    </w:p>
    <w:p>
      <w:pPr>
        <w:spacing w:line="480" w:lineRule="auto"/>
        <w:ind w:firstLine="0" w:firstLineChars="0"/>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before="120" w:after="120" w:line="480" w:lineRule="auto"/>
        <w:ind w:firstLine="0" w:firstLineChars="0"/>
        <w:jc w:val="center"/>
        <w:rPr>
          <w:rFonts w:hint="default" w:ascii="Times New Roman" w:hAnsi="Times New Roman" w:cs="Times New Roman"/>
          <w:b/>
          <w:sz w:val="44"/>
          <w:szCs w:val="44"/>
          <w:highlight w:val="none"/>
        </w:rPr>
      </w:pPr>
      <w:r>
        <w:rPr>
          <w:rFonts w:hint="default" w:ascii="Times New Roman" w:hAnsi="Times New Roman" w:cs="Times New Roman"/>
          <w:b/>
          <w:sz w:val="44"/>
          <w:szCs w:val="44"/>
          <w:highlight w:val="none"/>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cs="Times New Roman"/>
          <w:kern w:val="0"/>
          <w:sz w:val="30"/>
          <w:szCs w:val="30"/>
          <w:highlight w:val="none"/>
          <w:lang w:bidi="en-US"/>
        </w:rPr>
      </w:pPr>
    </w:p>
    <w:p>
      <w:pPr>
        <w:spacing w:line="480" w:lineRule="auto"/>
        <w:ind w:left="3064" w:leftChars="570" w:hanging="1468" w:hangingChars="459"/>
        <w:jc w:val="left"/>
        <w:rPr>
          <w:rFonts w:hint="default" w:ascii="Times New Roman" w:hAnsi="Times New Roman" w:cs="Times New Roman"/>
          <w:kern w:val="0"/>
          <w:sz w:val="32"/>
          <w:szCs w:val="32"/>
          <w:highlight w:val="none"/>
          <w:lang w:bidi="en-US"/>
        </w:rPr>
      </w:pPr>
      <w:r>
        <w:rPr>
          <w:rFonts w:hint="default" w:ascii="Times New Roman" w:hAnsi="Times New Roman" w:cs="Times New Roman"/>
          <w:kern w:val="0"/>
          <w:sz w:val="32"/>
          <w:szCs w:val="32"/>
          <w:highlight w:val="none"/>
          <w:lang w:bidi="en-US"/>
        </w:rPr>
        <w:t xml:space="preserve">项目名称：存量资金安排胜得利煤矿、联丰源煤矿奖补资金（备财经会） </w:t>
      </w:r>
    </w:p>
    <w:p>
      <w:pPr>
        <w:spacing w:line="480" w:lineRule="auto"/>
        <w:ind w:left="280" w:leftChars="100" w:firstLine="1091" w:firstLineChars="341"/>
        <w:jc w:val="left"/>
        <w:rPr>
          <w:rFonts w:hint="default" w:ascii="Times New Roman" w:hAnsi="Times New Roman" w:cs="Times New Roman"/>
          <w:kern w:val="0"/>
          <w:sz w:val="32"/>
          <w:szCs w:val="32"/>
          <w:highlight w:val="none"/>
          <w:lang w:bidi="en-US"/>
        </w:rPr>
      </w:pPr>
      <w:r>
        <w:rPr>
          <w:rFonts w:hint="default" w:ascii="Times New Roman" w:hAnsi="Times New Roman" w:cs="Times New Roman"/>
          <w:kern w:val="0"/>
          <w:sz w:val="32"/>
          <w:szCs w:val="32"/>
          <w:highlight w:val="none"/>
          <w:lang w:bidi="en-US"/>
        </w:rPr>
        <w:t>项目单位：</w:t>
      </w:r>
      <w:r>
        <w:rPr>
          <w:rFonts w:hint="eastAsia" w:ascii="Times New Roman" w:hAnsi="Times New Roman" w:cs="Times New Roman"/>
          <w:kern w:val="0"/>
          <w:sz w:val="32"/>
          <w:szCs w:val="32"/>
          <w:highlight w:val="none"/>
          <w:lang w:val="en-US" w:eastAsia="zh-CN" w:bidi="en-US"/>
        </w:rPr>
        <w:t>乌鲁木齐县发展和改革委员会</w:t>
      </w:r>
      <w:r>
        <w:rPr>
          <w:rFonts w:hint="default" w:ascii="Times New Roman" w:hAnsi="Times New Roman" w:cs="Times New Roman"/>
          <w:kern w:val="0"/>
          <w:sz w:val="32"/>
          <w:szCs w:val="32"/>
          <w:highlight w:val="none"/>
          <w:lang w:bidi="en-US"/>
        </w:rPr>
        <w:t xml:space="preserve"> </w:t>
      </w:r>
    </w:p>
    <w:p>
      <w:pPr>
        <w:spacing w:line="480" w:lineRule="auto"/>
        <w:ind w:left="280" w:leftChars="100" w:firstLine="1091" w:firstLineChars="341"/>
        <w:jc w:val="left"/>
        <w:rPr>
          <w:rFonts w:hint="default" w:ascii="Times New Roman" w:hAnsi="Times New Roman" w:cs="Times New Roman"/>
          <w:kern w:val="0"/>
          <w:sz w:val="32"/>
          <w:szCs w:val="32"/>
          <w:highlight w:val="none"/>
          <w:lang w:bidi="en-US"/>
        </w:rPr>
      </w:pPr>
      <w:r>
        <w:rPr>
          <w:rFonts w:hint="default" w:ascii="Times New Roman" w:hAnsi="Times New Roman" w:cs="Times New Roman"/>
          <w:kern w:val="0"/>
          <w:sz w:val="32"/>
          <w:szCs w:val="32"/>
          <w:highlight w:val="none"/>
          <w:lang w:bidi="en-US"/>
        </w:rPr>
        <w:t>主管部门：</w:t>
      </w:r>
      <w:r>
        <w:rPr>
          <w:rFonts w:hint="eastAsia" w:ascii="Times New Roman" w:hAnsi="Times New Roman" w:cs="Times New Roman"/>
          <w:kern w:val="0"/>
          <w:sz w:val="32"/>
          <w:szCs w:val="32"/>
          <w:highlight w:val="none"/>
          <w:lang w:val="en-US" w:eastAsia="zh-CN" w:bidi="en-US"/>
        </w:rPr>
        <w:t>乌鲁木齐县发展和改革委员会</w:t>
      </w:r>
    </w:p>
    <w:p>
      <w:pPr>
        <w:spacing w:line="480" w:lineRule="auto"/>
        <w:ind w:firstLine="1411" w:firstLineChars="441"/>
        <w:jc w:val="left"/>
        <w:rPr>
          <w:rFonts w:hint="default" w:ascii="Times New Roman" w:hAnsi="Times New Roman" w:cs="Times New Roman"/>
          <w:kern w:val="0"/>
          <w:sz w:val="32"/>
          <w:szCs w:val="32"/>
          <w:highlight w:val="none"/>
          <w:lang w:bidi="en-US"/>
        </w:rPr>
      </w:pPr>
    </w:p>
    <w:p>
      <w:pPr>
        <w:spacing w:line="480" w:lineRule="auto"/>
        <w:ind w:firstLine="0" w:firstLineChars="0"/>
        <w:rPr>
          <w:rFonts w:hint="default" w:ascii="Times New Roman" w:hAnsi="Times New Roman" w:eastAsia="黑体" w:cs="Times New Roman"/>
          <w:b/>
          <w:kern w:val="0"/>
          <w:sz w:val="32"/>
          <w:szCs w:val="32"/>
          <w:highlight w:val="none"/>
          <w:lang w:bidi="en-US"/>
        </w:rPr>
      </w:pPr>
    </w:p>
    <w:p>
      <w:pPr>
        <w:spacing w:line="480" w:lineRule="auto"/>
        <w:ind w:firstLine="0" w:firstLineChars="0"/>
        <w:rPr>
          <w:rFonts w:hint="default" w:ascii="Times New Roman" w:hAnsi="Times New Roman" w:eastAsia="黑体" w:cs="Times New Roman"/>
          <w:b/>
          <w:kern w:val="0"/>
          <w:sz w:val="32"/>
          <w:szCs w:val="32"/>
          <w:highlight w:val="none"/>
          <w:lang w:bidi="en-US"/>
        </w:rPr>
      </w:pPr>
    </w:p>
    <w:p>
      <w:pPr>
        <w:spacing w:line="480" w:lineRule="auto"/>
        <w:ind w:firstLine="0" w:firstLineChars="0"/>
        <w:jc w:val="center"/>
        <w:rPr>
          <w:rFonts w:hint="default" w:ascii="Times New Roman" w:hAnsi="Times New Roman" w:cs="Times New Roman"/>
          <w:kern w:val="0"/>
          <w:sz w:val="32"/>
          <w:szCs w:val="32"/>
          <w:highlight w:val="none"/>
          <w:lang w:bidi="en-US"/>
        </w:rPr>
      </w:pPr>
      <w:r>
        <w:rPr>
          <w:rFonts w:hint="default" w:ascii="Times New Roman" w:hAnsi="Times New Roman" w:cs="Times New Roman"/>
          <w:kern w:val="0"/>
          <w:sz w:val="32"/>
          <w:szCs w:val="32"/>
          <w:highlight w:val="none"/>
          <w:lang w:bidi="en-US"/>
        </w:rPr>
        <w:t>2023年04月</w:t>
      </w:r>
    </w:p>
    <w:p>
      <w:pPr>
        <w:spacing w:line="480" w:lineRule="auto"/>
        <w:ind w:firstLine="0" w:firstLineChars="0"/>
        <w:jc w:val="center"/>
        <w:rPr>
          <w:rFonts w:hint="default" w:ascii="Times New Roman" w:hAnsi="Times New Roman" w:cs="Times New Roman"/>
          <w:kern w:val="0"/>
          <w:sz w:val="32"/>
          <w:szCs w:val="32"/>
          <w:highlight w:val="none"/>
          <w:lang w:bidi="en-US"/>
        </w:rPr>
      </w:pPr>
    </w:p>
    <w:p>
      <w:pPr>
        <w:tabs>
          <w:tab w:val="left" w:pos="3324"/>
        </w:tabs>
        <w:spacing w:line="480" w:lineRule="auto"/>
        <w:ind w:firstLine="0" w:firstLineChars="0"/>
        <w:rPr>
          <w:rFonts w:hint="default" w:ascii="Times New Roman" w:hAnsi="Times New Roman" w:cs="Times New Roman"/>
          <w:kern w:val="0"/>
          <w:sz w:val="32"/>
          <w:szCs w:val="32"/>
          <w:highlight w:val="none"/>
          <w:lang w:bidi="en-US"/>
        </w:rPr>
      </w:pPr>
      <w:r>
        <w:rPr>
          <w:rFonts w:hint="default" w:ascii="Times New Roman" w:hAnsi="Times New Roman" w:cs="Times New Roman"/>
          <w:kern w:val="0"/>
          <w:sz w:val="32"/>
          <w:szCs w:val="32"/>
          <w:highlight w:val="none"/>
          <w:lang w:bidi="en-US"/>
        </w:rPr>
        <w:tab/>
      </w:r>
    </w:p>
    <w:p>
      <w:pPr>
        <w:ind w:firstLine="640"/>
        <w:rPr>
          <w:rFonts w:hint="default" w:ascii="Times New Roman" w:hAnsi="Times New Roman" w:cs="Times New Roman"/>
          <w:kern w:val="0"/>
          <w:sz w:val="32"/>
          <w:szCs w:val="32"/>
          <w:highlight w:val="none"/>
          <w:lang w:bidi="en-US"/>
        </w:rPr>
      </w:pPr>
    </w:p>
    <w:sdt>
      <w:sdtPr>
        <w:rPr>
          <w:rFonts w:hint="default" w:ascii="Times New Roman" w:hAnsi="Times New Roman" w:eastAsia="仿宋_GB2312" w:cs="Times New Roman"/>
          <w:b/>
          <w:bCs/>
          <w:color w:val="000000" w:themeColor="text1"/>
          <w:kern w:val="2"/>
          <w:sz w:val="28"/>
          <w:szCs w:val="22"/>
          <w:highlight w:val="none"/>
          <w:lang w:val="zh-CN"/>
          <w14:textFill>
            <w14:solidFill>
              <w14:schemeClr w14:val="tx1"/>
            </w14:solidFill>
          </w14:textFill>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highlight w:val="none"/>
          <w:lang w:val="zh-CN"/>
        </w:rPr>
      </w:sdtEndPr>
      <w:sdtContent>
        <w:p>
          <w:pPr>
            <w:pStyle w:val="29"/>
            <w:ind w:firstLine="560"/>
            <w:jc w:val="center"/>
            <w:rPr>
              <w:rFonts w:hint="default" w:ascii="Times New Roman" w:hAnsi="Times New Roman" w:cs="Times New Roman"/>
              <w:b/>
              <w:bCs/>
              <w:color w:val="000000" w:themeColor="text1"/>
              <w:highlight w:val="none"/>
              <w14:textFill>
                <w14:solidFill>
                  <w14:schemeClr w14:val="tx1"/>
                </w14:solidFill>
              </w14:textFill>
            </w:rPr>
          </w:pPr>
          <w:r>
            <w:rPr>
              <w:rFonts w:hint="default" w:ascii="Times New Roman" w:hAnsi="Times New Roman" w:cs="Times New Roman"/>
              <w:b/>
              <w:bCs/>
              <w:color w:val="000000" w:themeColor="text1"/>
              <w:highlight w:val="none"/>
              <w:lang w:val="zh-CN"/>
              <w14:textFill>
                <w14:solidFill>
                  <w14:schemeClr w14:val="tx1"/>
                </w14:solidFill>
              </w14:textFill>
            </w:rPr>
            <w:t>目录</w:t>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TOC \o "1-3" \h \z \u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"_Toc100784583"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一、基本情况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_Toc100784583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"_Toc100784584"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（一）项目概况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_Toc100784584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"_Toc100784585"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（二）项目绩效目标</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_Toc100784585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"_Toc100784586"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二、绩效评价工作开展情况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_Toc100784586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"_Toc100784587"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（一）绩效评价目的、对象和范围</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_Toc100784587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"_Toc100784588"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1.评价目的</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_Toc100784588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"_Toc100784589"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2.评价对象和范围</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_Toc100784589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"_Toc100784590"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（二）绩效评价原则、指标体系、方法及标准</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_Toc100784590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"_Toc100784591"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1.评价原则</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_Toc100784591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"_Toc100784592"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2.评价指标体系</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_Toc100784592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"_Toc100784593"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3.评价方法</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_Toc100784593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10</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"_Toc100784594"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4.评价标准</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_Toc100784594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10</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"_Toc100784595"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（三）绩效评价工作过程</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_Toc100784595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"_Toc100784596"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三、综合评价情况及评价结论</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_Toc100784596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"_Toc100784597"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（一）评价结论</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_Toc100784597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"_Toc100784598"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（二）主要绩效</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_Toc100784598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"_Toc100784599"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四、绩效评价指标分析</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_Toc100784599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"_Toc100784600"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（一）项目决策情况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_Toc100784600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"_Toc100784601"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1.项目立项</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_Toc100784601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"_Toc100784602"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2.绩效目标</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_Toc100784602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14</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"_Toc100784603"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3.资金投入</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_Toc100784603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14</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"_Toc100784604"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（二）项目过程情况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_Toc100784604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15</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"_Toc100784605"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1.资金管理</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_Toc100784605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15</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"_Toc100784606"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2.组织实施</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_Toc100784606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15</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"_Toc100784607"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（三）项目产出情况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_Toc100784607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16</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"_Toc100784608"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1.产出数量</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_Toc100784608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16</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"_Toc100784609"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2.产出质量</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_Toc100784609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16</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"_Toc100784610"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3.产出时效</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_Toc100784610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16</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"_Toc100784611"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4.产出成本</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_Toc100784611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16</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"_Toc100784612"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（四）项目效益情况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_Toc100784612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16</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"_Toc100784613"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1.项目效益</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_Toc100784613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17</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"_Toc100784614"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2. 满意度指标完成情况分析</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_Toc100784614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17</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"_Toc100784615"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五、预算执行进度与绩效指标偏差</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_Toc100784615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17</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"_Toc100784616"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六、主要经验及做法、存在的问题及原因分析</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_Toc100784616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"_Toc100784617"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（一）主要经验及做法</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_Toc100784617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"_Toc100784618"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（二）存在的问题及原因分析</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_Toc100784618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"_Toc100784619"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七、其他需要说明的问题</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_Toc100784619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"_Toc100784620"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八、有关建议</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_Toc100784620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19</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ind w:firstLine="562"/>
            <w:rPr>
              <w:rFonts w:hint="default" w:ascii="Times New Roman" w:hAnsi="Times New Roman" w:cs="Times New Roman"/>
              <w:highlight w:val="none"/>
            </w:rPr>
          </w:pPr>
          <w:r>
            <w:rPr>
              <w:rFonts w:hint="default" w:ascii="Times New Roman" w:hAnsi="Times New Roman" w:cs="Times New Roman"/>
              <w:b/>
              <w:bCs/>
              <w:highlight w:val="none"/>
              <w:lang w:val="zh-CN"/>
            </w:rPr>
            <w:fldChar w:fldCharType="end"/>
          </w:r>
        </w:p>
      </w:sdtContent>
    </w:sdt>
    <w:p>
      <w:pPr>
        <w:ind w:firstLine="598" w:firstLineChars="187"/>
        <w:rPr>
          <w:rFonts w:hint="default" w:ascii="Times New Roman" w:hAnsi="Times New Roman" w:cs="Times New Roman"/>
          <w:sz w:val="32"/>
          <w:szCs w:val="32"/>
          <w:highlight w:val="none"/>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0" w:name="_Toc100784583"/>
      <w:bookmarkStart w:id="1" w:name="_Toc67911601"/>
      <w:r>
        <w:rPr>
          <w:rFonts w:hint="default" w:ascii="Times New Roman" w:hAnsi="Times New Roman" w:eastAsia="仿宋" w:cs="Times New Roman"/>
          <w:sz w:val="36"/>
          <w:szCs w:val="36"/>
          <w:highlight w:val="none"/>
          <w:lang w:bidi="en-US"/>
        </w:rPr>
        <w:t>一、基本情况</w:t>
      </w:r>
      <w:bookmarkEnd w:id="0"/>
      <w:bookmarkEnd w:id="1"/>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2" w:name="_Toc100784584"/>
      <w:bookmarkStart w:id="3" w:name="_Toc67911602"/>
      <w:r>
        <w:rPr>
          <w:rFonts w:hint="default" w:ascii="Times New Roman" w:hAnsi="Times New Roman" w:eastAsia="仿宋" w:cs="Times New Roman"/>
          <w:sz w:val="32"/>
          <w:szCs w:val="32"/>
          <w:highlight w:val="none"/>
          <w:lang w:val="en-US" w:eastAsia="zh-CN" w:bidi="en-US"/>
        </w:rPr>
        <w:t>（一）项目概况</w:t>
      </w:r>
      <w:bookmarkEnd w:id="2"/>
      <w:bookmarkEnd w:id="3"/>
    </w:p>
    <w:p>
      <w:pPr>
        <w:spacing w:line="360" w:lineRule="auto"/>
        <w:ind w:firstLine="560"/>
        <w:rPr>
          <w:rFonts w:hint="default" w:ascii="Times New Roman" w:hAnsi="Times New Roman" w:cs="Times New Roman"/>
          <w:highlight w:val="none"/>
          <w:lang w:eastAsia="zh-CN"/>
        </w:rPr>
      </w:pPr>
      <w:r>
        <w:rPr>
          <w:rFonts w:hint="default" w:ascii="Times New Roman" w:hAnsi="Times New Roman" w:cs="Times New Roman"/>
          <w:highlight w:val="none"/>
          <w:lang w:eastAsia="zh-CN"/>
        </w:rPr>
        <w:t>根据</w:t>
      </w:r>
      <w:r>
        <w:rPr>
          <w:rFonts w:hint="eastAsia" w:ascii="Times New Roman" w:hAnsi="Times New Roman" w:cs="Times New Roman"/>
          <w:highlight w:val="none"/>
          <w:lang w:eastAsia="zh-CN"/>
        </w:rPr>
        <w:t>《关于印发乌鲁木齐市辖区内煤矿实施优化升级工作方案的通知》（乌政办〔2015〕128号），</w:t>
      </w:r>
      <w:r>
        <w:rPr>
          <w:rFonts w:hint="default" w:ascii="Times New Roman" w:hAnsi="Times New Roman" w:cs="Times New Roman"/>
          <w:highlight w:val="none"/>
          <w:lang w:eastAsia="zh-CN"/>
        </w:rPr>
        <w:t>存量资金安排胜得利煤矿、联丰源煤矿奖补资金（备财经会）项目</w:t>
      </w:r>
      <w:r>
        <w:rPr>
          <w:rFonts w:hint="eastAsia" w:ascii="Times New Roman" w:hAnsi="Times New Roman" w:cs="Times New Roman"/>
          <w:highlight w:val="none"/>
          <w:lang w:eastAsia="zh-CN"/>
        </w:rPr>
        <w:t>，按规范要求完成胜得利煤矿、联丰源煤矿关闭工作。</w:t>
      </w:r>
      <w:r>
        <w:rPr>
          <w:rFonts w:hint="default" w:ascii="Times New Roman" w:hAnsi="Times New Roman" w:cs="Times New Roman"/>
          <w:highlight w:val="none"/>
          <w:lang w:eastAsia="zh-CN"/>
        </w:rPr>
        <w:t>（项目背景及项目建设完成情况）。</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lang w:eastAsia="zh-CN"/>
        </w:rPr>
        <w:t>经</w:t>
      </w:r>
      <w:r>
        <w:rPr>
          <w:rFonts w:hint="eastAsia" w:ascii="Times New Roman" w:hAnsi="Times New Roman" w:cs="Times New Roman"/>
          <w:highlight w:val="none"/>
          <w:lang w:val="en-US" w:eastAsia="zh-CN"/>
        </w:rPr>
        <w:t>乌县财预存量【2022】322</w:t>
      </w:r>
      <w:r>
        <w:rPr>
          <w:rFonts w:hint="default" w:ascii="Times New Roman" w:hAnsi="Times New Roman" w:cs="Times New Roman"/>
          <w:highlight w:val="none"/>
          <w:lang w:eastAsia="zh-CN"/>
        </w:rPr>
        <w:t>号文件批准，项目系2022年本级资金，共安排预算</w:t>
      </w:r>
      <w:r>
        <w:rPr>
          <w:rFonts w:hint="eastAsia" w:ascii="Times New Roman" w:hAnsi="Times New Roman" w:cs="Times New Roman"/>
          <w:highlight w:val="none"/>
          <w:lang w:val="en-US" w:eastAsia="zh-CN"/>
        </w:rPr>
        <w:t>180</w:t>
      </w:r>
      <w:r>
        <w:rPr>
          <w:rFonts w:hint="default" w:ascii="Times New Roman" w:hAnsi="Times New Roman" w:cs="Times New Roman"/>
          <w:highlight w:val="none"/>
          <w:lang w:eastAsia="zh-CN"/>
        </w:rPr>
        <w:t>万元，于2022年年中追加部分预算批复项目，资金到位</w:t>
      </w:r>
      <w:r>
        <w:rPr>
          <w:rFonts w:hint="eastAsia" w:ascii="Times New Roman" w:hAnsi="Times New Roman" w:cs="Times New Roman"/>
          <w:highlight w:val="none"/>
          <w:lang w:val="en-US" w:eastAsia="zh-CN"/>
        </w:rPr>
        <w:t>180万元，支付180万元，</w:t>
      </w:r>
      <w:r>
        <w:rPr>
          <w:rFonts w:hint="default" w:ascii="Times New Roman" w:hAnsi="Times New Roman" w:cs="Times New Roman"/>
          <w:highlight w:val="none"/>
          <w:lang w:eastAsia="zh-CN"/>
        </w:rPr>
        <w:t>年中</w:t>
      </w:r>
      <w:r>
        <w:rPr>
          <w:rFonts w:hint="eastAsia" w:ascii="Times New Roman" w:hAnsi="Times New Roman" w:cs="Times New Roman"/>
          <w:highlight w:val="none"/>
          <w:lang w:val="en-US" w:eastAsia="zh-CN"/>
        </w:rPr>
        <w:t>未</w:t>
      </w:r>
      <w:r>
        <w:rPr>
          <w:rFonts w:hint="default" w:ascii="Times New Roman" w:hAnsi="Times New Roman" w:cs="Times New Roman"/>
          <w:highlight w:val="none"/>
          <w:lang w:eastAsia="zh-CN"/>
        </w:rPr>
        <w:t>对资金进行调增、调减。</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4" w:name="_Toc100784585"/>
      <w:bookmarkStart w:id="5" w:name="_Toc67911603"/>
      <w:r>
        <w:rPr>
          <w:rFonts w:hint="default" w:ascii="Times New Roman" w:hAnsi="Times New Roman" w:eastAsia="仿宋" w:cs="Times New Roman"/>
          <w:sz w:val="32"/>
          <w:szCs w:val="32"/>
          <w:highlight w:val="none"/>
          <w:lang w:val="en-US" w:eastAsia="zh-CN" w:bidi="en-US"/>
        </w:rPr>
        <w:t>（二）项目绩效目标</w:t>
      </w:r>
      <w:bookmarkEnd w:id="4"/>
      <w:bookmarkEnd w:id="5"/>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本项目依据《中共中央 国务院关于全面实施预算绩效管理的意见》（中发〔2018〕34号）、《关于印发&lt;乌鲁木齐市本级部门预算绩效目标管理暂行办法&gt;的通知》（乌财预</w:t>
      </w:r>
      <w:bookmarkStart w:id="6" w:name="_Hlk67566397"/>
      <w:r>
        <w:rPr>
          <w:rFonts w:hint="default" w:ascii="Times New Roman" w:hAnsi="Times New Roman" w:cs="Times New Roman"/>
          <w:szCs w:val="28"/>
          <w:highlight w:val="none"/>
        </w:rPr>
        <w:t>〔2018〕56号</w:t>
      </w:r>
      <w:bookmarkEnd w:id="6"/>
      <w:r>
        <w:rPr>
          <w:rFonts w:hint="default" w:ascii="Times New Roman" w:hAnsi="Times New Roman" w:cs="Times New Roman"/>
          <w:szCs w:val="28"/>
          <w:highlight w:val="none"/>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default" w:ascii="Times New Roman" w:hAnsi="Times New Roman" w:eastAsia="仿宋" w:cs="Times New Roman"/>
          <w:sz w:val="36"/>
          <w:szCs w:val="36"/>
          <w:highlight w:val="none"/>
          <w:lang w:bidi="en-US"/>
        </w:rPr>
      </w:pPr>
      <w:r>
        <w:rPr>
          <w:rFonts w:hint="eastAsia" w:ascii="Times New Roman" w:hAnsi="Times New Roman" w:cs="Times New Roman"/>
          <w:szCs w:val="28"/>
          <w:highlight w:val="none"/>
          <w:lang w:val="en-US" w:eastAsia="zh-CN"/>
        </w:rPr>
        <w:t>该项目根据《关于印发乌鲁木齐市辖区内煤矿实施优化升级工作方案的通知》（乌政办〔2015〕128号）精神，稳步推进我市煤矿淘汰落后产能及关闭退出工作。按照规范要求完成胜得利煤矿、联丰源煤矿关闭工作。</w:t>
      </w:r>
      <w:bookmarkStart w:id="7" w:name="_Toc67911604"/>
      <w:bookmarkStart w:id="8" w:name="_Toc100784586"/>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二、绩效评价工作开展情况</w:t>
      </w:r>
      <w:bookmarkEnd w:id="7"/>
      <w:bookmarkEnd w:id="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9" w:name="_Toc100784587"/>
      <w:bookmarkStart w:id="10" w:name="_Toc67911605"/>
      <w:r>
        <w:rPr>
          <w:rFonts w:hint="default" w:ascii="Times New Roman" w:hAnsi="Times New Roman" w:eastAsia="仿宋" w:cs="Times New Roman"/>
          <w:sz w:val="32"/>
          <w:szCs w:val="32"/>
          <w:highlight w:val="none"/>
          <w:lang w:val="en-US" w:eastAsia="zh-CN" w:bidi="en-US"/>
        </w:rPr>
        <w:t>（一）绩效评价目的、对象和范围</w:t>
      </w:r>
      <w:bookmarkEnd w:id="9"/>
      <w:bookmarkEnd w:id="10"/>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1" w:name="_Toc100784588"/>
      <w:r>
        <w:rPr>
          <w:rFonts w:hint="default" w:ascii="Times New Roman" w:hAnsi="Times New Roman" w:eastAsia="仿宋" w:cs="Times New Roman"/>
          <w:sz w:val="32"/>
          <w:szCs w:val="32"/>
          <w:highlight w:val="none"/>
          <w:lang w:bidi="en-US"/>
        </w:rPr>
        <w:t>1.评价目的</w:t>
      </w:r>
      <w:bookmarkEnd w:id="11"/>
    </w:p>
    <w:p>
      <w:pPr>
        <w:spacing w:line="360" w:lineRule="auto"/>
        <w:ind w:firstLine="560"/>
        <w:rPr>
          <w:rFonts w:hint="default" w:ascii="Times New Roman" w:hAnsi="Times New Roman" w:cs="Times New Roman"/>
          <w:b/>
          <w:bCs/>
          <w:highlight w:val="none"/>
        </w:rPr>
      </w:pPr>
      <w:r>
        <w:rPr>
          <w:rFonts w:hint="default" w:ascii="Times New Roman" w:hAnsi="Times New Roman" w:cs="Times New Roman"/>
          <w:highlight w:val="none"/>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2" w:name="_Toc100784589"/>
      <w:r>
        <w:rPr>
          <w:rFonts w:hint="default" w:ascii="Times New Roman" w:hAnsi="Times New Roman" w:eastAsia="仿宋" w:cs="Times New Roman"/>
          <w:sz w:val="32"/>
          <w:szCs w:val="32"/>
          <w:highlight w:val="none"/>
          <w:lang w:bidi="en-US"/>
        </w:rPr>
        <w:t>2.评价对象和范围</w:t>
      </w:r>
      <w:bookmarkEnd w:id="12"/>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 xml:space="preserve">（1）绩效评价的对象：存量资金安排胜得利煤矿、联丰源煤矿奖补资金（备财经会）项目 </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（2）绩效评价范围：</w:t>
      </w:r>
    </w:p>
    <w:p>
      <w:pPr>
        <w:spacing w:line="360" w:lineRule="auto"/>
        <w:ind w:firstLine="560"/>
        <w:rPr>
          <w:rFonts w:hint="eastAsia" w:ascii="Times New Roman" w:hAnsi="Times New Roman" w:cs="Times New Roman"/>
          <w:highlight w:val="none"/>
          <w:lang w:val="en-US" w:eastAsia="zh-CN"/>
        </w:rPr>
      </w:pPr>
      <w:r>
        <w:rPr>
          <w:rFonts w:hint="default" w:ascii="Times New Roman" w:hAnsi="Times New Roman" w:cs="Times New Roman"/>
          <w:highlight w:val="none"/>
        </w:rPr>
        <w:t>1.项目范围：存量资金安排胜得利煤矿、联丰源煤矿奖补资金（备财经会）的完成情况、资金投入的运行情况、项目实施后产生的绩效及影响效果。</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2.时间范围：2022年1月1日至2022年12月31日。</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13" w:name="_Toc100784590"/>
      <w:bookmarkStart w:id="14" w:name="_Toc67911606"/>
      <w:bookmarkStart w:id="15" w:name="_Hlk67586765"/>
      <w:r>
        <w:rPr>
          <w:rFonts w:hint="default" w:ascii="Times New Roman" w:hAnsi="Times New Roman" w:eastAsia="仿宋" w:cs="Times New Roman"/>
          <w:sz w:val="32"/>
          <w:szCs w:val="32"/>
          <w:highlight w:val="none"/>
          <w:lang w:val="en-US" w:eastAsia="zh-CN" w:bidi="en-US"/>
        </w:rPr>
        <w:t>（二）绩效评价原则、指标体系、方法及标准</w:t>
      </w:r>
      <w:bookmarkEnd w:id="13"/>
      <w:bookmarkEnd w:id="14"/>
    </w:p>
    <w:bookmarkEnd w:id="15"/>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6" w:name="_Toc100784591"/>
      <w:r>
        <w:rPr>
          <w:rFonts w:hint="default" w:ascii="Times New Roman" w:hAnsi="Times New Roman" w:eastAsia="仿宋" w:cs="Times New Roman"/>
          <w:sz w:val="32"/>
          <w:szCs w:val="32"/>
          <w:highlight w:val="none"/>
          <w:lang w:bidi="en-US"/>
        </w:rPr>
        <w:t>1.评价原则</w:t>
      </w:r>
      <w:bookmarkEnd w:id="16"/>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（1）科学规范原则：绩效评价应当严格执行规定的程序，按照科学可行的要求，采用定量与定性分析相结合的方法。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（2）公正公开原则：绩效评价应当符合真实、客观、公正的要求，依法公开并接受监督。</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（3）分级分类原则：根据评价对象特点分类组织实施。</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（4）绩效相关原则：绩效评价应当针对具体支出及其产出绩效进行，评价结果应当清晰反映支出和产出绩效之间的紧密对应关系。</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根据以上原则，绩效评价应遵循如下要求：</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（1）在数据收集时，采取客观数据，并结合问卷调查结果，以保证各项指标的真实性。</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（2）保证评价结果的真实性、公正性，提高评价报告的公信力。</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（3）绩效评价报告应当简明扼要，除了对绩效评价的过程、结果描述外，还应总结经验，指出问题，并就项目实施过程中所存在的问题提出可操作性改进建议。</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7" w:name="_Toc100784592"/>
      <w:r>
        <w:rPr>
          <w:rFonts w:hint="default" w:ascii="Times New Roman" w:hAnsi="Times New Roman" w:eastAsia="仿宋" w:cs="Times New Roman"/>
          <w:sz w:val="32"/>
          <w:szCs w:val="32"/>
          <w:highlight w:val="none"/>
          <w:lang w:bidi="en-US"/>
        </w:rPr>
        <w:t>2.评价指标体系</w:t>
      </w:r>
      <w:bookmarkEnd w:id="17"/>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绩效评价指标体系作为衡量绩效目标实现程度的考核工具，一般遵循以下原则：</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（1）相关性原则：绩效评价指标应当与绩效目标有直接的联系，能够恰当反映目标的实现程度。</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（2）重要性原则：应当优先使用最具评价对象代表性、最能反映评价要求的核心指标。</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（3）可比性原则：对同类评价对象要设定共性的绩效评价指标，以便于评价结果可以相互比较。</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本项目的评价指标体系建立如附件所示。</w:t>
      </w:r>
    </w:p>
    <w:p>
      <w:pPr>
        <w:spacing w:line="360" w:lineRule="auto"/>
        <w:ind w:firstLine="560"/>
        <w:rPr>
          <w:rFonts w:hint="default" w:ascii="Times New Roman" w:hAnsi="Times New Roman" w:cs="Times New Roman"/>
          <w:highlight w:val="none"/>
        </w:rPr>
      </w:pPr>
    </w:p>
    <w:p>
      <w:pPr>
        <w:spacing w:line="360" w:lineRule="auto"/>
        <w:ind w:firstLine="560"/>
        <w:rPr>
          <w:rFonts w:hint="default" w:ascii="Times New Roman" w:hAnsi="Times New Roman" w:cs="Times New Roman"/>
          <w:highlight w:val="none"/>
        </w:rPr>
      </w:pPr>
    </w:p>
    <w:p>
      <w:pPr>
        <w:spacing w:line="360" w:lineRule="auto"/>
        <w:ind w:firstLine="560"/>
        <w:rPr>
          <w:rFonts w:hint="default" w:ascii="Times New Roman" w:hAnsi="Times New Roman" w:cs="Times New Roman"/>
          <w:highlight w:val="none"/>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highlight w:val="none"/>
        </w:rPr>
      </w:pPr>
      <w:r>
        <w:rPr>
          <w:rFonts w:hint="default" w:ascii="Times New Roman" w:hAnsi="Times New Roman" w:cs="Times New Roman"/>
          <w:b/>
          <w:bCs/>
          <w:highlight w:val="none"/>
        </w:rPr>
        <w:t xml:space="preserve">  项目支出绩效评价指标体系</w:t>
      </w:r>
    </w:p>
    <w:tbl>
      <w:tblPr>
        <w:tblStyle w:val="15"/>
        <w:tblW w:w="1389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立项依据</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①项目立项是否符合国家法律法规、国民经济发展规划和相关政策；</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②项目立项是否符合行业发展规划和政策要求；</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③项目立项是否与部门职责范围相符，属于部门履职所需；</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④项目是否属于公共财政支持范围，是否符合中央、地方事权支出责任划分原则；</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立项程序</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①项目是否按照规定的程序申请设立；</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②审批文件、材料是否符合相关要求；</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（如未设定预算绩效目标，也可考核其他工作任务目标）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①项目是否有绩效目标；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②项目绩效目标与实际工作内容是否具有相关性；</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绩效指标</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①是否将项目绩效目标细化分解为具体的绩效指标；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②是否通过清晰、可衡量的指标值予以体现；</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③是否与项目目标任务数或计划数相对应。</w:t>
            </w:r>
            <w:r>
              <w:rPr>
                <w:rFonts w:hint="default" w:ascii="Times New Roman" w:hAnsi="Times New Roman" w:eastAsia="宋体" w:cs="Times New Roman"/>
                <w:color w:val="000000"/>
                <w:kern w:val="0"/>
                <w:sz w:val="22"/>
                <w:highlight w:val="none"/>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预算编制</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①预算编制是否经过科学论证；</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②预算内容与项目内容是否匹配；</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③预算额度测算依据是否充分，是否按照标准编制；</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资金分配</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①预算资金分配依据是否充分；</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资金到位率=（实际到位资金/预算资金）×100%。</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预算执行率=（实际支出资金/实际到位资金）×100%。</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资金使用</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①是否符合国家财经法规和财务管理制度以及有关专项资金管理办法的规定；</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②资金的拨付是否有完整的审批程序和手续；</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③是否符合项目预算批复或合同规定的用途；</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管理制度</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①是否已制定或具有相应的财务和业务管理制度；</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制度执行</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①是否遵守相关法律法规和相关管理规定；</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②项目调整及支出调整手续是否完备；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③项目合同书、验收报告、技术鉴定等资料是否齐全并及时归档；</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2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产出数量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关闭煤矿数量</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实际完成率=（实际产出数/计划产出数）×100%。</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实际产出数：一定时期（本年度或项目期）内项目实际产出的产品或提供的服务数量。</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产出质量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项目按计划完成率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质量达标率=（质量达标产出数/实际产出数）×100%。</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产出时效</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资金支付及时率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实际完成时间：项目实施单位完成该项目实际所耗用的时间。</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18"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产出成本</w:t>
            </w:r>
          </w:p>
        </w:tc>
        <w:tc>
          <w:tcPr>
            <w:tcW w:w="141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项目经费成本控制率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成本节约率=[（计划成本-实际成本）/计划成本]×100%。</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实际成本：项目实施单位如期、保质、保量完成既定工作目标实际所耗费的支出。</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3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效益</w:t>
            </w:r>
          </w:p>
        </w:tc>
        <w:tc>
          <w:tcPr>
            <w:tcW w:w="119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lang w:val="en-US" w:eastAsia="zh-CN"/>
              </w:rPr>
              <w:t>生态</w:t>
            </w:r>
            <w:r>
              <w:rPr>
                <w:rFonts w:hint="default" w:ascii="Times New Roman" w:hAnsi="Times New Roman" w:eastAsia="宋体" w:cs="Times New Roman"/>
                <w:color w:val="000000"/>
                <w:kern w:val="0"/>
                <w:sz w:val="22"/>
                <w:highlight w:val="none"/>
              </w:rPr>
              <w:t>效益指标</w:t>
            </w:r>
          </w:p>
        </w:tc>
        <w:tc>
          <w:tcPr>
            <w:tcW w:w="141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恢复区域生态功能，减少水土流失，重塑人与自然和谐相处</w:t>
            </w:r>
          </w:p>
        </w:tc>
        <w:tc>
          <w:tcPr>
            <w:tcW w:w="2789" w:type="dxa"/>
            <w:vMerge w:val="restart"/>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35"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可持续影响指标</w:t>
            </w:r>
          </w:p>
        </w:tc>
        <w:tc>
          <w:tcPr>
            <w:tcW w:w="141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完善地区环境，促进旅游发展</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煤矿企业满意度</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highlight w:val="none"/>
        </w:rPr>
      </w:pPr>
    </w:p>
    <w:p>
      <w:pPr>
        <w:ind w:firstLine="0" w:firstLineChars="0"/>
        <w:jc w:val="center"/>
        <w:rPr>
          <w:rFonts w:hint="default" w:ascii="Times New Roman" w:hAnsi="Times New Roman" w:cs="Times New Roman"/>
          <w:highlight w:val="none"/>
        </w:rPr>
      </w:pPr>
    </w:p>
    <w:p>
      <w:pPr>
        <w:ind w:firstLine="0" w:firstLineChars="0"/>
        <w:jc w:val="center"/>
        <w:rPr>
          <w:rFonts w:hint="default" w:ascii="Times New Roman" w:hAnsi="Times New Roman" w:cs="Times New Roman"/>
          <w:highlight w:val="none"/>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8" w:name="_Toc100784593"/>
      <w:bookmarkStart w:id="19" w:name="_Hlk67586038"/>
      <w:r>
        <w:rPr>
          <w:rFonts w:hint="default" w:ascii="Times New Roman" w:hAnsi="Times New Roman" w:eastAsia="仿宋" w:cs="Times New Roman"/>
          <w:sz w:val="32"/>
          <w:szCs w:val="32"/>
          <w:highlight w:val="none"/>
          <w:lang w:bidi="en-US"/>
        </w:rPr>
        <w:t>3.评价方法</w:t>
      </w:r>
      <w:bookmarkEnd w:id="18"/>
    </w:p>
    <w:bookmarkEnd w:id="19"/>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（1）成本效益分析法。是指将投入与产出、效益进行关联性分析的方法。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（2）比较法。是指将实施情况与绩效目标、历史情况、不同部门和地区同类支出情况进行比较的方法。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（3）因素分析法。是指综合分析影响绩效目标实现、实施效果的内外部因素的方法。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（4）最低成本法。是指在绩效目标确定的前提下，成本最小者为优的方法。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（5）公众评判法。是指通过专家评估、公众问卷及抽样调查等方式进行评判的方法。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（6）标杆管理法。是指以国内外同行业中较高的绩效水平为标杆进行评判的方法。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（7）其他评价方法。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根据本项目（存量资金安排胜得利煤矿、联丰源煤矿奖补资金（备财经会）的特点，本次评价主要采用公众评判法，对项目总预算和明细预算的内容、标准、计划是否经济合理进行深入分析，以考察实际产出和效益是否达到预期。</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20" w:name="_Toc100784594"/>
      <w:r>
        <w:rPr>
          <w:rFonts w:hint="default" w:ascii="Times New Roman" w:hAnsi="Times New Roman" w:eastAsia="仿宋" w:cs="Times New Roman"/>
          <w:sz w:val="32"/>
          <w:szCs w:val="32"/>
          <w:highlight w:val="none"/>
          <w:lang w:bidi="en-US"/>
        </w:rPr>
        <w:t>4.评价标准</w:t>
      </w:r>
      <w:bookmarkEnd w:id="20"/>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绩效评价标准主要包括计划标准、行业标准、历史标准等，用于对绩效指标完成情况进行比较。</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（1）计划标准。指以预先制定的目标、计划、预算、定额等作为评价标准。</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（2）行业标准。指参照国家公布的行业指标数据制定的评价标准。</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在上述评价标准的基础上，本次评价依据以下文件为重要指导和准绳：</w:t>
      </w:r>
    </w:p>
    <w:p>
      <w:pPr>
        <w:spacing w:line="360" w:lineRule="auto"/>
        <w:ind w:firstLine="560"/>
        <w:rPr>
          <w:rFonts w:hint="default" w:ascii="Times New Roman" w:hAnsi="Times New Roman" w:cs="Times New Roman"/>
          <w:highlight w:val="none"/>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《中共中央国务院关于全面实施预算绩效管理的意见》（中发〔2018〕34号）</w:t>
      </w:r>
    </w:p>
    <w:p>
      <w:pPr>
        <w:spacing w:line="360" w:lineRule="auto"/>
        <w:ind w:firstLine="560"/>
        <w:rPr>
          <w:rFonts w:hint="default" w:ascii="Times New Roman" w:hAnsi="Times New Roman" w:cs="Times New Roman"/>
          <w:highlight w:val="none"/>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《关于印发&lt;乌鲁木齐市本级部门预算绩效目标管理暂行办法&gt;的通知》（乌财预〔2018〕56号）</w:t>
      </w:r>
    </w:p>
    <w:p>
      <w:pPr>
        <w:spacing w:line="360" w:lineRule="auto"/>
        <w:ind w:firstLine="560" w:firstLineChars="0"/>
        <w:rPr>
          <w:rFonts w:hint="default" w:ascii="Times New Roman" w:hAnsi="Times New Roman" w:cs="Times New Roman"/>
          <w:highlight w:val="none"/>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《关于做好2019年部门预算项目支出绩效目标管理有关事宜的通知》（乌财预〔2018〕76号）</w:t>
      </w:r>
    </w:p>
    <w:p>
      <w:pPr>
        <w:spacing w:line="360" w:lineRule="auto"/>
        <w:ind w:firstLine="560"/>
        <w:rPr>
          <w:rFonts w:hint="default" w:ascii="Times New Roman" w:hAnsi="Times New Roman" w:cs="Times New Roman"/>
          <w:highlight w:val="none"/>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《项目支出绩效评价管理办法》（财预〔2020〕10号）</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r>
        <w:rPr>
          <w:rFonts w:hint="default" w:ascii="Times New Roman" w:hAnsi="Times New Roman" w:eastAsia="仿宋" w:cs="Times New Roman"/>
          <w:sz w:val="32"/>
          <w:szCs w:val="32"/>
          <w:highlight w:val="none"/>
          <w:lang w:val="en-US" w:eastAsia="zh-CN" w:bidi="en-US"/>
        </w:rPr>
        <w:t xml:space="preserve"> </w:t>
      </w:r>
      <w:bookmarkStart w:id="21" w:name="_Toc100784595"/>
      <w:bookmarkStart w:id="22" w:name="_Toc67911607"/>
      <w:r>
        <w:rPr>
          <w:rFonts w:hint="default" w:ascii="Times New Roman" w:hAnsi="Times New Roman" w:eastAsia="仿宋" w:cs="Times New Roman"/>
          <w:sz w:val="32"/>
          <w:szCs w:val="32"/>
          <w:highlight w:val="none"/>
          <w:lang w:val="en-US" w:eastAsia="zh-CN" w:bidi="en-US"/>
        </w:rPr>
        <w:t>（三）绩效评价工作过程</w:t>
      </w:r>
      <w:bookmarkEnd w:id="21"/>
      <w:bookmarkEnd w:id="22"/>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0"/>
          <w:rFonts w:hint="default" w:ascii="Times New Roman" w:hAnsi="Times New Roman" w:cs="Times New Roman"/>
          <w:highlight w:val="none"/>
        </w:rPr>
        <w:footnoteReference w:id="0"/>
      </w:r>
      <w:r>
        <w:rPr>
          <w:rFonts w:hint="default" w:ascii="Times New Roman" w:hAnsi="Times New Roman" w:cs="Times New Roman"/>
          <w:highlight w:val="none"/>
        </w:rPr>
        <w:t>、材料审核分析、现场核查评价、综合分析评价及报告撰写，评价项目实施情况，展现资金使用效益。</w:t>
      </w:r>
    </w:p>
    <w:p>
      <w:pPr>
        <w:pStyle w:val="2"/>
        <w:keepNext/>
        <w:keepLines/>
        <w:pageBreakBefore w:val="0"/>
        <w:widowControl w:val="0"/>
        <w:kinsoku/>
        <w:wordWrap/>
        <w:overflowPunct/>
        <w:topLinePunct w:val="0"/>
        <w:autoSpaceDE/>
        <w:autoSpaceDN/>
        <w:bidi w:val="0"/>
        <w:adjustRightInd/>
        <w:snapToGrid/>
        <w:spacing w:before="0" w:after="0" w:line="560" w:lineRule="exact"/>
        <w:ind w:firstLine="723" w:firstLineChars="200"/>
        <w:jc w:val="left"/>
        <w:textAlignment w:val="auto"/>
        <w:rPr>
          <w:rFonts w:hint="default" w:ascii="Times New Roman" w:hAnsi="Times New Roman" w:eastAsia="仿宋" w:cs="Times New Roman"/>
          <w:sz w:val="36"/>
          <w:szCs w:val="36"/>
          <w:highlight w:val="none"/>
          <w:lang w:bidi="en-US"/>
        </w:rPr>
      </w:pPr>
      <w:bookmarkStart w:id="23" w:name="_Toc100784596"/>
      <w:bookmarkStart w:id="24" w:name="_Toc6791160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三、综合评价情况及评价结论</w:t>
      </w:r>
      <w:bookmarkEnd w:id="23"/>
      <w:bookmarkEnd w:id="2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25" w:name="_Toc100784597"/>
      <w:bookmarkStart w:id="26" w:name="_Toc67911609"/>
      <w:r>
        <w:rPr>
          <w:rFonts w:hint="default" w:ascii="Times New Roman" w:hAnsi="Times New Roman" w:eastAsia="仿宋" w:cs="Times New Roman"/>
          <w:sz w:val="32"/>
          <w:szCs w:val="32"/>
          <w:highlight w:val="none"/>
          <w:lang w:val="en-US" w:eastAsia="zh-CN" w:bidi="en-US"/>
        </w:rPr>
        <w:t>（一）评价结论</w:t>
      </w:r>
      <w:bookmarkEnd w:id="25"/>
      <w:bookmarkEnd w:id="26"/>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结合项目特点，制定符合项目实际的绩效评价指标体系及评分标准，通过数据采集、问卷调查及访谈等形式，对2022年存量资金安排胜得利煤矿、联丰源煤矿奖补资金（备财经会）进行客观评价，最终评分结果为：总分为</w:t>
      </w:r>
      <w:r>
        <w:rPr>
          <w:rFonts w:hint="eastAsia" w:ascii="Times New Roman" w:hAnsi="Times New Roman" w:cs="Times New Roman"/>
          <w:szCs w:val="28"/>
          <w:highlight w:val="none"/>
          <w:lang w:val="en-US" w:eastAsia="zh-CN"/>
        </w:rPr>
        <w:t>100</w:t>
      </w:r>
      <w:r>
        <w:rPr>
          <w:rFonts w:hint="default" w:ascii="Times New Roman" w:hAnsi="Times New Roman" w:cs="Times New Roman"/>
          <w:szCs w:val="28"/>
          <w:highlight w:val="none"/>
        </w:rPr>
        <w:t>分，绩效评级为“</w:t>
      </w:r>
      <w:r>
        <w:rPr>
          <w:rFonts w:hint="eastAsia" w:ascii="Times New Roman" w:hAnsi="Times New Roman" w:cs="Times New Roman"/>
          <w:szCs w:val="28"/>
          <w:highlight w:val="none"/>
          <w:lang w:val="en-US" w:eastAsia="zh-CN"/>
        </w:rPr>
        <w:t>优</w:t>
      </w:r>
      <w:r>
        <w:rPr>
          <w:rFonts w:hint="default" w:ascii="Times New Roman" w:hAnsi="Times New Roman" w:cs="Times New Roman"/>
          <w:szCs w:val="28"/>
          <w:highlight w:val="none"/>
        </w:rPr>
        <w:t>”</w:t>
      </w:r>
      <w:r>
        <w:rPr>
          <w:rFonts w:hint="default" w:ascii="Times New Roman" w:hAnsi="Times New Roman" w:cs="Times New Roman"/>
          <w:szCs w:val="28"/>
          <w:highlight w:val="none"/>
        </w:rPr>
        <w:footnoteReference w:id="1"/>
      </w:r>
      <w:r>
        <w:rPr>
          <w:rFonts w:hint="default" w:ascii="Times New Roman" w:hAnsi="Times New Roman" w:cs="Times New Roman"/>
          <w:szCs w:val="28"/>
          <w:highlight w:val="none"/>
        </w:rPr>
        <w:t>。项目各部分权重和绩效分值如附表所示：</w:t>
      </w:r>
    </w:p>
    <w:p>
      <w:pPr>
        <w:spacing w:line="360" w:lineRule="auto"/>
        <w:ind w:firstLine="0" w:firstLineChars="0"/>
        <w:jc w:val="center"/>
        <w:rPr>
          <w:rFonts w:hint="default" w:ascii="Times New Roman" w:hAnsi="Times New Roman" w:cs="Times New Roman"/>
          <w:b/>
          <w:bCs/>
          <w:szCs w:val="28"/>
          <w:highlight w:val="none"/>
        </w:rPr>
      </w:pPr>
      <w:r>
        <w:rPr>
          <w:rFonts w:hint="default" w:ascii="Times New Roman" w:hAnsi="Times New Roman" w:cs="Times New Roman"/>
          <w:b/>
          <w:bCs/>
          <w:szCs w:val="28"/>
          <w:highlight w:val="none"/>
        </w:rPr>
        <w:t xml:space="preserve">  项目各部分权重和绩效分值</w:t>
      </w:r>
    </w:p>
    <w:tbl>
      <w:tblPr>
        <w:tblStyle w:val="15"/>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决策</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项目立项</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default" w:ascii="Times New Roman" w:hAnsi="Times New Roman" w:cs="Times New Roman"/>
                <w:kern w:val="0"/>
                <w:sz w:val="24"/>
                <w:szCs w:val="24"/>
                <w:highlight w:val="none"/>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default" w:ascii="Times New Roman" w:hAnsi="Times New Roman" w:cs="Times New Roman"/>
                <w:kern w:val="0"/>
                <w:sz w:val="24"/>
                <w:szCs w:val="24"/>
                <w:highlight w:val="none"/>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绩效目标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default" w:ascii="Times New Roman" w:hAnsi="Times New Roman" w:cs="Times New Roman"/>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default" w:ascii="Times New Roman" w:hAnsi="Times New Roman" w:cs="Times New Roman"/>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资金投入</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default" w:ascii="Times New Roman" w:hAnsi="Times New Roman" w:cs="Times New Roman"/>
                <w:kern w:val="0"/>
                <w:sz w:val="24"/>
                <w:szCs w:val="24"/>
                <w:highlight w:val="none"/>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default" w:ascii="Times New Roman" w:hAnsi="Times New Roman" w:cs="Times New Roman"/>
                <w:kern w:val="0"/>
                <w:sz w:val="24"/>
                <w:szCs w:val="24"/>
                <w:highlight w:val="none"/>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过程</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资金管理</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default" w:ascii="Times New Roman" w:hAnsi="Times New Roman" w:cs="Times New Roman"/>
                <w:kern w:val="0"/>
                <w:sz w:val="24"/>
                <w:szCs w:val="24"/>
                <w:highlight w:val="none"/>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default" w:ascii="Times New Roman" w:hAnsi="Times New Roman" w:cs="Times New Roman"/>
                <w:kern w:val="0"/>
                <w:sz w:val="24"/>
                <w:szCs w:val="24"/>
                <w:highlight w:val="none"/>
              </w:rPr>
              <w:t>5</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default" w:ascii="Times New Roman" w:hAnsi="Times New Roman" w:cs="Times New Roman"/>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组织实施</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default" w:ascii="Times New Roman" w:hAnsi="Times New Roman" w:cs="Times New Roman"/>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default" w:ascii="Times New Roman" w:hAnsi="Times New Roman" w:cs="Times New Roman"/>
                <w:kern w:val="0"/>
                <w:sz w:val="24"/>
                <w:szCs w:val="24"/>
                <w:highlight w:val="none"/>
              </w:rPr>
              <w:t>4</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产出数量</w:t>
            </w:r>
          </w:p>
        </w:tc>
        <w:tc>
          <w:tcPr>
            <w:tcW w:w="2693" w:type="dxa"/>
            <w:tcBorders>
              <w:tl2br w:val="nil"/>
              <w:tr2bl w:val="nil"/>
            </w:tcBorders>
            <w:shd w:val="clear" w:color="auto" w:fill="FFFFFF"/>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关闭煤矿数量</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eastAsia" w:ascii="Times New Roman" w:hAnsi="Times New Roman" w:cs="Times New Roman"/>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left="0" w:leftChars="0" w:firstLine="0" w:firstLineChars="0"/>
              <w:jc w:val="both"/>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产出质量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项目按计划完成率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default" w:ascii="Times New Roman" w:hAnsi="Times New Roman" w:cs="Times New Roman"/>
                <w:kern w:val="0"/>
                <w:sz w:val="24"/>
                <w:szCs w:val="24"/>
                <w:highlight w:val="none"/>
              </w:rPr>
              <w:t>10</w:t>
            </w:r>
          </w:p>
        </w:tc>
        <w:tc>
          <w:tcPr>
            <w:tcW w:w="1039" w:type="dxa"/>
            <w:tcBorders>
              <w:tl2br w:val="nil"/>
              <w:tr2bl w:val="nil"/>
            </w:tcBorders>
            <w:shd w:val="clear" w:color="000000" w:fill="FFFFFF"/>
            <w:vAlign w:val="center"/>
          </w:tcPr>
          <w:p>
            <w:pPr>
              <w:widowControl/>
              <w:ind w:left="0" w:leftChars="0" w:firstLine="0" w:firstLineChars="0"/>
              <w:jc w:val="both"/>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产出时效</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资金支付及时率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eastAsia" w:ascii="Times New Roman" w:hAnsi="Times New Roman" w:cs="Times New Roman"/>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left="0" w:leftChars="0" w:firstLine="0" w:firstLineChars="0"/>
              <w:jc w:val="both"/>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产出成本</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项目经费成本控制率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default" w:ascii="Times New Roman" w:hAnsi="Times New Roman" w:cs="Times New Roman"/>
                <w:kern w:val="0"/>
                <w:sz w:val="24"/>
                <w:szCs w:val="24"/>
                <w:highlight w:val="none"/>
              </w:rPr>
              <w:t>10</w:t>
            </w:r>
          </w:p>
        </w:tc>
        <w:tc>
          <w:tcPr>
            <w:tcW w:w="1039" w:type="dxa"/>
            <w:tcBorders>
              <w:tl2br w:val="nil"/>
              <w:tr2bl w:val="nil"/>
            </w:tcBorders>
            <w:shd w:val="clear" w:color="000000" w:fill="FFFFFF"/>
            <w:vAlign w:val="center"/>
          </w:tcPr>
          <w:p>
            <w:pPr>
              <w:widowControl/>
              <w:ind w:left="0" w:leftChars="0" w:firstLine="0" w:firstLineChars="0"/>
              <w:jc w:val="both"/>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效益</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项目效益</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恢复区域生态功能，减少水土流失，重塑人与自然和谐相处</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default" w:ascii="Times New Roman" w:hAnsi="Times New Roman" w:cs="Times New Roman"/>
                <w:kern w:val="0"/>
                <w:sz w:val="24"/>
                <w:szCs w:val="24"/>
                <w:highlight w:val="none"/>
              </w:rPr>
              <w:t>10</w:t>
            </w:r>
          </w:p>
        </w:tc>
        <w:tc>
          <w:tcPr>
            <w:tcW w:w="1039" w:type="dxa"/>
            <w:tcBorders>
              <w:tl2br w:val="nil"/>
              <w:tr2bl w:val="nil"/>
            </w:tcBorders>
            <w:shd w:val="clear" w:color="auto" w:fill="FFFFFF"/>
            <w:vAlign w:val="center"/>
          </w:tcPr>
          <w:p>
            <w:pPr>
              <w:widowControl/>
              <w:ind w:left="0" w:leftChars="0" w:firstLine="0" w:firstLineChars="0"/>
              <w:jc w:val="both"/>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完善地区环境，促进旅游发展</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left="0" w:leftChars="0" w:firstLine="0" w:firstLineChars="0"/>
              <w:jc w:val="both"/>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满意度指标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煤矿企业满意度</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left="0" w:leftChars="0" w:firstLine="0" w:firstLineChars="0"/>
              <w:jc w:val="both"/>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bookmarkStart w:id="27" w:name="_Toc67911610"/>
            <w:bookmarkStart w:id="28" w:name="_Toc100784598"/>
            <w:r>
              <w:rPr>
                <w:rFonts w:hint="eastAsia" w:ascii="Times New Roman" w:hAnsi="Times New Roman" w:cs="Times New Roman"/>
                <w:b/>
                <w:bCs/>
                <w:kern w:val="0"/>
                <w:sz w:val="24"/>
                <w:szCs w:val="24"/>
                <w:highlight w:val="none"/>
                <w:lang w:eastAsia="zh-CN"/>
              </w:rPr>
              <w:t>合计</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c>
          <w:tcPr>
            <w:tcW w:w="1039" w:type="dxa"/>
            <w:tcBorders>
              <w:tl2br w:val="nil"/>
              <w:tr2bl w:val="nil"/>
            </w:tcBorders>
            <w:shd w:val="clear" w:color="000000" w:fill="FFFFFF"/>
            <w:vAlign w:val="center"/>
          </w:tcPr>
          <w:p>
            <w:pPr>
              <w:widowControl/>
              <w:ind w:left="0" w:leftChars="0" w:firstLine="0" w:firstLineChars="0"/>
              <w:jc w:val="both"/>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bl>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val="en-US" w:eastAsia="zh-CN" w:bidi="en-US"/>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r>
        <w:rPr>
          <w:rFonts w:hint="default" w:ascii="Times New Roman" w:hAnsi="Times New Roman" w:eastAsia="仿宋" w:cs="Times New Roman"/>
          <w:sz w:val="32"/>
          <w:szCs w:val="32"/>
          <w:highlight w:val="none"/>
          <w:lang w:val="en-US" w:eastAsia="zh-CN" w:bidi="en-US"/>
        </w:rPr>
        <w:t>（二）主要绩效</w:t>
      </w:r>
      <w:bookmarkEnd w:id="27"/>
      <w:bookmarkEnd w:id="28"/>
    </w:p>
    <w:p>
      <w:pPr>
        <w:spacing w:line="360" w:lineRule="auto"/>
        <w:ind w:firstLine="548" w:firstLineChars="196"/>
        <w:rPr>
          <w:rFonts w:hint="default" w:ascii="Times New Roman" w:hAnsi="Times New Roman" w:eastAsia="仿宋" w:cs="Times New Roman"/>
          <w:sz w:val="36"/>
          <w:szCs w:val="36"/>
          <w:highlight w:val="none"/>
          <w:lang w:bidi="en-US"/>
        </w:rPr>
      </w:pPr>
      <w:r>
        <w:rPr>
          <w:rFonts w:hint="default" w:ascii="Times New Roman" w:hAnsi="Times New Roman" w:cs="Times New Roman"/>
          <w:bCs/>
          <w:szCs w:val="28"/>
          <w:highlight w:val="none"/>
        </w:rPr>
        <w:t>该项目资金区</w:t>
      </w:r>
      <w:r>
        <w:rPr>
          <w:rFonts w:hint="default" w:ascii="Times New Roman" w:hAnsi="Times New Roman" w:cs="Times New Roman"/>
          <w:szCs w:val="28"/>
          <w:highlight w:val="none"/>
        </w:rPr>
        <w:t>财政及时拨付，单位在此次评价期间内，有序完成设定目标的部分工作任务，</w:t>
      </w:r>
      <w:r>
        <w:rPr>
          <w:rFonts w:hint="eastAsia" w:ascii="Times New Roman" w:hAnsi="Times New Roman" w:cs="Times New Roman"/>
          <w:szCs w:val="28"/>
          <w:highlight w:val="none"/>
          <w:lang w:val="en-US" w:eastAsia="zh-CN"/>
        </w:rPr>
        <w:t>关闭煤矿数量2个，</w:t>
      </w:r>
      <w:bookmarkStart w:id="29" w:name="_Toc100784599"/>
      <w:bookmarkStart w:id="30" w:name="_Toc67911611"/>
      <w:r>
        <w:rPr>
          <w:rFonts w:hint="eastAsia" w:ascii="Times New Roman" w:hAnsi="Times New Roman" w:cs="Times New Roman"/>
          <w:szCs w:val="28"/>
          <w:highlight w:val="none"/>
          <w:lang w:val="en-US" w:eastAsia="zh-CN"/>
        </w:rPr>
        <w:t>按照规范要求关闭胜得利煤矿、联丰源煤矿。</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四、绩效评价指标分析</w:t>
      </w:r>
      <w:bookmarkEnd w:id="29"/>
      <w:bookmarkEnd w:id="30"/>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31" w:name="_Toc67911612"/>
      <w:bookmarkStart w:id="32" w:name="_Toc100784600"/>
      <w:r>
        <w:rPr>
          <w:rFonts w:hint="default" w:ascii="Times New Roman" w:hAnsi="Times New Roman" w:eastAsia="仿宋" w:cs="Times New Roman"/>
          <w:sz w:val="32"/>
          <w:szCs w:val="32"/>
          <w:highlight w:val="none"/>
          <w:lang w:bidi="en-US"/>
        </w:rPr>
        <w:t>（一）项目决策情况</w:t>
      </w:r>
      <w:bookmarkEnd w:id="31"/>
      <w:bookmarkEnd w:id="32"/>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项目决算指标由3个二级指标和</w:t>
      </w:r>
      <w:r>
        <w:rPr>
          <w:rFonts w:hint="eastAsia" w:ascii="Times New Roman" w:hAnsi="Times New Roman" w:cs="Times New Roman"/>
          <w:szCs w:val="28"/>
          <w:highlight w:val="none"/>
          <w:lang w:val="en-US" w:eastAsia="zh-CN"/>
        </w:rPr>
        <w:t>4</w:t>
      </w:r>
      <w:r>
        <w:rPr>
          <w:rFonts w:hint="default" w:ascii="Times New Roman" w:hAnsi="Times New Roman" w:cs="Times New Roman"/>
          <w:szCs w:val="28"/>
          <w:highlight w:val="none"/>
        </w:rPr>
        <w:t>个三级指标构成，权重为20分，实际得分</w:t>
      </w:r>
      <w:r>
        <w:rPr>
          <w:rFonts w:hint="eastAsia" w:ascii="Times New Roman" w:hAnsi="Times New Roman" w:cs="Times New Roman"/>
          <w:szCs w:val="28"/>
          <w:highlight w:val="none"/>
          <w:lang w:val="en-US" w:eastAsia="zh-CN"/>
        </w:rPr>
        <w:t>20</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3" w:name="_Toc100784601"/>
      <w:r>
        <w:rPr>
          <w:rFonts w:hint="default" w:ascii="Times New Roman" w:hAnsi="Times New Roman" w:eastAsia="仿宋" w:cs="Times New Roman"/>
          <w:sz w:val="32"/>
          <w:szCs w:val="32"/>
          <w:highlight w:val="none"/>
          <w:lang w:bidi="en-US"/>
        </w:rPr>
        <w:t>1.项目立项</w:t>
      </w:r>
      <w:bookmarkEnd w:id="33"/>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立项依据充分性：</w:t>
      </w:r>
      <w:r>
        <w:rPr>
          <w:rFonts w:hint="default" w:ascii="Times New Roman" w:hAnsi="Times New Roman" w:cs="Times New Roman"/>
          <w:szCs w:val="28"/>
          <w:highlight w:val="none"/>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立项程序规范性:</w:t>
      </w:r>
      <w:r>
        <w:rPr>
          <w:rFonts w:hint="default" w:ascii="Times New Roman" w:hAnsi="Times New Roman" w:cs="Times New Roman"/>
          <w:highlight w:val="none"/>
        </w:rPr>
        <w:t xml:space="preserve"> </w:t>
      </w:r>
      <w:r>
        <w:rPr>
          <w:rFonts w:hint="default" w:ascii="Times New Roman" w:hAnsi="Times New Roman" w:cs="Times New Roman"/>
          <w:szCs w:val="28"/>
          <w:highlight w:val="none"/>
        </w:rPr>
        <w:t>项目按照规定的程序申请设立，审批文件、材料符合相关要求，故立项程序规范，得4分。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综上，该指标满分8分，得分8分。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4" w:name="_Toc100784602"/>
      <w:r>
        <w:rPr>
          <w:rFonts w:hint="default" w:ascii="Times New Roman" w:hAnsi="Times New Roman" w:eastAsia="仿宋" w:cs="Times New Roman"/>
          <w:sz w:val="32"/>
          <w:szCs w:val="32"/>
          <w:highlight w:val="none"/>
          <w:lang w:bidi="en-US"/>
        </w:rPr>
        <w:t>2.绩效目标</w:t>
      </w:r>
      <w:bookmarkEnd w:id="34"/>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绩效目标合理性：</w:t>
      </w:r>
      <w:r>
        <w:rPr>
          <w:rFonts w:hint="default" w:ascii="Times New Roman" w:hAnsi="Times New Roman" w:cs="Times New Roman"/>
          <w:szCs w:val="28"/>
          <w:highlight w:val="none"/>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600" w:lineRule="exact"/>
        <w:ind w:firstLine="562"/>
        <w:rPr>
          <w:rFonts w:hint="default" w:ascii="Times New Roman" w:hAnsi="Times New Roman" w:cs="Times New Roman"/>
          <w:kern w:val="0"/>
          <w:szCs w:val="28"/>
          <w:highlight w:val="none"/>
        </w:rPr>
      </w:pPr>
      <w:r>
        <w:rPr>
          <w:rFonts w:hint="default" w:ascii="Times New Roman" w:hAnsi="Times New Roman" w:cs="Times New Roman"/>
          <w:b/>
          <w:kern w:val="0"/>
          <w:szCs w:val="28"/>
          <w:highlight w:val="none"/>
        </w:rPr>
        <w:t>绩效目标明确性：</w:t>
      </w:r>
      <w:r>
        <w:rPr>
          <w:rFonts w:hint="default" w:ascii="Times New Roman" w:hAnsi="Times New Roman" w:cs="Times New Roman"/>
          <w:kern w:val="0"/>
          <w:szCs w:val="28"/>
          <w:highlight w:val="none"/>
        </w:rPr>
        <w:t>按规范要求完成胜得利煤矿、联丰源煤矿关闭工作。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综上，该指标满分6分，得分6分。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5" w:name="_Toc100784603"/>
      <w:r>
        <w:rPr>
          <w:rFonts w:hint="default" w:ascii="Times New Roman" w:hAnsi="Times New Roman" w:eastAsia="仿宋" w:cs="Times New Roman"/>
          <w:sz w:val="32"/>
          <w:szCs w:val="32"/>
          <w:highlight w:val="none"/>
          <w:lang w:bidi="en-US"/>
        </w:rPr>
        <w:t>3.资金投入</w:t>
      </w:r>
      <w:bookmarkEnd w:id="35"/>
    </w:p>
    <w:p>
      <w:pPr>
        <w:autoSpaceDE w:val="0"/>
        <w:spacing w:line="600" w:lineRule="exact"/>
        <w:ind w:firstLine="562"/>
        <w:rPr>
          <w:rFonts w:hint="default" w:ascii="Times New Roman" w:hAnsi="Times New Roman" w:cs="Times New Roman"/>
          <w:bCs/>
          <w:kern w:val="0"/>
          <w:szCs w:val="28"/>
          <w:highlight w:val="none"/>
        </w:rPr>
      </w:pPr>
      <w:r>
        <w:rPr>
          <w:rFonts w:hint="default" w:ascii="Times New Roman" w:hAnsi="Times New Roman" w:cs="Times New Roman"/>
          <w:b/>
          <w:kern w:val="0"/>
          <w:szCs w:val="28"/>
          <w:highlight w:val="none"/>
        </w:rPr>
        <w:t>预算编制科学性：</w:t>
      </w:r>
      <w:r>
        <w:rPr>
          <w:rFonts w:hint="eastAsia" w:ascii="Times New Roman" w:hAnsi="Times New Roman" w:cs="Times New Roman"/>
          <w:kern w:val="0"/>
          <w:szCs w:val="28"/>
          <w:highlight w:val="none"/>
          <w:lang w:val="en-US" w:eastAsia="zh-CN"/>
        </w:rPr>
        <w:t>凡是符合自愿退出关闭的煤矿均可给予300元/吨资金补助，新疆乌鲁木齐胜得利煤业有限公司90万元、新疆联丰源矿业有限公司90万元</w:t>
      </w:r>
      <w:r>
        <w:rPr>
          <w:rFonts w:hint="default" w:ascii="Times New Roman" w:hAnsi="Times New Roman" w:cs="Times New Roman"/>
          <w:kern w:val="0"/>
          <w:szCs w:val="28"/>
          <w:highlight w:val="none"/>
        </w:rPr>
        <w:t>。故预算编制科学性指标得分3分。</w:t>
      </w:r>
    </w:p>
    <w:p>
      <w:pPr>
        <w:spacing w:line="360" w:lineRule="auto"/>
        <w:ind w:firstLine="562"/>
        <w:rPr>
          <w:rFonts w:hint="default" w:ascii="Times New Roman" w:hAnsi="Times New Roman" w:cs="Times New Roman"/>
          <w:highlight w:val="none"/>
        </w:rPr>
      </w:pPr>
      <w:r>
        <w:rPr>
          <w:rFonts w:hint="default" w:ascii="Times New Roman" w:hAnsi="Times New Roman" w:cs="Times New Roman"/>
          <w:b/>
          <w:bCs/>
          <w:highlight w:val="none"/>
        </w:rPr>
        <w:t>资金分配合理性</w:t>
      </w:r>
      <w:r>
        <w:rPr>
          <w:rFonts w:hint="default" w:ascii="Times New Roman" w:hAnsi="Times New Roman" w:cs="Times New Roman"/>
          <w:highlight w:val="none"/>
        </w:rPr>
        <w:t>：</w:t>
      </w:r>
      <w:r>
        <w:rPr>
          <w:rFonts w:hint="eastAsia" w:ascii="Times New Roman" w:hAnsi="Times New Roman" w:cs="Times New Roman"/>
          <w:kern w:val="0"/>
          <w:szCs w:val="28"/>
          <w:highlight w:val="none"/>
          <w:lang w:val="en-US" w:eastAsia="zh-CN"/>
        </w:rPr>
        <w:t>新疆乌鲁木齐胜得利煤业有限公司90万元、新疆联丰源矿业有限公司90万元</w:t>
      </w:r>
      <w:r>
        <w:rPr>
          <w:rFonts w:hint="default" w:ascii="Times New Roman" w:hAnsi="Times New Roman" w:cs="Times New Roman"/>
          <w:b/>
          <w:kern w:val="0"/>
          <w:szCs w:val="28"/>
          <w:highlight w:val="none"/>
        </w:rPr>
        <w:t>。</w:t>
      </w:r>
      <w:r>
        <w:rPr>
          <w:rFonts w:hint="default" w:ascii="Times New Roman" w:hAnsi="Times New Roman" w:cs="Times New Roman"/>
          <w:kern w:val="0"/>
          <w:szCs w:val="28"/>
          <w:highlight w:val="none"/>
        </w:rPr>
        <w:t>故资金分配合理性指标得分3分。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综上，该指标满分6分，得分</w:t>
      </w:r>
      <w:r>
        <w:rPr>
          <w:rFonts w:hint="eastAsia" w:ascii="Times New Roman" w:hAnsi="Times New Roman" w:cs="Times New Roman"/>
          <w:b/>
          <w:kern w:val="0"/>
          <w:szCs w:val="28"/>
          <w:highlight w:val="none"/>
          <w:lang w:val="en-US" w:eastAsia="zh-CN"/>
        </w:rPr>
        <w:t>6</w:t>
      </w:r>
      <w:r>
        <w:rPr>
          <w:rFonts w:hint="default" w:ascii="Times New Roman" w:hAnsi="Times New Roman" w:cs="Times New Roman"/>
          <w:b/>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36" w:name="_Toc67911613"/>
      <w:bookmarkStart w:id="37" w:name="_Toc100784604"/>
      <w:r>
        <w:rPr>
          <w:rFonts w:hint="default" w:ascii="Times New Roman" w:hAnsi="Times New Roman" w:eastAsia="仿宋" w:cs="Times New Roman"/>
          <w:sz w:val="32"/>
          <w:szCs w:val="32"/>
          <w:highlight w:val="none"/>
          <w:lang w:bidi="en-US"/>
        </w:rPr>
        <w:t>（二）项目过程情况</w:t>
      </w:r>
      <w:bookmarkEnd w:id="36"/>
      <w:bookmarkEnd w:id="37"/>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项目过程指标由2个二级指标和5个三级指标构成，权重为20分，实际得分</w:t>
      </w:r>
      <w:r>
        <w:rPr>
          <w:rFonts w:hint="eastAsia" w:ascii="Times New Roman" w:hAnsi="Times New Roman" w:cs="Times New Roman"/>
          <w:szCs w:val="28"/>
          <w:highlight w:val="none"/>
          <w:lang w:val="en-US" w:eastAsia="zh-CN"/>
        </w:rPr>
        <w:t>20</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8" w:name="_Toc100784605"/>
      <w:r>
        <w:rPr>
          <w:rFonts w:hint="default" w:ascii="Times New Roman" w:hAnsi="Times New Roman" w:eastAsia="仿宋" w:cs="Times New Roman"/>
          <w:sz w:val="32"/>
          <w:szCs w:val="32"/>
          <w:highlight w:val="none"/>
          <w:lang w:bidi="en-US"/>
        </w:rPr>
        <w:t>1.资金管理</w:t>
      </w:r>
      <w:bookmarkEnd w:id="38"/>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资金到位率：</w:t>
      </w:r>
      <w:r>
        <w:rPr>
          <w:rFonts w:hint="eastAsia" w:ascii="Times New Roman" w:hAnsi="Times New Roman" w:cs="Times New Roman"/>
          <w:highlight w:val="none"/>
          <w:lang w:val="en-US" w:eastAsia="zh-CN"/>
        </w:rPr>
        <w:t>2022年10月8日财政资金到位180万元，使用上年结转资金</w:t>
      </w:r>
      <w:r>
        <w:rPr>
          <w:rFonts w:hint="default" w:ascii="Times New Roman" w:hAnsi="Times New Roman" w:cs="Times New Roman"/>
          <w:b/>
          <w:kern w:val="0"/>
          <w:szCs w:val="28"/>
          <w:highlight w:val="none"/>
        </w:rPr>
        <w:t>。</w:t>
      </w:r>
      <w:r>
        <w:rPr>
          <w:rFonts w:hint="default" w:ascii="Times New Roman" w:hAnsi="Times New Roman" w:cs="Times New Roman"/>
          <w:kern w:val="0"/>
          <w:szCs w:val="28"/>
          <w:highlight w:val="none"/>
        </w:rPr>
        <w:t>故资金到位率</w:t>
      </w:r>
      <w:r>
        <w:rPr>
          <w:rFonts w:hint="eastAsia" w:ascii="Times New Roman" w:hAnsi="Times New Roman" w:cs="Times New Roman"/>
          <w:kern w:val="0"/>
          <w:szCs w:val="28"/>
          <w:highlight w:val="none"/>
          <w:lang w:val="en-US" w:eastAsia="zh-CN"/>
        </w:rPr>
        <w:t>100%，</w:t>
      </w:r>
      <w:r>
        <w:rPr>
          <w:rFonts w:hint="default" w:ascii="Times New Roman" w:hAnsi="Times New Roman" w:cs="Times New Roman"/>
          <w:kern w:val="0"/>
          <w:szCs w:val="28"/>
          <w:highlight w:val="none"/>
        </w:rPr>
        <w:t>指标得分</w:t>
      </w:r>
      <w:r>
        <w:rPr>
          <w:rFonts w:hint="eastAsia" w:ascii="Times New Roman" w:hAnsi="Times New Roman" w:cs="Times New Roman"/>
          <w:kern w:val="0"/>
          <w:szCs w:val="28"/>
          <w:highlight w:val="none"/>
          <w:lang w:val="en-US" w:eastAsia="zh-CN"/>
        </w:rPr>
        <w:t>5</w:t>
      </w:r>
      <w:r>
        <w:rPr>
          <w:rFonts w:hint="default" w:ascii="Times New Roman" w:hAnsi="Times New Roman" w:cs="Times New Roman"/>
          <w:kern w:val="0"/>
          <w:szCs w:val="28"/>
          <w:highlight w:val="none"/>
        </w:rPr>
        <w:t>分。</w:t>
      </w:r>
    </w:p>
    <w:p>
      <w:pPr>
        <w:spacing w:line="360" w:lineRule="auto"/>
        <w:ind w:firstLine="562"/>
        <w:rPr>
          <w:rFonts w:hint="default" w:ascii="Times New Roman" w:hAnsi="Times New Roman" w:cs="Times New Roman"/>
          <w:b/>
          <w:bCs/>
          <w:szCs w:val="28"/>
          <w:highlight w:val="none"/>
        </w:rPr>
      </w:pPr>
      <w:r>
        <w:rPr>
          <w:rFonts w:hint="default" w:ascii="Times New Roman" w:hAnsi="Times New Roman" w:cs="Times New Roman"/>
          <w:b/>
          <w:bCs/>
          <w:szCs w:val="28"/>
          <w:highlight w:val="none"/>
        </w:rPr>
        <w:t>预算执行率：</w:t>
      </w:r>
      <w:r>
        <w:rPr>
          <w:rFonts w:hint="eastAsia" w:ascii="Times New Roman" w:hAnsi="Times New Roman" w:cs="Times New Roman"/>
          <w:highlight w:val="none"/>
          <w:lang w:val="en-US" w:eastAsia="zh-CN"/>
        </w:rPr>
        <w:t>2022年10月8日支付给</w:t>
      </w:r>
      <w:r>
        <w:rPr>
          <w:rFonts w:hint="eastAsia" w:ascii="Times New Roman" w:hAnsi="Times New Roman" w:cs="Times New Roman"/>
          <w:kern w:val="0"/>
          <w:szCs w:val="28"/>
          <w:highlight w:val="none"/>
          <w:lang w:val="en-US" w:eastAsia="zh-CN"/>
        </w:rPr>
        <w:t>新疆乌鲁木齐胜得利煤业有限公司90万元、</w:t>
      </w:r>
      <w:r>
        <w:rPr>
          <w:rFonts w:hint="eastAsia" w:ascii="Times New Roman" w:hAnsi="Times New Roman" w:cs="Times New Roman"/>
          <w:highlight w:val="none"/>
          <w:lang w:val="en-US" w:eastAsia="zh-CN"/>
        </w:rPr>
        <w:t>2022年10月8日支付给</w:t>
      </w:r>
      <w:r>
        <w:rPr>
          <w:rFonts w:hint="eastAsia" w:ascii="Times New Roman" w:hAnsi="Times New Roman" w:cs="Times New Roman"/>
          <w:kern w:val="0"/>
          <w:szCs w:val="28"/>
          <w:highlight w:val="none"/>
          <w:lang w:val="en-US" w:eastAsia="zh-CN"/>
        </w:rPr>
        <w:t>新疆联丰源矿业有限公司90万元</w:t>
      </w:r>
      <w:r>
        <w:rPr>
          <w:rFonts w:hint="default" w:ascii="Times New Roman" w:hAnsi="Times New Roman" w:cs="Times New Roman"/>
          <w:b/>
          <w:bCs/>
          <w:szCs w:val="28"/>
          <w:highlight w:val="none"/>
        </w:rPr>
        <w:t>。</w:t>
      </w:r>
      <w:r>
        <w:rPr>
          <w:rFonts w:hint="default" w:ascii="Times New Roman" w:hAnsi="Times New Roman" w:cs="Times New Roman"/>
          <w:szCs w:val="28"/>
          <w:highlight w:val="none"/>
        </w:rPr>
        <w:t>故预算执行率得分为</w:t>
      </w:r>
      <w:r>
        <w:rPr>
          <w:rFonts w:hint="eastAsia" w:ascii="Times New Roman" w:hAnsi="Times New Roman" w:cs="Times New Roman"/>
          <w:szCs w:val="28"/>
          <w:highlight w:val="none"/>
          <w:lang w:val="en-US" w:eastAsia="zh-CN"/>
        </w:rPr>
        <w:t>5</w:t>
      </w:r>
      <w:r>
        <w:rPr>
          <w:rFonts w:hint="default" w:ascii="Times New Roman" w:hAnsi="Times New Roman" w:cs="Times New Roman"/>
          <w:szCs w:val="28"/>
          <w:highlight w:val="none"/>
        </w:rPr>
        <w:t>分。</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资金使用合规性：</w:t>
      </w:r>
      <w:r>
        <w:rPr>
          <w:rFonts w:hint="default" w:ascii="Times New Roman" w:hAnsi="Times New Roman" w:cs="Times New Roman"/>
          <w:szCs w:val="28"/>
          <w:highlight w:val="none"/>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综上，该指标满分13分，得分</w:t>
      </w:r>
      <w:r>
        <w:rPr>
          <w:rFonts w:hint="eastAsia" w:ascii="Times New Roman" w:hAnsi="Times New Roman" w:cs="Times New Roman"/>
          <w:b/>
          <w:kern w:val="0"/>
          <w:szCs w:val="28"/>
          <w:highlight w:val="none"/>
          <w:lang w:val="en-US" w:eastAsia="zh-CN"/>
        </w:rPr>
        <w:t>13</w:t>
      </w:r>
      <w:r>
        <w:rPr>
          <w:rFonts w:hint="default" w:ascii="Times New Roman" w:hAnsi="Times New Roman" w:cs="Times New Roman"/>
          <w:b/>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9" w:name="_Toc100784606"/>
      <w:r>
        <w:rPr>
          <w:rFonts w:hint="default" w:ascii="Times New Roman" w:hAnsi="Times New Roman" w:eastAsia="仿宋" w:cs="Times New Roman"/>
          <w:sz w:val="32"/>
          <w:szCs w:val="32"/>
          <w:highlight w:val="none"/>
          <w:lang w:bidi="en-US"/>
        </w:rPr>
        <w:t>2.组织实施</w:t>
      </w:r>
      <w:bookmarkEnd w:id="39"/>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管理制度健全性</w:t>
      </w:r>
      <w:r>
        <w:rPr>
          <w:rFonts w:hint="default" w:ascii="Times New Roman" w:hAnsi="Times New Roman" w:cs="Times New Roman"/>
          <w:szCs w:val="28"/>
          <w:highlight w:val="none"/>
        </w:rPr>
        <w:t>：乌鲁木齐县发展和改革委员会已制定相应的财务和业务管理制度，且制度合法、合规、完整，为项目顺利实施提供重要保障。故管理制度健全性得分为3分。</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制度执行有效性：</w:t>
      </w:r>
      <w:r>
        <w:rPr>
          <w:rFonts w:hint="default" w:ascii="Times New Roman" w:hAnsi="Times New Roman" w:cs="Times New Roman"/>
          <w:szCs w:val="28"/>
          <w:highlight w:val="none"/>
        </w:rPr>
        <w:t>根据现场调研和资料抽查情况，乌鲁木齐县发展和改革委员会严格遵守相关法律法规和相关管理规定，项目调整及支出调整手续完备，整体管理合理有序，项目完成后，及时将会计凭证、固定资产入库单等相关资料分类归档，制度执行有效。故制度执行有效性指标得分4分。</w:t>
      </w:r>
    </w:p>
    <w:p>
      <w:pPr>
        <w:autoSpaceDE w:val="0"/>
        <w:spacing w:line="600" w:lineRule="exact"/>
        <w:ind w:firstLine="562"/>
        <w:rPr>
          <w:rFonts w:hint="default" w:ascii="Times New Roman" w:hAnsi="Times New Roman" w:cs="Times New Roman"/>
          <w:b/>
          <w:kern w:val="0"/>
          <w:szCs w:val="28"/>
          <w:highlight w:val="none"/>
        </w:rPr>
      </w:pPr>
      <w:bookmarkStart w:id="40" w:name="_Hlk67670213"/>
      <w:r>
        <w:rPr>
          <w:rFonts w:hint="default" w:ascii="Times New Roman" w:hAnsi="Times New Roman" w:cs="Times New Roman"/>
          <w:b/>
          <w:kern w:val="0"/>
          <w:szCs w:val="28"/>
          <w:highlight w:val="none"/>
        </w:rPr>
        <w:t>综上，该指标满分7分，得分7分。</w:t>
      </w:r>
    </w:p>
    <w:bookmarkEnd w:id="40"/>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41" w:name="_Toc100784607"/>
      <w:bookmarkStart w:id="42" w:name="_Toc67911614"/>
      <w:r>
        <w:rPr>
          <w:rFonts w:hint="default" w:ascii="Times New Roman" w:hAnsi="Times New Roman" w:eastAsia="仿宋" w:cs="Times New Roman"/>
          <w:sz w:val="32"/>
          <w:szCs w:val="32"/>
          <w:highlight w:val="none"/>
          <w:lang w:bidi="en-US"/>
        </w:rPr>
        <w:t>（三）项目产出情况</w:t>
      </w:r>
      <w:bookmarkEnd w:id="41"/>
      <w:bookmarkEnd w:id="42"/>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项目产出指标由4个二级指标和4个三级指标构成，权重为40分，实际得分</w:t>
      </w:r>
      <w:r>
        <w:rPr>
          <w:rFonts w:hint="eastAsia" w:ascii="Times New Roman" w:hAnsi="Times New Roman" w:cs="Times New Roman"/>
          <w:szCs w:val="28"/>
          <w:highlight w:val="none"/>
          <w:lang w:val="en-US" w:eastAsia="zh-CN"/>
        </w:rPr>
        <w:t>40</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3" w:name="_Toc100784608"/>
      <w:r>
        <w:rPr>
          <w:rFonts w:hint="default" w:ascii="Times New Roman" w:hAnsi="Times New Roman" w:eastAsia="仿宋" w:cs="Times New Roman"/>
          <w:sz w:val="32"/>
          <w:szCs w:val="32"/>
          <w:highlight w:val="none"/>
          <w:lang w:bidi="en-US"/>
        </w:rPr>
        <w:t>1.产出数量</w:t>
      </w:r>
      <w:bookmarkEnd w:id="43"/>
    </w:p>
    <w:p>
      <w:pPr>
        <w:spacing w:line="360" w:lineRule="auto"/>
        <w:ind w:firstLine="560"/>
        <w:rPr>
          <w:rFonts w:hint="eastAsia" w:ascii="Times New Roman" w:hAnsi="Times New Roman" w:eastAsia="仿宋_GB2312" w:cs="Times New Roman"/>
          <w:bCs/>
          <w:szCs w:val="28"/>
          <w:highlight w:val="none"/>
          <w:lang w:eastAsia="zh-CN"/>
        </w:rPr>
      </w:pPr>
      <w:r>
        <w:rPr>
          <w:rFonts w:hint="default" w:ascii="Times New Roman" w:hAnsi="Times New Roman" w:cs="Times New Roman"/>
          <w:bCs/>
          <w:szCs w:val="28"/>
          <w:highlight w:val="none"/>
        </w:rPr>
        <w:t>数量指标“关闭煤矿数量”的目标值是</w:t>
      </w:r>
      <w:r>
        <w:rPr>
          <w:rFonts w:hint="eastAsia" w:ascii="Times New Roman" w:hAnsi="Times New Roman" w:cs="Times New Roman"/>
          <w:bCs/>
          <w:szCs w:val="28"/>
          <w:highlight w:val="none"/>
          <w:lang w:val="en-US" w:eastAsia="zh-CN"/>
        </w:rPr>
        <w:t>2</w:t>
      </w:r>
      <w:r>
        <w:rPr>
          <w:rFonts w:hint="default" w:ascii="Times New Roman" w:hAnsi="Times New Roman" w:cs="Times New Roman"/>
          <w:bCs/>
          <w:szCs w:val="28"/>
          <w:highlight w:val="none"/>
        </w:rPr>
        <w:t>个，2022年度我单位实际完成</w:t>
      </w:r>
      <w:r>
        <w:rPr>
          <w:rFonts w:hint="eastAsia" w:ascii="Times New Roman" w:hAnsi="Times New Roman" w:cs="Times New Roman"/>
          <w:bCs/>
          <w:szCs w:val="28"/>
          <w:highlight w:val="none"/>
          <w:lang w:val="en-US" w:eastAsia="zh-CN"/>
        </w:rPr>
        <w:t>2</w:t>
      </w:r>
      <w:r>
        <w:rPr>
          <w:rFonts w:hint="default" w:ascii="Times New Roman" w:hAnsi="Times New Roman" w:cs="Times New Roman"/>
          <w:bCs/>
          <w:szCs w:val="28"/>
          <w:highlight w:val="none"/>
        </w:rPr>
        <w:t>个</w:t>
      </w:r>
      <w:r>
        <w:rPr>
          <w:rFonts w:hint="eastAsia" w:ascii="Times New Roman" w:hAnsi="Times New Roman" w:cs="Times New Roman"/>
          <w:bCs/>
          <w:szCs w:val="28"/>
          <w:highlight w:val="none"/>
          <w:lang w:eastAsia="zh-CN"/>
        </w:rPr>
        <w:t>；</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实际完成率：</w:t>
      </w:r>
      <w:r>
        <w:rPr>
          <w:rFonts w:hint="eastAsia" w:ascii="Times New Roman" w:hAnsi="Times New Roman" w:cs="Times New Roman"/>
          <w:b/>
          <w:bCs/>
          <w:szCs w:val="28"/>
          <w:highlight w:val="none"/>
          <w:lang w:val="en-US" w:eastAsia="zh-CN"/>
        </w:rPr>
        <w:t>100%</w:t>
      </w:r>
      <w:r>
        <w:rPr>
          <w:rFonts w:hint="default" w:ascii="Times New Roman" w:hAnsi="Times New Roman" w:cs="Times New Roman"/>
          <w:szCs w:val="28"/>
          <w:highlight w:val="none"/>
        </w:rPr>
        <w:t>，故实际完成率得分为</w:t>
      </w:r>
      <w:r>
        <w:rPr>
          <w:rFonts w:hint="eastAsia" w:ascii="Times New Roman" w:hAnsi="Times New Roman" w:cs="Times New Roman"/>
          <w:szCs w:val="28"/>
          <w:highlight w:val="none"/>
          <w:lang w:val="en-US" w:eastAsia="zh-CN"/>
        </w:rPr>
        <w:t>5</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4" w:name="_Toc100784609"/>
      <w:r>
        <w:rPr>
          <w:rFonts w:hint="default" w:ascii="Times New Roman" w:hAnsi="Times New Roman" w:eastAsia="仿宋" w:cs="Times New Roman"/>
          <w:sz w:val="32"/>
          <w:szCs w:val="32"/>
          <w:highlight w:val="none"/>
          <w:lang w:bidi="en-US"/>
        </w:rPr>
        <w:t>2.产出质量</w:t>
      </w:r>
      <w:bookmarkEnd w:id="44"/>
    </w:p>
    <w:p>
      <w:pPr>
        <w:spacing w:line="360" w:lineRule="auto"/>
        <w:ind w:firstLine="560"/>
        <w:rPr>
          <w:rFonts w:hint="default" w:ascii="Times New Roman" w:hAnsi="Times New Roman" w:cs="Times New Roman"/>
          <w:szCs w:val="28"/>
          <w:highlight w:val="none"/>
        </w:rPr>
      </w:pPr>
      <w:r>
        <w:rPr>
          <w:rFonts w:hint="eastAsia" w:ascii="Times New Roman" w:hAnsi="Times New Roman" w:cs="Times New Roman"/>
          <w:b/>
          <w:bCs/>
          <w:szCs w:val="28"/>
          <w:highlight w:val="none"/>
          <w:lang w:val="en-US" w:eastAsia="zh-CN"/>
        </w:rPr>
        <w:t>产出质量</w:t>
      </w:r>
      <w:r>
        <w:rPr>
          <w:rFonts w:hint="default" w:ascii="Times New Roman" w:hAnsi="Times New Roman" w:cs="Times New Roman"/>
          <w:b/>
          <w:bCs/>
          <w:szCs w:val="28"/>
          <w:highlight w:val="none"/>
        </w:rPr>
        <w:t>：</w:t>
      </w:r>
      <w:r>
        <w:rPr>
          <w:rFonts w:hint="eastAsia" w:ascii="Times New Roman" w:hAnsi="Times New Roman" w:cs="Times New Roman"/>
          <w:b w:val="0"/>
          <w:bCs w:val="0"/>
          <w:szCs w:val="28"/>
          <w:highlight w:val="none"/>
          <w:lang w:eastAsia="zh-CN"/>
        </w:rPr>
        <w:t>“</w:t>
      </w:r>
      <w:r>
        <w:rPr>
          <w:rFonts w:hint="default" w:ascii="Times New Roman" w:hAnsi="Times New Roman" w:cs="Times New Roman"/>
          <w:b w:val="0"/>
          <w:bCs w:val="0"/>
          <w:szCs w:val="28"/>
          <w:highlight w:val="none"/>
          <w:lang w:eastAsia="zh-CN"/>
        </w:rPr>
        <w:t>项目按计划完成率</w:t>
      </w:r>
      <w:r>
        <w:rPr>
          <w:rFonts w:hint="eastAsia" w:ascii="Times New Roman" w:hAnsi="Times New Roman" w:cs="Times New Roman"/>
          <w:b w:val="0"/>
          <w:bCs w:val="0"/>
          <w:szCs w:val="28"/>
          <w:highlight w:val="none"/>
          <w:lang w:eastAsia="zh-CN"/>
        </w:rPr>
        <w:t>”</w:t>
      </w:r>
      <w:r>
        <w:rPr>
          <w:rFonts w:hint="default" w:ascii="Times New Roman" w:hAnsi="Times New Roman" w:cs="Times New Roman"/>
          <w:b w:val="0"/>
          <w:bCs w:val="0"/>
          <w:szCs w:val="28"/>
          <w:highlight w:val="none"/>
        </w:rPr>
        <w:t>目</w:t>
      </w:r>
      <w:r>
        <w:rPr>
          <w:rFonts w:hint="default" w:ascii="Times New Roman" w:hAnsi="Times New Roman" w:cs="Times New Roman"/>
          <w:bCs/>
          <w:szCs w:val="28"/>
          <w:highlight w:val="none"/>
        </w:rPr>
        <w:t>标值</w:t>
      </w:r>
      <w:r>
        <w:rPr>
          <w:rFonts w:hint="default" w:ascii="Times New Roman" w:hAnsi="Times New Roman" w:cs="Times New Roman"/>
          <w:b w:val="0"/>
          <w:bCs w:val="0"/>
          <w:szCs w:val="28"/>
          <w:highlight w:val="none"/>
          <w:lang w:eastAsia="zh-CN"/>
        </w:rPr>
        <w:t>是&gt;=95%%</w:t>
      </w:r>
      <w:r>
        <w:rPr>
          <w:rFonts w:hint="default" w:ascii="Times New Roman" w:hAnsi="Times New Roman" w:cs="Times New Roman"/>
          <w:bCs/>
          <w:szCs w:val="28"/>
          <w:highlight w:val="none"/>
        </w:rPr>
        <w:t>，2022年度我单位9</w:t>
      </w:r>
      <w:r>
        <w:rPr>
          <w:rFonts w:hint="eastAsia" w:ascii="Times New Roman" w:hAnsi="Times New Roman" w:cs="Times New Roman"/>
          <w:bCs/>
          <w:szCs w:val="28"/>
          <w:highlight w:val="none"/>
          <w:lang w:val="en-US" w:eastAsia="zh-CN"/>
        </w:rPr>
        <w:t>8</w:t>
      </w:r>
      <w:r>
        <w:rPr>
          <w:rFonts w:hint="default" w:ascii="Times New Roman" w:hAnsi="Times New Roman" w:cs="Times New Roman"/>
          <w:bCs/>
          <w:szCs w:val="28"/>
          <w:highlight w:val="none"/>
        </w:rPr>
        <w:t>%</w:t>
      </w:r>
      <w:r>
        <w:rPr>
          <w:rFonts w:hint="eastAsia" w:ascii="Times New Roman" w:hAnsi="Times New Roman" w:cs="Times New Roman"/>
          <w:bCs/>
          <w:szCs w:val="28"/>
          <w:highlight w:val="none"/>
          <w:lang w:eastAsia="zh-CN"/>
        </w:rPr>
        <w:t>；</w:t>
      </w:r>
      <w:r>
        <w:rPr>
          <w:rFonts w:hint="default" w:ascii="Times New Roman" w:hAnsi="Times New Roman" w:cs="Times New Roman"/>
          <w:szCs w:val="28"/>
          <w:highlight w:val="none"/>
        </w:rPr>
        <w:t>质量达标率得分为</w:t>
      </w:r>
      <w:r>
        <w:rPr>
          <w:rFonts w:hint="eastAsia" w:ascii="Times New Roman" w:hAnsi="Times New Roman" w:cs="Times New Roman"/>
          <w:szCs w:val="28"/>
          <w:highlight w:val="none"/>
          <w:lang w:val="en-US" w:eastAsia="zh-CN"/>
        </w:rPr>
        <w:t>10</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5" w:name="_Toc100784610"/>
      <w:r>
        <w:rPr>
          <w:rFonts w:hint="default" w:ascii="Times New Roman" w:hAnsi="Times New Roman" w:eastAsia="仿宋" w:cs="Times New Roman"/>
          <w:sz w:val="32"/>
          <w:szCs w:val="32"/>
          <w:highlight w:val="none"/>
          <w:lang w:bidi="en-US"/>
        </w:rPr>
        <w:t>3.产出时效</w:t>
      </w:r>
      <w:bookmarkEnd w:id="45"/>
    </w:p>
    <w:p>
      <w:pPr>
        <w:spacing w:line="360" w:lineRule="auto"/>
        <w:ind w:firstLine="560"/>
        <w:rPr>
          <w:rFonts w:hint="default" w:ascii="Times New Roman" w:hAnsi="Times New Roman" w:cs="Times New Roman"/>
          <w:szCs w:val="28"/>
          <w:highlight w:val="none"/>
        </w:rPr>
      </w:pPr>
      <w:r>
        <w:rPr>
          <w:rFonts w:hint="eastAsia" w:ascii="Times New Roman" w:hAnsi="Times New Roman" w:cs="Times New Roman"/>
          <w:b/>
          <w:bCs/>
          <w:szCs w:val="28"/>
          <w:highlight w:val="none"/>
          <w:lang w:val="en-US" w:eastAsia="zh-CN"/>
        </w:rPr>
        <w:t>产出时效</w:t>
      </w:r>
      <w:r>
        <w:rPr>
          <w:rFonts w:hint="default" w:ascii="Times New Roman" w:hAnsi="Times New Roman" w:cs="Times New Roman"/>
          <w:b/>
          <w:bCs/>
          <w:szCs w:val="28"/>
          <w:highlight w:val="none"/>
          <w:lang w:val="en-US" w:eastAsia="zh-CN"/>
        </w:rPr>
        <w:t>：</w:t>
      </w:r>
      <w:r>
        <w:rPr>
          <w:rFonts w:hint="eastAsia" w:ascii="Times New Roman" w:hAnsi="Times New Roman" w:cs="Times New Roman"/>
          <w:b w:val="0"/>
          <w:bCs w:val="0"/>
          <w:szCs w:val="28"/>
          <w:highlight w:val="none"/>
          <w:lang w:eastAsia="zh-CN"/>
        </w:rPr>
        <w:t>“资金支付完成率”</w:t>
      </w:r>
      <w:r>
        <w:rPr>
          <w:rFonts w:hint="default" w:ascii="Times New Roman" w:hAnsi="Times New Roman" w:cs="Times New Roman"/>
          <w:b w:val="0"/>
          <w:bCs w:val="0"/>
          <w:szCs w:val="28"/>
          <w:highlight w:val="none"/>
        </w:rPr>
        <w:t>目</w:t>
      </w:r>
      <w:r>
        <w:rPr>
          <w:rFonts w:hint="default" w:ascii="Times New Roman" w:hAnsi="Times New Roman" w:cs="Times New Roman"/>
          <w:bCs/>
          <w:szCs w:val="28"/>
          <w:highlight w:val="none"/>
        </w:rPr>
        <w:t>标值是</w:t>
      </w:r>
      <w:r>
        <w:rPr>
          <w:rFonts w:hint="default" w:ascii="Arial" w:hAnsi="Arial" w:cs="Arial"/>
          <w:bCs/>
          <w:szCs w:val="28"/>
          <w:highlight w:val="none"/>
        </w:rPr>
        <w:t>≥</w:t>
      </w:r>
      <w:r>
        <w:rPr>
          <w:rFonts w:hint="default" w:ascii="Times New Roman" w:hAnsi="Times New Roman" w:cs="Times New Roman"/>
          <w:bCs/>
          <w:szCs w:val="28"/>
          <w:highlight w:val="none"/>
        </w:rPr>
        <w:t>9</w:t>
      </w:r>
      <w:r>
        <w:rPr>
          <w:rFonts w:hint="eastAsia" w:ascii="Times New Roman" w:hAnsi="Times New Roman" w:cs="Times New Roman"/>
          <w:bCs/>
          <w:szCs w:val="28"/>
          <w:highlight w:val="none"/>
          <w:lang w:val="en-US" w:eastAsia="zh-CN"/>
        </w:rPr>
        <w:t>8</w:t>
      </w:r>
      <w:r>
        <w:rPr>
          <w:rFonts w:hint="default" w:ascii="Times New Roman" w:hAnsi="Times New Roman" w:cs="Times New Roman"/>
          <w:bCs/>
          <w:szCs w:val="28"/>
          <w:highlight w:val="none"/>
        </w:rPr>
        <w:t>%，2022年度我单位9</w:t>
      </w:r>
      <w:r>
        <w:rPr>
          <w:rFonts w:hint="eastAsia" w:ascii="Times New Roman" w:hAnsi="Times New Roman" w:cs="Times New Roman"/>
          <w:bCs/>
          <w:szCs w:val="28"/>
          <w:highlight w:val="none"/>
          <w:lang w:val="en-US" w:eastAsia="zh-CN"/>
        </w:rPr>
        <w:t>8</w:t>
      </w:r>
      <w:r>
        <w:rPr>
          <w:rFonts w:hint="default" w:ascii="Times New Roman" w:hAnsi="Times New Roman" w:cs="Times New Roman"/>
          <w:bCs/>
          <w:szCs w:val="28"/>
          <w:highlight w:val="none"/>
        </w:rPr>
        <w:t>%</w:t>
      </w:r>
      <w:r>
        <w:rPr>
          <w:rFonts w:hint="eastAsia" w:ascii="Times New Roman" w:hAnsi="Times New Roman" w:cs="Times New Roman"/>
          <w:bCs/>
          <w:szCs w:val="28"/>
          <w:highlight w:val="none"/>
          <w:lang w:eastAsia="zh-CN"/>
        </w:rPr>
        <w:t>；</w:t>
      </w:r>
      <w:r>
        <w:rPr>
          <w:rFonts w:hint="default" w:ascii="Times New Roman" w:hAnsi="Times New Roman" w:cs="Times New Roman"/>
          <w:szCs w:val="28"/>
          <w:highlight w:val="none"/>
        </w:rPr>
        <w:t>故完成及时性得分为</w:t>
      </w:r>
      <w:r>
        <w:rPr>
          <w:rFonts w:hint="eastAsia" w:ascii="Times New Roman" w:hAnsi="Times New Roman" w:cs="Times New Roman"/>
          <w:szCs w:val="28"/>
          <w:highlight w:val="none"/>
          <w:lang w:val="en-US" w:eastAsia="zh-CN"/>
        </w:rPr>
        <w:t>10</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6" w:name="_Toc100784611"/>
      <w:r>
        <w:rPr>
          <w:rFonts w:hint="default" w:ascii="Times New Roman" w:hAnsi="Times New Roman" w:eastAsia="仿宋" w:cs="Times New Roman"/>
          <w:sz w:val="32"/>
          <w:szCs w:val="32"/>
          <w:highlight w:val="none"/>
          <w:lang w:bidi="en-US"/>
        </w:rPr>
        <w:t>4.产出成本</w:t>
      </w:r>
      <w:bookmarkEnd w:id="46"/>
    </w:p>
    <w:p>
      <w:pPr>
        <w:spacing w:line="360" w:lineRule="auto"/>
        <w:ind w:firstLine="562"/>
        <w:rPr>
          <w:rFonts w:hint="eastAsia" w:ascii="Times New Roman" w:hAnsi="Times New Roman" w:eastAsia="仿宋_GB2312" w:cs="Times New Roman"/>
          <w:b w:val="0"/>
          <w:bCs w:val="0"/>
          <w:szCs w:val="28"/>
          <w:highlight w:val="none"/>
          <w:lang w:eastAsia="zh-CN"/>
        </w:rPr>
      </w:pPr>
      <w:r>
        <w:rPr>
          <w:rFonts w:hint="default" w:ascii="Times New Roman" w:hAnsi="Times New Roman" w:cs="Times New Roman"/>
          <w:b w:val="0"/>
          <w:bCs w:val="0"/>
          <w:szCs w:val="28"/>
          <w:highlight w:val="none"/>
        </w:rPr>
        <w:t>成本节约率：</w:t>
      </w:r>
      <w:r>
        <w:rPr>
          <w:rFonts w:hint="eastAsia" w:ascii="Times New Roman" w:hAnsi="Times New Roman" w:cs="Times New Roman"/>
          <w:b w:val="0"/>
          <w:bCs w:val="0"/>
          <w:szCs w:val="28"/>
          <w:highlight w:val="none"/>
          <w:lang w:val="en-US" w:eastAsia="zh-CN"/>
        </w:rPr>
        <w:t>100%，</w:t>
      </w:r>
      <w:r>
        <w:rPr>
          <w:rFonts w:hint="eastAsia"/>
          <w:b w:val="0"/>
          <w:bCs w:val="0"/>
          <w:highlight w:val="none"/>
        </w:rPr>
        <w:t>成本未超出，全部花完</w:t>
      </w:r>
      <w:r>
        <w:rPr>
          <w:rFonts w:hint="eastAsia"/>
          <w:b w:val="0"/>
          <w:bCs w:val="0"/>
          <w:highlight w:val="none"/>
          <w:lang w:eastAsia="zh-CN"/>
        </w:rPr>
        <w:t>。</w:t>
      </w:r>
    </w:p>
    <w:p>
      <w:pPr>
        <w:spacing w:line="360" w:lineRule="auto"/>
        <w:ind w:firstLine="562"/>
        <w:rPr>
          <w:rFonts w:hint="default" w:ascii="Times New Roman" w:hAnsi="Times New Roman" w:cs="Times New Roman"/>
          <w:b w:val="0"/>
          <w:bCs w:val="0"/>
          <w:szCs w:val="28"/>
          <w:highlight w:val="none"/>
        </w:rPr>
      </w:pPr>
      <w:r>
        <w:rPr>
          <w:rFonts w:hint="default" w:ascii="Times New Roman" w:hAnsi="Times New Roman" w:cs="Times New Roman"/>
          <w:b w:val="0"/>
          <w:bCs w:val="0"/>
          <w:szCs w:val="28"/>
          <w:highlight w:val="none"/>
        </w:rPr>
        <w:t>项目预算控制率</w:t>
      </w:r>
      <w:r>
        <w:rPr>
          <w:rFonts w:hint="eastAsia" w:ascii="Times New Roman" w:hAnsi="Times New Roman" w:cs="Times New Roman"/>
          <w:b w:val="0"/>
          <w:bCs w:val="0"/>
          <w:szCs w:val="28"/>
          <w:highlight w:val="none"/>
          <w:lang w:val="en-US" w:eastAsia="zh-CN"/>
        </w:rPr>
        <w:t>100%</w:t>
      </w:r>
      <w:r>
        <w:rPr>
          <w:rFonts w:hint="default" w:ascii="Times New Roman" w:hAnsi="Times New Roman" w:cs="Times New Roman"/>
          <w:b w:val="0"/>
          <w:bCs w:val="0"/>
          <w:szCs w:val="28"/>
          <w:highlight w:val="none"/>
        </w:rPr>
        <w:t>，故得分为</w:t>
      </w:r>
      <w:r>
        <w:rPr>
          <w:rFonts w:hint="eastAsia" w:ascii="Times New Roman" w:hAnsi="Times New Roman" w:cs="Times New Roman"/>
          <w:b w:val="0"/>
          <w:bCs w:val="0"/>
          <w:szCs w:val="28"/>
          <w:highlight w:val="none"/>
          <w:lang w:val="en-US" w:eastAsia="zh-CN"/>
        </w:rPr>
        <w:t>10</w:t>
      </w:r>
      <w:r>
        <w:rPr>
          <w:rFonts w:hint="default" w:ascii="Times New Roman" w:hAnsi="Times New Roman" w:cs="Times New Roman"/>
          <w:b w:val="0"/>
          <w:bCs w:val="0"/>
          <w:szCs w:val="28"/>
          <w:highlight w:val="none"/>
        </w:rPr>
        <w:t>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综上，该指标满分40分，得分</w:t>
      </w:r>
      <w:r>
        <w:rPr>
          <w:rFonts w:hint="eastAsia" w:ascii="Times New Roman" w:hAnsi="Times New Roman" w:cs="Times New Roman"/>
          <w:szCs w:val="28"/>
          <w:highlight w:val="none"/>
          <w:lang w:val="en-US" w:eastAsia="zh-CN"/>
        </w:rPr>
        <w:t>40</w:t>
      </w:r>
      <w:r>
        <w:rPr>
          <w:rFonts w:hint="default" w:ascii="Times New Roman" w:hAnsi="Times New Roman" w:cs="Times New Roman"/>
          <w:b/>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47" w:name="_Toc67911615"/>
      <w:bookmarkStart w:id="48" w:name="_Toc100784612"/>
      <w:r>
        <w:rPr>
          <w:rFonts w:hint="default" w:ascii="Times New Roman" w:hAnsi="Times New Roman" w:eastAsia="仿宋" w:cs="Times New Roman"/>
          <w:sz w:val="32"/>
          <w:szCs w:val="32"/>
          <w:highlight w:val="none"/>
          <w:lang w:bidi="en-US"/>
        </w:rPr>
        <w:t>（四）项目效益情况</w:t>
      </w:r>
      <w:bookmarkEnd w:id="47"/>
      <w:bookmarkEnd w:id="48"/>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项目效益指标由1个二级指标和</w:t>
      </w:r>
      <w:r>
        <w:rPr>
          <w:rFonts w:hint="eastAsia" w:ascii="Times New Roman" w:hAnsi="Times New Roman" w:cs="Times New Roman"/>
          <w:szCs w:val="28"/>
          <w:highlight w:val="none"/>
          <w:lang w:val="en-US" w:eastAsia="zh-CN"/>
        </w:rPr>
        <w:t>4</w:t>
      </w:r>
      <w:r>
        <w:rPr>
          <w:rFonts w:hint="default" w:ascii="Times New Roman" w:hAnsi="Times New Roman" w:cs="Times New Roman"/>
          <w:szCs w:val="28"/>
          <w:highlight w:val="none"/>
        </w:rPr>
        <w:t>个三级指标构成，权重为20分，实际得分</w:t>
      </w:r>
      <w:r>
        <w:rPr>
          <w:rFonts w:hint="eastAsia" w:ascii="Times New Roman" w:hAnsi="Times New Roman" w:cs="Times New Roman"/>
          <w:szCs w:val="28"/>
          <w:highlight w:val="none"/>
          <w:lang w:val="en-US" w:eastAsia="zh-CN"/>
        </w:rPr>
        <w:t>20</w:t>
      </w:r>
      <w:r>
        <w:rPr>
          <w:rFonts w:hint="default" w:ascii="Times New Roman" w:hAnsi="Times New Roman" w:cs="Times New Roman"/>
          <w:szCs w:val="28"/>
          <w:highlight w:val="none"/>
        </w:rPr>
        <w:t xml:space="preserve">分。 </w:t>
      </w:r>
    </w:p>
    <w:p>
      <w:pPr>
        <w:autoSpaceDE w:val="0"/>
        <w:spacing w:line="600" w:lineRule="exact"/>
        <w:ind w:firstLine="562"/>
        <w:rPr>
          <w:rFonts w:hint="default" w:ascii="Times New Roman" w:hAnsi="Times New Roman" w:cs="Times New Roman"/>
          <w:b/>
          <w:kern w:val="0"/>
          <w:sz w:val="32"/>
          <w:szCs w:val="32"/>
          <w:highlight w:val="none"/>
        </w:rPr>
      </w:pPr>
      <w:bookmarkStart w:id="49" w:name="_Toc100784613"/>
      <w:r>
        <w:rPr>
          <w:rFonts w:hint="default" w:ascii="Times New Roman" w:hAnsi="Times New Roman" w:cs="Times New Roman"/>
          <w:b/>
          <w:kern w:val="0"/>
          <w:sz w:val="32"/>
          <w:szCs w:val="32"/>
          <w:highlight w:val="none"/>
        </w:rPr>
        <w:t>1.项目效益</w:t>
      </w:r>
      <w:bookmarkEnd w:id="49"/>
    </w:p>
    <w:p>
      <w:pPr>
        <w:autoSpaceDE w:val="0"/>
        <w:spacing w:line="600" w:lineRule="exact"/>
        <w:ind w:firstLine="562"/>
        <w:rPr>
          <w:rFonts w:hint="default" w:ascii="Times New Roman" w:hAnsi="Times New Roman" w:cs="Times New Roman"/>
          <w:b/>
          <w:kern w:val="0"/>
          <w:sz w:val="32"/>
          <w:szCs w:val="32"/>
          <w:highlight w:val="none"/>
        </w:rPr>
      </w:pPr>
      <w:r>
        <w:rPr>
          <w:rFonts w:hint="default" w:ascii="Times New Roman" w:hAnsi="Times New Roman" w:cs="Times New Roman"/>
          <w:b/>
          <w:kern w:val="0"/>
          <w:sz w:val="32"/>
          <w:szCs w:val="32"/>
          <w:highlight w:val="none"/>
        </w:rPr>
        <w:t>（1）实施效益</w:t>
      </w:r>
    </w:p>
    <w:p>
      <w:pPr>
        <w:spacing w:line="360" w:lineRule="auto"/>
        <w:ind w:firstLine="562"/>
        <w:rPr>
          <w:rFonts w:hint="default" w:ascii="Times New Roman" w:hAnsi="Times New Roman" w:cs="Times New Roman"/>
          <w:b/>
          <w:bCs/>
          <w:szCs w:val="28"/>
          <w:highlight w:val="none"/>
        </w:rPr>
      </w:pPr>
      <w:r>
        <w:rPr>
          <w:rFonts w:hint="default" w:ascii="Times New Roman" w:hAnsi="Times New Roman" w:cs="Times New Roman"/>
          <w:b/>
          <w:bCs/>
          <w:szCs w:val="28"/>
          <w:highlight w:val="none"/>
        </w:rPr>
        <w:t>经济效益指标：</w:t>
      </w:r>
      <w:r>
        <w:rPr>
          <w:rFonts w:hint="default" w:ascii="Times New Roman" w:hAnsi="Times New Roman" w:cs="Times New Roman"/>
          <w:szCs w:val="28"/>
          <w:highlight w:val="none"/>
        </w:rPr>
        <w:t xml:space="preserve">不适用。 </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社会效益指标</w:t>
      </w:r>
      <w:r>
        <w:rPr>
          <w:rFonts w:hint="default" w:ascii="Times New Roman" w:hAnsi="Times New Roman" w:cs="Times New Roman"/>
          <w:szCs w:val="28"/>
          <w:highlight w:val="none"/>
        </w:rPr>
        <w:t>：不适用。</w:t>
      </w:r>
    </w:p>
    <w:p>
      <w:pPr>
        <w:spacing w:line="360" w:lineRule="auto"/>
        <w:ind w:firstLine="562"/>
        <w:rPr>
          <w:rFonts w:hint="eastAsia" w:ascii="Times New Roman" w:hAnsi="Times New Roman" w:eastAsia="仿宋_GB2312" w:cs="Times New Roman"/>
          <w:szCs w:val="28"/>
          <w:highlight w:val="none"/>
          <w:lang w:val="en-US" w:eastAsia="zh-CN"/>
        </w:rPr>
      </w:pPr>
      <w:r>
        <w:rPr>
          <w:rFonts w:hint="default" w:ascii="Times New Roman" w:hAnsi="Times New Roman" w:cs="Times New Roman"/>
          <w:b/>
          <w:bCs/>
          <w:szCs w:val="28"/>
          <w:highlight w:val="none"/>
        </w:rPr>
        <w:t>生态效益指标</w:t>
      </w:r>
      <w:r>
        <w:rPr>
          <w:rFonts w:hint="default" w:ascii="Times New Roman" w:hAnsi="Times New Roman" w:cs="Times New Roman"/>
          <w:szCs w:val="28"/>
          <w:highlight w:val="none"/>
        </w:rPr>
        <w:t>：恢复区域生态功能，减少水土流失，重塑人与自然和谐相处</w:t>
      </w:r>
      <w:r>
        <w:rPr>
          <w:rFonts w:hint="eastAsia" w:ascii="Times New Roman" w:hAnsi="Times New Roman" w:cs="Times New Roman"/>
          <w:szCs w:val="28"/>
          <w:highlight w:val="none"/>
          <w:lang w:val="en-US" w:eastAsia="zh-CN"/>
        </w:rPr>
        <w:t>.</w:t>
      </w:r>
    </w:p>
    <w:p>
      <w:pPr>
        <w:spacing w:line="360" w:lineRule="auto"/>
        <w:ind w:firstLine="562"/>
        <w:rPr>
          <w:rFonts w:hint="eastAsia" w:ascii="Times New Roman" w:hAnsi="Times New Roman" w:eastAsia="仿宋_GB2312" w:cs="Times New Roman"/>
          <w:szCs w:val="28"/>
          <w:highlight w:val="none"/>
          <w:lang w:val="en-US" w:eastAsia="zh-CN"/>
        </w:rPr>
      </w:pPr>
      <w:r>
        <w:rPr>
          <w:rFonts w:hint="default" w:ascii="Times New Roman" w:hAnsi="Times New Roman" w:cs="Times New Roman"/>
          <w:b/>
          <w:bCs/>
          <w:szCs w:val="28"/>
          <w:highlight w:val="none"/>
        </w:rPr>
        <w:t>可持续影响指标：</w:t>
      </w:r>
      <w:r>
        <w:rPr>
          <w:rFonts w:hint="default" w:ascii="Times New Roman" w:hAnsi="Times New Roman" w:cs="Times New Roman"/>
          <w:szCs w:val="28"/>
          <w:highlight w:val="none"/>
        </w:rPr>
        <w:t>评价指标“完善地区环境，促进旅游发展”，指标值：有效，实际完成值：达成年度指标。完全达到预期效果</w:t>
      </w:r>
      <w:r>
        <w:rPr>
          <w:rFonts w:hint="eastAsia" w:ascii="Times New Roman" w:hAnsi="Times New Roman" w:cs="Times New Roman"/>
          <w:szCs w:val="28"/>
          <w:highlight w:val="none"/>
          <w:lang w:val="en-US" w:eastAsia="zh-CN"/>
        </w:rPr>
        <w:t>.</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综上，该指标满分1</w:t>
      </w:r>
      <w:r>
        <w:rPr>
          <w:rFonts w:hint="eastAsia" w:ascii="Times New Roman" w:hAnsi="Times New Roman" w:cs="Times New Roman"/>
          <w:b/>
          <w:kern w:val="0"/>
          <w:szCs w:val="28"/>
          <w:highlight w:val="none"/>
          <w:lang w:val="en-US" w:eastAsia="zh-CN"/>
        </w:rPr>
        <w:t>5</w:t>
      </w:r>
      <w:r>
        <w:rPr>
          <w:rFonts w:hint="default" w:ascii="Times New Roman" w:hAnsi="Times New Roman" w:cs="Times New Roman"/>
          <w:b/>
          <w:kern w:val="0"/>
          <w:szCs w:val="28"/>
          <w:highlight w:val="none"/>
        </w:rPr>
        <w:t>分，得分</w:t>
      </w:r>
      <w:r>
        <w:rPr>
          <w:rFonts w:hint="eastAsia" w:ascii="Times New Roman" w:hAnsi="Times New Roman" w:cs="Times New Roman"/>
          <w:b/>
          <w:kern w:val="0"/>
          <w:szCs w:val="28"/>
          <w:highlight w:val="none"/>
          <w:lang w:val="en-US" w:eastAsia="zh-CN"/>
        </w:rPr>
        <w:t>15</w:t>
      </w:r>
      <w:r>
        <w:rPr>
          <w:rFonts w:hint="default" w:ascii="Times New Roman" w:hAnsi="Times New Roman" w:cs="Times New Roman"/>
          <w:b/>
          <w:kern w:val="0"/>
          <w:szCs w:val="28"/>
          <w:highlight w:val="none"/>
        </w:rPr>
        <w:t>分。</w:t>
      </w:r>
    </w:p>
    <w:p>
      <w:pPr>
        <w:autoSpaceDE w:val="0"/>
        <w:spacing w:line="600" w:lineRule="exact"/>
        <w:ind w:firstLine="562"/>
        <w:rPr>
          <w:rFonts w:hint="default" w:ascii="Times New Roman" w:hAnsi="Times New Roman" w:cs="Times New Roman"/>
          <w:b/>
          <w:kern w:val="0"/>
          <w:sz w:val="32"/>
          <w:szCs w:val="32"/>
          <w:highlight w:val="none"/>
        </w:rPr>
      </w:pPr>
      <w:bookmarkStart w:id="50" w:name="_Toc100784614"/>
      <w:r>
        <w:rPr>
          <w:rFonts w:hint="default" w:ascii="Times New Roman" w:hAnsi="Times New Roman" w:cs="Times New Roman"/>
          <w:b/>
          <w:kern w:val="0"/>
          <w:sz w:val="32"/>
          <w:szCs w:val="32"/>
          <w:highlight w:val="none"/>
        </w:rPr>
        <w:t>2. 满意度指标完成情况分析</w:t>
      </w:r>
      <w:bookmarkEnd w:id="50"/>
    </w:p>
    <w:p>
      <w:pPr>
        <w:autoSpaceDE w:val="0"/>
        <w:spacing w:line="600" w:lineRule="exact"/>
        <w:ind w:firstLine="562"/>
        <w:rPr>
          <w:rFonts w:hint="default" w:ascii="Times New Roman" w:hAnsi="Times New Roman" w:cs="Times New Roman"/>
          <w:b/>
          <w:kern w:val="0"/>
          <w:sz w:val="32"/>
          <w:szCs w:val="32"/>
          <w:highlight w:val="none"/>
        </w:rPr>
      </w:pPr>
      <w:r>
        <w:rPr>
          <w:rFonts w:hint="default" w:ascii="Times New Roman" w:hAnsi="Times New Roman" w:cs="Times New Roman"/>
          <w:b/>
          <w:kern w:val="0"/>
          <w:sz w:val="32"/>
          <w:szCs w:val="32"/>
          <w:highlight w:val="none"/>
        </w:rPr>
        <w:t>（1）满意度指标</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群众满意度：</w:t>
      </w:r>
      <w:r>
        <w:rPr>
          <w:rFonts w:hint="default" w:ascii="Times New Roman" w:hAnsi="Times New Roman" w:cs="Times New Roman"/>
          <w:szCs w:val="28"/>
          <w:highlight w:val="none"/>
        </w:rPr>
        <w:t>评价指标“煤矿企业满意度”，指标值：</w:t>
      </w:r>
      <w:r>
        <w:rPr>
          <w:rFonts w:hint="default" w:ascii="Times New Roman" w:hAnsi="Times New Roman" w:eastAsia="华文宋体" w:cs="Times New Roman"/>
          <w:szCs w:val="28"/>
          <w:highlight w:val="none"/>
        </w:rPr>
        <w:t>≥</w:t>
      </w:r>
      <w:r>
        <w:rPr>
          <w:rFonts w:hint="eastAsia" w:ascii="Times New Roman" w:hAnsi="Times New Roman" w:eastAsia="华文宋体" w:cs="Times New Roman"/>
          <w:szCs w:val="28"/>
          <w:highlight w:val="none"/>
          <w:lang w:val="en-US" w:eastAsia="zh-CN"/>
        </w:rPr>
        <w:t>90</w:t>
      </w:r>
      <w:r>
        <w:rPr>
          <w:rFonts w:hint="default" w:ascii="Times New Roman" w:hAnsi="Times New Roman" w:cs="Times New Roman"/>
          <w:szCs w:val="28"/>
          <w:highlight w:val="none"/>
        </w:rPr>
        <w:t>%，实际完成值：</w:t>
      </w:r>
      <w:r>
        <w:rPr>
          <w:rFonts w:hint="eastAsia" w:ascii="Times New Roman" w:hAnsi="Times New Roman" w:eastAsia="华文宋体" w:cs="Times New Roman"/>
          <w:szCs w:val="28"/>
          <w:highlight w:val="none"/>
          <w:lang w:val="en-US" w:eastAsia="zh-CN"/>
        </w:rPr>
        <w:t>90</w:t>
      </w:r>
      <w:r>
        <w:rPr>
          <w:rFonts w:hint="default" w:ascii="Times New Roman" w:hAnsi="Times New Roman" w:cs="Times New Roman"/>
          <w:szCs w:val="28"/>
          <w:highlight w:val="none"/>
        </w:rPr>
        <w:t>%。通过设置问卷调查的方式</w:t>
      </w:r>
      <w:r>
        <w:rPr>
          <w:rFonts w:hint="eastAsia" w:ascii="Times New Roman" w:hAnsi="Times New Roman" w:cs="Times New Roman"/>
          <w:szCs w:val="28"/>
          <w:highlight w:val="none"/>
          <w:lang w:val="en-US" w:eastAsia="zh-CN"/>
        </w:rPr>
        <w:t>对</w:t>
      </w:r>
      <w:r>
        <w:rPr>
          <w:rFonts w:hint="eastAsia" w:ascii="Times New Roman" w:hAnsi="Times New Roman" w:cs="Times New Roman"/>
          <w:kern w:val="0"/>
          <w:szCs w:val="28"/>
          <w:highlight w:val="none"/>
          <w:lang w:val="en-US" w:eastAsia="zh-CN"/>
        </w:rPr>
        <w:t>新疆乌鲁木齐胜得利煤业有限公司新疆联丰源矿业有限公司</w:t>
      </w:r>
      <w:r>
        <w:rPr>
          <w:rFonts w:hint="default" w:ascii="Times New Roman" w:hAnsi="Times New Roman" w:cs="Times New Roman"/>
          <w:szCs w:val="28"/>
          <w:highlight w:val="none"/>
        </w:rPr>
        <w:t>进行考评评价，</w:t>
      </w:r>
      <w:r>
        <w:rPr>
          <w:rFonts w:hint="eastAsia" w:ascii="Times New Roman" w:hAnsi="Times New Roman" w:cs="Times New Roman"/>
          <w:szCs w:val="28"/>
          <w:highlight w:val="none"/>
          <w:lang w:val="en-US" w:eastAsia="zh-CN"/>
        </w:rPr>
        <w:t>满意度90</w:t>
      </w:r>
      <w:r>
        <w:rPr>
          <w:rFonts w:hint="default" w:ascii="Times New Roman" w:hAnsi="Times New Roman" w:cs="Times New Roman"/>
          <w:szCs w:val="28"/>
          <w:highlight w:val="none"/>
        </w:rPr>
        <w:t>%。故满意度指标得分为</w:t>
      </w:r>
      <w:r>
        <w:rPr>
          <w:rFonts w:hint="eastAsia" w:ascii="Times New Roman" w:hAnsi="Times New Roman" w:cs="Times New Roman"/>
          <w:szCs w:val="28"/>
          <w:highlight w:val="none"/>
          <w:lang w:val="en-US" w:eastAsia="zh-CN"/>
        </w:rPr>
        <w:t>5</w:t>
      </w:r>
      <w:r>
        <w:rPr>
          <w:rFonts w:hint="default" w:ascii="Times New Roman" w:hAnsi="Times New Roman" w:cs="Times New Roman"/>
          <w:szCs w:val="28"/>
          <w:highlight w:val="none"/>
        </w:rPr>
        <w:t>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w:t>
      </w:r>
      <w:r>
        <w:rPr>
          <w:rFonts w:hint="eastAsia" w:ascii="Times New Roman" w:hAnsi="Times New Roman" w:cs="Times New Roman"/>
          <w:b/>
          <w:kern w:val="0"/>
          <w:szCs w:val="28"/>
          <w:highlight w:val="none"/>
          <w:lang w:val="en-US" w:eastAsia="zh-CN"/>
        </w:rPr>
        <w:t>5</w:t>
      </w:r>
      <w:r>
        <w:rPr>
          <w:rFonts w:hint="default" w:ascii="Times New Roman" w:hAnsi="Times New Roman" w:cs="Times New Roman"/>
          <w:b/>
          <w:kern w:val="0"/>
          <w:szCs w:val="28"/>
          <w:highlight w:val="none"/>
        </w:rPr>
        <w:t>分，得分</w:t>
      </w:r>
      <w:r>
        <w:rPr>
          <w:rFonts w:hint="eastAsia" w:ascii="Times New Roman" w:hAnsi="Times New Roman" w:cs="Times New Roman"/>
          <w:b/>
          <w:kern w:val="0"/>
          <w:szCs w:val="28"/>
          <w:highlight w:val="none"/>
          <w:lang w:val="en-US" w:eastAsia="zh-CN"/>
        </w:rPr>
        <w:t>5</w:t>
      </w:r>
      <w:r>
        <w:rPr>
          <w:rFonts w:hint="default" w:ascii="Times New Roman" w:hAnsi="Times New Roman" w:cs="Times New Roman"/>
          <w:b/>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51" w:name="_Toc67911616"/>
      <w:bookmarkStart w:id="52" w:name="_Toc100784615"/>
      <w:r>
        <w:rPr>
          <w:rFonts w:hint="default" w:ascii="Times New Roman" w:hAnsi="Times New Roman" w:eastAsia="仿宋" w:cs="Times New Roman"/>
          <w:sz w:val="36"/>
          <w:szCs w:val="36"/>
          <w:highlight w:val="none"/>
          <w:lang w:bidi="en-US"/>
        </w:rPr>
        <w:t>五、预算执行进度与绩效指标偏差</w:t>
      </w:r>
      <w:bookmarkEnd w:id="51"/>
      <w:bookmarkEnd w:id="52"/>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本项目预算执行率为</w:t>
      </w:r>
      <w:r>
        <w:rPr>
          <w:rFonts w:hint="eastAsia" w:ascii="Times New Roman" w:hAnsi="Times New Roman" w:cs="Times New Roman"/>
          <w:szCs w:val="28"/>
          <w:highlight w:val="none"/>
          <w:lang w:val="en-US" w:eastAsia="zh-CN"/>
        </w:rPr>
        <w:t>100</w:t>
      </w:r>
      <w:r>
        <w:rPr>
          <w:rFonts w:hint="default" w:ascii="Times New Roman" w:hAnsi="Times New Roman" w:cs="Times New Roman"/>
          <w:szCs w:val="28"/>
          <w:highlight w:val="none"/>
        </w:rPr>
        <w:t>%，指标总体完成率为</w:t>
      </w:r>
      <w:r>
        <w:rPr>
          <w:rFonts w:hint="eastAsia" w:ascii="Times New Roman" w:hAnsi="Times New Roman" w:cs="Times New Roman"/>
          <w:szCs w:val="28"/>
          <w:highlight w:val="none"/>
          <w:lang w:val="en-US" w:eastAsia="zh-CN"/>
        </w:rPr>
        <w:t>100</w:t>
      </w:r>
      <w:r>
        <w:rPr>
          <w:rFonts w:hint="default" w:ascii="Times New Roman" w:hAnsi="Times New Roman" w:cs="Times New Roman"/>
          <w:szCs w:val="28"/>
          <w:highlight w:val="none"/>
        </w:rPr>
        <w:t>%，二者之间的偏差值为</w:t>
      </w:r>
      <w:r>
        <w:rPr>
          <w:rFonts w:hint="eastAsia" w:ascii="Times New Roman" w:hAnsi="Times New Roman" w:cs="Times New Roman"/>
          <w:szCs w:val="28"/>
          <w:highlight w:val="none"/>
          <w:lang w:val="en-US" w:eastAsia="zh-CN"/>
        </w:rPr>
        <w:t>0</w:t>
      </w:r>
      <w:r>
        <w:rPr>
          <w:rFonts w:hint="default" w:ascii="Times New Roman" w:hAnsi="Times New Roman" w:cs="Times New Roman"/>
          <w:szCs w:val="28"/>
          <w:highlight w:val="none"/>
        </w:rPr>
        <w:t>%，小于20%。因此，本项目较好地完成了年度总体目标，财政资金使用效益和效率较高。</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53" w:name="_Toc67911617"/>
      <w:bookmarkStart w:id="54" w:name="_Toc100784616"/>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六、主要经验及做法、存在的问题及原因分析</w:t>
      </w:r>
      <w:bookmarkEnd w:id="53"/>
      <w:bookmarkEnd w:id="5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55" w:name="_Toc67911618"/>
      <w:bookmarkStart w:id="56" w:name="_Toc100784617"/>
      <w:r>
        <w:rPr>
          <w:rFonts w:hint="default" w:ascii="Times New Roman" w:hAnsi="Times New Roman" w:eastAsia="仿宋" w:cs="Times New Roman"/>
          <w:sz w:val="32"/>
          <w:szCs w:val="32"/>
          <w:highlight w:val="none"/>
          <w:lang w:bidi="en-US"/>
        </w:rPr>
        <w:t>（一）主要经验及做法</w:t>
      </w:r>
      <w:bookmarkEnd w:id="55"/>
      <w:bookmarkEnd w:id="56"/>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560" w:firstLineChars="200"/>
        <w:jc w:val="left"/>
        <w:textAlignment w:val="auto"/>
        <w:rPr>
          <w:rFonts w:hint="default" w:ascii="Times New Roman" w:hAnsi="Times New Roman" w:eastAsia="仿宋_GB2312" w:cs="Times New Roman"/>
          <w:b w:val="0"/>
          <w:bCs w:val="0"/>
          <w:kern w:val="2"/>
          <w:sz w:val="28"/>
          <w:szCs w:val="28"/>
          <w:highlight w:val="none"/>
          <w:lang w:val="en-US" w:eastAsia="zh-CN" w:bidi="ar-SA"/>
        </w:rPr>
      </w:pPr>
      <w:bookmarkStart w:id="57" w:name="_Toc14802"/>
      <w:bookmarkStart w:id="58" w:name="_Toc100784618"/>
      <w:r>
        <w:rPr>
          <w:rFonts w:hint="default" w:ascii="Times New Roman" w:hAnsi="Times New Roman" w:eastAsia="仿宋_GB2312" w:cs="Times New Roman"/>
          <w:b w:val="0"/>
          <w:bCs w:val="0"/>
          <w:kern w:val="2"/>
          <w:sz w:val="28"/>
          <w:szCs w:val="28"/>
          <w:highlight w:val="none"/>
          <w:lang w:val="en-US" w:eastAsia="zh-CN" w:bidi="ar-SA"/>
        </w:rPr>
        <w:t>科学合理编制预算</w:t>
      </w:r>
      <w:bookmarkEnd w:id="57"/>
      <w:r>
        <w:rPr>
          <w:rFonts w:hint="eastAsia" w:ascii="Times New Roman" w:hAnsi="Times New Roman" w:eastAsia="仿宋_GB2312" w:cs="Times New Roman"/>
          <w:b w:val="0"/>
          <w:bCs w:val="0"/>
          <w:kern w:val="2"/>
          <w:sz w:val="28"/>
          <w:szCs w:val="28"/>
          <w:highlight w:val="none"/>
          <w:lang w:val="en-US" w:eastAsia="zh-CN" w:bidi="ar-SA"/>
        </w:rPr>
        <w:t>。</w:t>
      </w:r>
      <w:r>
        <w:rPr>
          <w:rFonts w:hint="default" w:ascii="Times New Roman" w:hAnsi="Times New Roman" w:eastAsia="仿宋_GB2312" w:cs="Times New Roman"/>
          <w:b w:val="0"/>
          <w:bCs w:val="0"/>
          <w:kern w:val="2"/>
          <w:sz w:val="28"/>
          <w:szCs w:val="28"/>
          <w:highlight w:val="none"/>
          <w:lang w:val="en-US" w:eastAsia="zh-CN" w:bidi="ar-SA"/>
        </w:rPr>
        <w:t>每一项工作的开展都离不开经费的充足保障，但是经费预算要想合情合理，必须要对项目实施的目的意义搞清搞准，对项目要掌握清楚，要有预见性，防止出现实际支出与预算相差过大的问题。</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r>
        <w:rPr>
          <w:rFonts w:hint="default" w:ascii="Times New Roman" w:hAnsi="Times New Roman" w:eastAsia="仿宋" w:cs="Times New Roman"/>
          <w:sz w:val="32"/>
          <w:szCs w:val="32"/>
          <w:highlight w:val="none"/>
          <w:lang w:bidi="en-US"/>
        </w:rPr>
        <w:t>（二）存在的问题及原因分析</w:t>
      </w:r>
      <w:bookmarkEnd w:id="58"/>
    </w:p>
    <w:p>
      <w:pPr>
        <w:spacing w:line="360" w:lineRule="auto"/>
        <w:ind w:firstLine="560"/>
        <w:rPr>
          <w:rFonts w:hint="default" w:ascii="Times New Roman" w:hAnsi="Times New Roman" w:cs="Times New Roman"/>
          <w:szCs w:val="28"/>
          <w:highlight w:val="none"/>
          <w:lang w:val="en-US" w:eastAsia="zh-CN"/>
        </w:rPr>
      </w:pPr>
      <w:r>
        <w:rPr>
          <w:rFonts w:hint="eastAsia" w:ascii="Times New Roman" w:hAnsi="Times New Roman" w:cs="Times New Roman"/>
          <w:szCs w:val="28"/>
          <w:highlight w:val="none"/>
          <w:lang w:val="en-US" w:eastAsia="zh-CN"/>
        </w:rPr>
        <w:t>预算绩效管理工作机制不够完善，绩效管理工作开展缺乏强有力的制度保障。</w:t>
      </w:r>
      <w:r>
        <w:rPr>
          <w:rFonts w:hint="default" w:ascii="Times New Roman" w:hAnsi="Times New Roman" w:cs="Times New Roman"/>
          <w:szCs w:val="28"/>
          <w:highlight w:val="none"/>
          <w:lang w:val="en-US" w:eastAsia="zh-CN"/>
        </w:rPr>
        <w:t>目前部分单位领导对绩效管理工作及其意义缺乏正确的认识，认为绩效管理工作只是财务部门的事，没有引起足够的重视，导致部分单位绩效申报工作流于形式，绩效申报与单位实际状况脱离。单位绩效管理工作多</w:t>
      </w:r>
      <w:r>
        <w:rPr>
          <w:rFonts w:hint="eastAsia" w:ascii="Times New Roman" w:hAnsi="Times New Roman" w:cs="Times New Roman"/>
          <w:szCs w:val="28"/>
          <w:highlight w:val="none"/>
          <w:lang w:val="en-US" w:eastAsia="zh-CN"/>
        </w:rPr>
        <w:t>由</w:t>
      </w:r>
      <w:r>
        <w:rPr>
          <w:rFonts w:hint="default" w:ascii="Times New Roman" w:hAnsi="Times New Roman" w:cs="Times New Roman"/>
          <w:szCs w:val="28"/>
          <w:highlight w:val="none"/>
          <w:lang w:val="en-US" w:eastAsia="zh-CN"/>
        </w:rPr>
        <w:t>财务人员负责，绩效目标的执行情况，只在上报时点时才与项目执行部门（业务部门）进行沟通，且职责界限模糊不清，缺失有效的绩效管理工作机制和制度体系</w:t>
      </w:r>
      <w:r>
        <w:rPr>
          <w:rFonts w:hint="eastAsia" w:ascii="Times New Roman" w:hAnsi="Times New Roman" w:cs="Times New Roman"/>
          <w:szCs w:val="28"/>
          <w:highlight w:val="none"/>
          <w:lang w:val="en-US" w:eastAsia="zh-CN"/>
        </w:rPr>
        <w:t>。</w:t>
      </w:r>
    </w:p>
    <w:p>
      <w:pPr>
        <w:spacing w:line="360" w:lineRule="auto"/>
        <w:ind w:firstLine="560"/>
        <w:rPr>
          <w:rFonts w:hint="default" w:ascii="Times New Roman" w:hAnsi="Times New Roman" w:cs="Times New Roman"/>
          <w:szCs w:val="28"/>
          <w:highlight w:val="none"/>
          <w:lang w:val="en-US" w:eastAsia="zh-CN"/>
        </w:rPr>
      </w:pPr>
      <w:bookmarkStart w:id="59" w:name="_Toc100784619"/>
      <w:bookmarkStart w:id="60" w:name="_Toc67911619"/>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七、其他需要说明的问题</w:t>
      </w:r>
      <w:bookmarkEnd w:id="59"/>
      <w:bookmarkEnd w:id="60"/>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1.项目支出政策和路径设计科学，符合实际需要；</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2.项目安排准确，未发现背离项目立项初衷的情况；</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3.项目的申报、审核机制完善；</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4.未发现虚假行为和骗取财政资金的问题。</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61" w:name="_Toc67911620"/>
      <w:bookmarkStart w:id="62" w:name="_Toc100784620"/>
      <w:r>
        <w:rPr>
          <w:rFonts w:hint="default" w:ascii="Times New Roman" w:hAnsi="Times New Roman" w:eastAsia="仿宋" w:cs="Times New Roman"/>
          <w:sz w:val="36"/>
          <w:szCs w:val="36"/>
          <w:highlight w:val="none"/>
          <w:lang w:bidi="en-US"/>
        </w:rPr>
        <w:t>八、有关建议</w:t>
      </w:r>
      <w:bookmarkEnd w:id="61"/>
      <w:bookmarkEnd w:id="62"/>
    </w:p>
    <w:p>
      <w:pPr>
        <w:spacing w:line="360" w:lineRule="auto"/>
        <w:ind w:firstLine="560"/>
        <w:rPr>
          <w:rFonts w:hint="eastAsia" w:ascii="Times New Roman" w:hAnsi="Times New Roman" w:cs="Times New Roman"/>
          <w:szCs w:val="28"/>
          <w:highlight w:val="none"/>
          <w:lang w:val="en-US" w:eastAsia="zh-CN"/>
        </w:rPr>
      </w:pPr>
      <w:r>
        <w:rPr>
          <w:rFonts w:hint="eastAsia" w:ascii="Times New Roman" w:hAnsi="Times New Roman" w:cs="Times New Roman"/>
          <w:szCs w:val="28"/>
          <w:highlight w:val="none"/>
          <w:lang w:val="en-US" w:eastAsia="zh-CN"/>
        </w:rPr>
        <w:t>1.对预算安排与执行的建议</w:t>
      </w:r>
    </w:p>
    <w:p>
      <w:pPr>
        <w:spacing w:line="360" w:lineRule="auto"/>
        <w:ind w:firstLine="560"/>
        <w:rPr>
          <w:rFonts w:hint="eastAsia" w:ascii="Times New Roman" w:hAnsi="Times New Roman" w:cs="Times New Roman"/>
          <w:szCs w:val="28"/>
          <w:highlight w:val="none"/>
          <w:lang w:val="en-US" w:eastAsia="zh-CN"/>
        </w:rPr>
      </w:pPr>
      <w:r>
        <w:rPr>
          <w:rFonts w:hint="eastAsia" w:ascii="Times New Roman" w:hAnsi="Times New Roman" w:cs="Times New Roman"/>
          <w:szCs w:val="28"/>
          <w:highlight w:val="none"/>
          <w:lang w:val="en-US" w:eastAsia="zh-CN"/>
        </w:rPr>
        <w:t>按年度预算计划，做到“量入为出，略有节余”的原则，领导及财务人员高度重视，能够按月按季度对经费执行情况进行分析，发现问题，解决问题，能很好地按年度预算执行，做到了经费按进度无超支，各项工作任务按进度不误事。</w:t>
      </w:r>
    </w:p>
    <w:p>
      <w:pPr>
        <w:spacing w:line="360" w:lineRule="auto"/>
        <w:ind w:firstLine="560"/>
        <w:rPr>
          <w:rFonts w:hint="eastAsia" w:ascii="Times New Roman" w:hAnsi="Times New Roman" w:cs="Times New Roman"/>
          <w:szCs w:val="28"/>
          <w:highlight w:val="none"/>
          <w:lang w:val="en-US" w:eastAsia="zh-CN"/>
        </w:rPr>
      </w:pPr>
      <w:r>
        <w:rPr>
          <w:rFonts w:hint="eastAsia" w:ascii="Times New Roman" w:hAnsi="Times New Roman" w:cs="Times New Roman"/>
          <w:szCs w:val="28"/>
          <w:highlight w:val="none"/>
          <w:lang w:val="en-US" w:eastAsia="zh-CN"/>
        </w:rPr>
        <w:t>2.对资金管理的建议</w:t>
      </w:r>
    </w:p>
    <w:p>
      <w:pPr>
        <w:spacing w:line="360" w:lineRule="auto"/>
        <w:ind w:firstLine="560"/>
        <w:rPr>
          <w:rFonts w:hint="default" w:ascii="Times New Roman" w:hAnsi="Times New Roman" w:cs="Times New Roman"/>
          <w:szCs w:val="28"/>
          <w:highlight w:val="none"/>
          <w:lang w:val="en-US" w:eastAsia="zh-CN"/>
        </w:rPr>
      </w:pPr>
      <w:r>
        <w:rPr>
          <w:rFonts w:hint="default" w:ascii="Times New Roman" w:hAnsi="Times New Roman" w:cs="Times New Roman"/>
          <w:szCs w:val="28"/>
          <w:highlight w:val="none"/>
          <w:lang w:val="en-US" w:eastAsia="zh-CN"/>
        </w:rPr>
        <w:t>理顺资金管理体制，要明确政府和各主管部门在专项资金的使用、管理中的分工，做到权责分明，责任到人。对资金的管理，要由财政和主管部门建立健全系统的管理制度，规范资金使用，做到专款专用，所有项目资金从分配到使用都要明确，做到资金、项目、文号对应，以明确资金流向和使用情况，防止截留，挪用现象的发生。</w:t>
      </w:r>
    </w:p>
    <w:p>
      <w:pPr>
        <w:spacing w:line="360" w:lineRule="auto"/>
        <w:ind w:firstLine="560"/>
        <w:rPr>
          <w:rFonts w:hint="eastAsia" w:ascii="Times New Roman" w:hAnsi="Times New Roman" w:cs="Times New Roman"/>
          <w:szCs w:val="28"/>
          <w:highlight w:val="none"/>
          <w:lang w:val="en-US" w:eastAsia="zh-CN"/>
        </w:rPr>
      </w:pPr>
      <w:r>
        <w:rPr>
          <w:rFonts w:hint="eastAsia" w:ascii="Times New Roman" w:hAnsi="Times New Roman" w:cs="Times New Roman"/>
          <w:szCs w:val="28"/>
          <w:highlight w:val="none"/>
          <w:lang w:val="en-US" w:eastAsia="zh-CN"/>
        </w:rPr>
        <w:t>3.项目管理的建议</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lang w:val="en-US" w:eastAsia="zh-CN"/>
        </w:rPr>
        <w:t>建章立制，强化专项资金的监督。财政部门和主管部门要对项目实施和资金使用进行全程跟踪监督，及时掌握项目进度，督促项目实施单位加强管理，定期报告项目实施情况，增加项目资金使用的透明度，同时，要充分发挥纪委、审计监督部门的作用，建立长期有效的专项资金监督管理新体系，确保专项资金用到实处，实现效益最大化。对每一项目，从其预算到实施的整个过程都实行跟踪问效，对出现偏差的项目，要及时对其实施过程的每一环节都要进行认真分析，找出存在的问题，及时改正。</w:t>
      </w:r>
    </w:p>
    <w:p>
      <w:pPr>
        <w:spacing w:line="360" w:lineRule="auto"/>
        <w:ind w:firstLine="560"/>
        <w:rPr>
          <w:rFonts w:hint="default" w:ascii="Times New Roman" w:hAnsi="Times New Roman" w:cs="Times New Roman"/>
          <w:szCs w:val="28"/>
          <w:highlight w:val="none"/>
        </w:rPr>
      </w:pPr>
    </w:p>
    <w:bookmarkEnd w:id="63"/>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2"/>
        <w:ind w:firstLine="0" w:firstLineChars="0"/>
        <w:jc w:val="both"/>
        <w:rPr>
          <w:rFonts w:ascii="仿宋_GB2312"/>
        </w:rPr>
      </w:pPr>
      <w:r>
        <w:rPr>
          <w:rStyle w:val="20"/>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2"/>
        <w:ind w:firstLine="0" w:firstLineChars="0"/>
        <w:jc w:val="both"/>
        <w:rPr>
          <w:rFonts w:ascii="仿宋_GB2312"/>
        </w:rPr>
      </w:pPr>
      <w:r>
        <w:rPr>
          <w:rStyle w:val="20"/>
          <w:rFonts w:hint="eastAsia" w:ascii="仿宋_GB2312"/>
        </w:rPr>
        <w:footnoteRef/>
      </w:r>
      <w:r>
        <w:rPr>
          <w:rFonts w:ascii="仿宋_GB2312"/>
        </w:rPr>
        <w:t xml:space="preserve"> </w:t>
      </w:r>
      <w:r>
        <w:rPr>
          <w:rFonts w:hint="default"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4YmE2MTYzZjE1OTc5Zjg1YWRiNDcxMWVhYTI3MDI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74DE"/>
    <w:rsid w:val="00404C10"/>
    <w:rsid w:val="004249EE"/>
    <w:rsid w:val="00425C1F"/>
    <w:rsid w:val="00437C39"/>
    <w:rsid w:val="004925F6"/>
    <w:rsid w:val="004957B3"/>
    <w:rsid w:val="004B12BE"/>
    <w:rsid w:val="004B5A40"/>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55B0"/>
    <w:rsid w:val="00A00443"/>
    <w:rsid w:val="00A106CE"/>
    <w:rsid w:val="00A2064E"/>
    <w:rsid w:val="00A22963"/>
    <w:rsid w:val="00A425B1"/>
    <w:rsid w:val="00A43A0A"/>
    <w:rsid w:val="00A52E6C"/>
    <w:rsid w:val="00A52E72"/>
    <w:rsid w:val="00A92F9F"/>
    <w:rsid w:val="00AD5430"/>
    <w:rsid w:val="00AE1DCD"/>
    <w:rsid w:val="00AE6C31"/>
    <w:rsid w:val="00B22F6F"/>
    <w:rsid w:val="00B4167E"/>
    <w:rsid w:val="00B72218"/>
    <w:rsid w:val="00B90BA4"/>
    <w:rsid w:val="00B962E0"/>
    <w:rsid w:val="00BA0A35"/>
    <w:rsid w:val="00BA10B1"/>
    <w:rsid w:val="00BA13B7"/>
    <w:rsid w:val="00BA65B8"/>
    <w:rsid w:val="00BA76B5"/>
    <w:rsid w:val="00BC5C63"/>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FFA3C1C"/>
    <w:rsid w:val="11C670F9"/>
    <w:rsid w:val="121511E1"/>
    <w:rsid w:val="128679E9"/>
    <w:rsid w:val="1B4F12C0"/>
    <w:rsid w:val="34E00F20"/>
    <w:rsid w:val="37F71314"/>
    <w:rsid w:val="3B477822"/>
    <w:rsid w:val="47F55759"/>
    <w:rsid w:val="552A752E"/>
    <w:rsid w:val="55BF25B3"/>
    <w:rsid w:val="5A9426BF"/>
    <w:rsid w:val="5BBB3658"/>
    <w:rsid w:val="5EE329F1"/>
    <w:rsid w:val="5EF86B45"/>
    <w:rsid w:val="609307D8"/>
    <w:rsid w:val="66D25ECE"/>
    <w:rsid w:val="67A52418"/>
    <w:rsid w:val="71C072FE"/>
    <w:rsid w:val="73810158"/>
    <w:rsid w:val="772269FE"/>
    <w:rsid w:val="778A1AAF"/>
    <w:rsid w:val="77EE3278"/>
    <w:rsid w:val="780F48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0"/>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3"/>
    <w:semiHidden/>
    <w:unhideWhenUsed/>
    <w:qFormat/>
    <w:uiPriority w:val="99"/>
    <w:pPr>
      <w:ind w:left="100" w:leftChars="2500"/>
    </w:pPr>
  </w:style>
  <w:style w:type="paragraph" w:styleId="8">
    <w:name w:val="Balloon Text"/>
    <w:basedOn w:val="1"/>
    <w:link w:val="32"/>
    <w:semiHidden/>
    <w:unhideWhenUsed/>
    <w:qFormat/>
    <w:uiPriority w:val="99"/>
    <w:rPr>
      <w:sz w:val="18"/>
      <w:szCs w:val="18"/>
    </w:rPr>
  </w:style>
  <w:style w:type="paragraph" w:styleId="9">
    <w:name w:val="footer"/>
    <w:basedOn w:val="1"/>
    <w:link w:val="22"/>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1"/>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5"/>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annotation subject"/>
    <w:basedOn w:val="5"/>
    <w:next w:val="5"/>
    <w:link w:val="31"/>
    <w:semiHidden/>
    <w:unhideWhenUsed/>
    <w:qFormat/>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unhideWhenUsed/>
    <w:qFormat/>
    <w:uiPriority w:val="99"/>
    <w:rPr>
      <w:color w:val="0563C1" w:themeColor="hyperlink"/>
      <w:u w:val="single"/>
      <w14:textFill>
        <w14:solidFill>
          <w14:schemeClr w14:val="hlink"/>
        </w14:solidFill>
      </w14:textFill>
    </w:rPr>
  </w:style>
  <w:style w:type="character" w:styleId="19">
    <w:name w:val="annotation reference"/>
    <w:basedOn w:val="17"/>
    <w:semiHidden/>
    <w:unhideWhenUsed/>
    <w:qFormat/>
    <w:uiPriority w:val="99"/>
    <w:rPr>
      <w:sz w:val="21"/>
      <w:szCs w:val="21"/>
    </w:rPr>
  </w:style>
  <w:style w:type="character" w:styleId="20">
    <w:name w:val="footnote reference"/>
    <w:basedOn w:val="17"/>
    <w:semiHidden/>
    <w:unhideWhenUsed/>
    <w:qFormat/>
    <w:uiPriority w:val="99"/>
    <w:rPr>
      <w:vertAlign w:val="superscript"/>
    </w:rPr>
  </w:style>
  <w:style w:type="character" w:customStyle="1" w:styleId="21">
    <w:name w:val="页眉 Char"/>
    <w:basedOn w:val="17"/>
    <w:link w:val="10"/>
    <w:qFormat/>
    <w:uiPriority w:val="99"/>
    <w:rPr>
      <w:sz w:val="18"/>
      <w:szCs w:val="18"/>
    </w:rPr>
  </w:style>
  <w:style w:type="character" w:customStyle="1" w:styleId="22">
    <w:name w:val="页脚 Char"/>
    <w:basedOn w:val="17"/>
    <w:link w:val="9"/>
    <w:qFormat/>
    <w:uiPriority w:val="99"/>
    <w:rPr>
      <w:sz w:val="18"/>
      <w:szCs w:val="18"/>
    </w:rPr>
  </w:style>
  <w:style w:type="character" w:customStyle="1" w:styleId="23">
    <w:name w:val="日期 Char"/>
    <w:basedOn w:val="17"/>
    <w:link w:val="7"/>
    <w:semiHidden/>
    <w:qFormat/>
    <w:uiPriority w:val="99"/>
    <w:rPr>
      <w:rFonts w:ascii="Calibri" w:hAnsi="Calibri" w:eastAsia="仿宋_GB2312" w:cs="黑体"/>
      <w:sz w:val="28"/>
    </w:rPr>
  </w:style>
  <w:style w:type="character" w:customStyle="1" w:styleId="24">
    <w:name w:val="标题 2 Char"/>
    <w:basedOn w:val="17"/>
    <w:link w:val="3"/>
    <w:qFormat/>
    <w:uiPriority w:val="9"/>
    <w:rPr>
      <w:rFonts w:asciiTheme="majorHAnsi" w:hAnsiTheme="majorHAnsi" w:eastAsiaTheme="majorEastAsia" w:cstheme="majorBidi"/>
      <w:b/>
      <w:bCs/>
      <w:sz w:val="32"/>
      <w:szCs w:val="32"/>
    </w:rPr>
  </w:style>
  <w:style w:type="character" w:customStyle="1" w:styleId="25">
    <w:name w:val="脚注文本 Char"/>
    <w:basedOn w:val="17"/>
    <w:link w:val="12"/>
    <w:semiHidden/>
    <w:qFormat/>
    <w:uiPriority w:val="99"/>
    <w:rPr>
      <w:rFonts w:ascii="Calibri" w:hAnsi="Calibri" w:eastAsia="仿宋_GB2312" w:cs="黑体"/>
      <w:sz w:val="18"/>
      <w:szCs w:val="18"/>
    </w:rPr>
  </w:style>
  <w:style w:type="paragraph" w:styleId="26">
    <w:name w:val="List Paragraph"/>
    <w:basedOn w:val="1"/>
    <w:qFormat/>
    <w:uiPriority w:val="34"/>
    <w:pPr>
      <w:ind w:firstLine="420"/>
    </w:pPr>
  </w:style>
  <w:style w:type="table" w:customStyle="1" w:styleId="27">
    <w:name w:val="网格型1"/>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8">
    <w:name w:val="标题 1 Char"/>
    <w:basedOn w:val="17"/>
    <w:link w:val="2"/>
    <w:qFormat/>
    <w:uiPriority w:val="9"/>
    <w:rPr>
      <w:rFonts w:ascii="Calibri" w:hAnsi="Calibri" w:eastAsia="仿宋_GB2312" w:cs="黑体"/>
      <w:b/>
      <w:bCs/>
      <w:kern w:val="44"/>
      <w:sz w:val="44"/>
      <w:szCs w:val="44"/>
    </w:rPr>
  </w:style>
  <w:style w:type="paragraph" w:customStyle="1" w:styleId="29">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0">
    <w:name w:val="批注文字 Char"/>
    <w:basedOn w:val="17"/>
    <w:link w:val="5"/>
    <w:qFormat/>
    <w:uiPriority w:val="99"/>
    <w:rPr>
      <w:rFonts w:ascii="Calibri" w:hAnsi="Calibri" w:eastAsia="仿宋_GB2312" w:cs="黑体"/>
      <w:sz w:val="28"/>
    </w:rPr>
  </w:style>
  <w:style w:type="character" w:customStyle="1" w:styleId="31">
    <w:name w:val="批注主题 Char"/>
    <w:basedOn w:val="30"/>
    <w:link w:val="14"/>
    <w:semiHidden/>
    <w:qFormat/>
    <w:uiPriority w:val="99"/>
    <w:rPr>
      <w:rFonts w:ascii="Calibri" w:hAnsi="Calibri" w:eastAsia="仿宋_GB2312" w:cs="黑体"/>
      <w:b/>
      <w:bCs/>
      <w:sz w:val="28"/>
    </w:rPr>
  </w:style>
  <w:style w:type="character" w:customStyle="1" w:styleId="32">
    <w:name w:val="批注框文本 Char"/>
    <w:basedOn w:val="17"/>
    <w:link w:val="8"/>
    <w:semiHidden/>
    <w:qFormat/>
    <w:uiPriority w:val="99"/>
    <w:rPr>
      <w:rFonts w:ascii="Calibri" w:hAnsi="Calibri" w:eastAsia="仿宋_GB2312" w:cs="黑体"/>
      <w:sz w:val="18"/>
      <w:szCs w:val="18"/>
    </w:rPr>
  </w:style>
  <w:style w:type="character" w:customStyle="1" w:styleId="33">
    <w:name w:val="标题 3 Char"/>
    <w:basedOn w:val="17"/>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22</Pages>
  <Words>8877</Words>
  <Characters>9219</Characters>
  <Lines>79</Lines>
  <Paragraphs>22</Paragraphs>
  <TotalTime>4</TotalTime>
  <ScaleCrop>false</ScaleCrop>
  <LinksUpToDate>false</LinksUpToDate>
  <CharactersWithSpaces>9349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Administrator</cp:lastModifiedBy>
  <cp:lastPrinted>2023-04-11T02:57:00Z</cp:lastPrinted>
  <dcterms:modified xsi:type="dcterms:W3CDTF">2023-11-23T03:44:55Z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C72CFD68021D41D8BC351CC4CC9D8637_12</vt:lpwstr>
  </property>
</Properties>
</file>