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eastAsia="方正小标宋_GBK"/>
          <w:b/>
          <w:kern w:val="0"/>
          <w:sz w:val="48"/>
          <w:szCs w:val="48"/>
          <w:highlight w:val="none"/>
        </w:rPr>
      </w:pPr>
      <w:r>
        <w:rPr>
          <w:rFonts w:eastAsia="方正小标宋_GBK"/>
          <w:b/>
          <w:kern w:val="0"/>
          <w:sz w:val="48"/>
          <w:szCs w:val="48"/>
          <w:highlight w:val="none"/>
        </w:rPr>
        <w:t>财政项目支出绩效</w:t>
      </w:r>
      <w:r>
        <w:rPr>
          <w:rFonts w:hint="eastAsia" w:eastAsia="方正小标宋_GBK"/>
          <w:b/>
          <w:kern w:val="0"/>
          <w:sz w:val="48"/>
          <w:szCs w:val="48"/>
          <w:highlight w:val="none"/>
        </w:rPr>
        <w:t>评价</w:t>
      </w:r>
      <w:r>
        <w:rPr>
          <w:rFonts w:eastAsia="方正小标宋_GBK"/>
          <w:b/>
          <w:kern w:val="0"/>
          <w:sz w:val="48"/>
          <w:szCs w:val="48"/>
          <w:highlight w:val="none"/>
        </w:rPr>
        <w:t>报告</w:t>
      </w:r>
    </w:p>
    <w:p>
      <w:pPr>
        <w:spacing w:line="540" w:lineRule="exact"/>
        <w:jc w:val="center"/>
        <w:rPr>
          <w:rFonts w:eastAsia="华文中宋"/>
          <w:b/>
          <w:kern w:val="0"/>
          <w:sz w:val="52"/>
          <w:szCs w:val="52"/>
          <w:highlight w:val="none"/>
        </w:rPr>
      </w:pPr>
      <w:bookmarkStart w:id="286" w:name="_GoBack"/>
      <w:bookmarkEnd w:id="286"/>
    </w:p>
    <w:p>
      <w:pPr>
        <w:spacing w:line="540" w:lineRule="exact"/>
        <w:jc w:val="center"/>
        <w:rPr>
          <w:rFonts w:eastAsia="仿宋_GB2312"/>
          <w:kern w:val="0"/>
          <w:sz w:val="36"/>
          <w:szCs w:val="36"/>
          <w:highlight w:val="none"/>
        </w:rPr>
      </w:pPr>
      <w:r>
        <w:rPr>
          <w:rFonts w:eastAsia="仿宋_GB2312"/>
          <w:kern w:val="0"/>
          <w:sz w:val="36"/>
          <w:szCs w:val="36"/>
          <w:highlight w:val="none"/>
        </w:rPr>
        <w:t>（</w:t>
      </w:r>
      <w:r>
        <w:rPr>
          <w:rStyle w:val="26"/>
          <w:rFonts w:eastAsia="楷体"/>
          <w:spacing w:val="-4"/>
          <w:sz w:val="32"/>
          <w:szCs w:val="32"/>
          <w:highlight w:val="none"/>
        </w:rPr>
        <w:t>202</w:t>
      </w:r>
      <w:r>
        <w:rPr>
          <w:rStyle w:val="26"/>
          <w:rFonts w:hint="eastAsia" w:eastAsia="楷体"/>
          <w:spacing w:val="-4"/>
          <w:sz w:val="32"/>
          <w:szCs w:val="32"/>
          <w:highlight w:val="none"/>
          <w:lang w:val="en-US" w:eastAsia="zh-CN"/>
        </w:rPr>
        <w:t>2</w:t>
      </w:r>
      <w:r>
        <w:rPr>
          <w:rFonts w:eastAsia="仿宋_GB2312"/>
          <w:kern w:val="0"/>
          <w:sz w:val="36"/>
          <w:szCs w:val="36"/>
          <w:highlight w:val="none"/>
        </w:rPr>
        <w:t>年度）</w:t>
      </w:r>
    </w:p>
    <w:p>
      <w:pPr>
        <w:spacing w:line="540" w:lineRule="exact"/>
        <w:jc w:val="center"/>
        <w:rPr>
          <w:rFonts w:eastAsia="仿宋_GB2312"/>
          <w:kern w:val="0"/>
          <w:sz w:val="30"/>
          <w:szCs w:val="30"/>
          <w:highlight w:val="none"/>
        </w:rPr>
      </w:pPr>
    </w:p>
    <w:p>
      <w:pPr>
        <w:spacing w:line="540" w:lineRule="exact"/>
        <w:jc w:val="center"/>
        <w:rPr>
          <w:rFonts w:eastAsia="仿宋_GB2312"/>
          <w:kern w:val="0"/>
          <w:sz w:val="30"/>
          <w:szCs w:val="30"/>
          <w:highlight w:val="none"/>
        </w:rPr>
      </w:pPr>
    </w:p>
    <w:p>
      <w:pPr>
        <w:spacing w:line="540" w:lineRule="exact"/>
        <w:jc w:val="center"/>
        <w:rPr>
          <w:rFonts w:eastAsia="仿宋_GB2312"/>
          <w:kern w:val="0"/>
          <w:sz w:val="30"/>
          <w:szCs w:val="30"/>
          <w:highlight w:val="none"/>
        </w:rPr>
      </w:pPr>
    </w:p>
    <w:p>
      <w:pPr>
        <w:spacing w:line="540" w:lineRule="exact"/>
        <w:jc w:val="center"/>
        <w:rPr>
          <w:rFonts w:eastAsia="仿宋_GB2312"/>
          <w:kern w:val="0"/>
          <w:sz w:val="30"/>
          <w:szCs w:val="30"/>
          <w:highlight w:val="none"/>
        </w:rPr>
      </w:pPr>
    </w:p>
    <w:p>
      <w:pPr>
        <w:spacing w:line="540" w:lineRule="exact"/>
        <w:jc w:val="center"/>
        <w:rPr>
          <w:rFonts w:eastAsia="仿宋_GB2312"/>
          <w:kern w:val="0"/>
          <w:sz w:val="30"/>
          <w:szCs w:val="30"/>
          <w:highlight w:val="none"/>
        </w:rPr>
      </w:pPr>
    </w:p>
    <w:p>
      <w:pPr>
        <w:spacing w:line="540" w:lineRule="exact"/>
        <w:jc w:val="center"/>
        <w:rPr>
          <w:rFonts w:eastAsia="仿宋_GB2312"/>
          <w:kern w:val="0"/>
          <w:sz w:val="30"/>
          <w:szCs w:val="30"/>
          <w:highlight w:val="none"/>
        </w:rPr>
      </w:pPr>
    </w:p>
    <w:p>
      <w:pPr>
        <w:spacing w:line="540" w:lineRule="exact"/>
        <w:rPr>
          <w:rFonts w:eastAsia="仿宋_GB2312"/>
          <w:kern w:val="0"/>
          <w:sz w:val="30"/>
          <w:szCs w:val="30"/>
          <w:highlight w:val="none"/>
        </w:rPr>
      </w:pPr>
    </w:p>
    <w:p>
      <w:pPr>
        <w:spacing w:line="700" w:lineRule="exact"/>
        <w:jc w:val="left"/>
        <w:rPr>
          <w:rFonts w:eastAsia="仿宋_GB2312"/>
          <w:kern w:val="0"/>
          <w:sz w:val="36"/>
          <w:szCs w:val="36"/>
          <w:highlight w:val="none"/>
        </w:rPr>
      </w:pPr>
    </w:p>
    <w:p>
      <w:pPr>
        <w:spacing w:line="360" w:lineRule="auto"/>
        <w:ind w:firstLine="640" w:firstLineChars="200"/>
        <w:rPr>
          <w:rFonts w:eastAsia="仿宋_GB2312"/>
          <w:kern w:val="0"/>
          <w:sz w:val="32"/>
          <w:szCs w:val="32"/>
          <w:highlight w:val="none"/>
        </w:rPr>
      </w:pPr>
      <w:r>
        <w:rPr>
          <w:rFonts w:eastAsia="仿宋_GB2312"/>
          <w:kern w:val="0"/>
          <w:sz w:val="32"/>
          <w:szCs w:val="32"/>
          <w:highlight w:val="none"/>
        </w:rPr>
        <w:t>项目名称：档案馆经费</w:t>
      </w:r>
    </w:p>
    <w:p>
      <w:pPr>
        <w:spacing w:line="360" w:lineRule="auto"/>
        <w:ind w:firstLine="640" w:firstLineChars="200"/>
        <w:rPr>
          <w:rFonts w:eastAsia="仿宋_GB2312"/>
          <w:b/>
          <w:bCs/>
          <w:spacing w:val="-4"/>
          <w:sz w:val="32"/>
          <w:szCs w:val="32"/>
          <w:highlight w:val="none"/>
        </w:rPr>
      </w:pPr>
      <w:r>
        <w:rPr>
          <w:rFonts w:hint="eastAsia" w:eastAsia="仿宋_GB2312"/>
          <w:kern w:val="0"/>
          <w:sz w:val="32"/>
          <w:szCs w:val="32"/>
          <w:highlight w:val="none"/>
        </w:rPr>
        <w:t>项目</w:t>
      </w:r>
      <w:r>
        <w:rPr>
          <w:rFonts w:eastAsia="仿宋_GB2312"/>
          <w:kern w:val="0"/>
          <w:sz w:val="32"/>
          <w:szCs w:val="32"/>
          <w:highlight w:val="none"/>
        </w:rPr>
        <w:t>单位：</w:t>
      </w:r>
      <w:r>
        <w:rPr>
          <w:rFonts w:hint="eastAsia" w:eastAsia="仿宋_GB2312"/>
          <w:kern w:val="0"/>
          <w:sz w:val="32"/>
          <w:szCs w:val="32"/>
          <w:highlight w:val="none"/>
        </w:rPr>
        <w:t>中共乌鲁木齐县委员会办公室</w:t>
      </w:r>
    </w:p>
    <w:p>
      <w:pPr>
        <w:spacing w:line="360" w:lineRule="auto"/>
        <w:ind w:firstLine="640" w:firstLineChars="200"/>
        <w:rPr>
          <w:rFonts w:eastAsia="仿宋_GB2312"/>
          <w:b/>
          <w:bCs/>
          <w:spacing w:val="-4"/>
          <w:sz w:val="32"/>
          <w:szCs w:val="32"/>
          <w:highlight w:val="none"/>
        </w:rPr>
      </w:pPr>
      <w:r>
        <w:rPr>
          <w:rFonts w:eastAsia="仿宋_GB2312"/>
          <w:kern w:val="0"/>
          <w:sz w:val="32"/>
          <w:szCs w:val="32"/>
          <w:highlight w:val="none"/>
        </w:rPr>
        <w:t>主管部门：</w:t>
      </w:r>
      <w:r>
        <w:rPr>
          <w:rFonts w:hint="eastAsia" w:eastAsia="仿宋_GB2312"/>
          <w:kern w:val="0"/>
          <w:sz w:val="32"/>
          <w:szCs w:val="32"/>
          <w:highlight w:val="none"/>
        </w:rPr>
        <w:t>中共乌鲁木齐县委员会办公室</w:t>
      </w:r>
    </w:p>
    <w:p>
      <w:pPr>
        <w:spacing w:line="360" w:lineRule="auto"/>
        <w:ind w:firstLine="640" w:firstLineChars="200"/>
        <w:rPr>
          <w:rFonts w:eastAsia="仿宋_GB2312"/>
          <w:kern w:val="0"/>
          <w:sz w:val="32"/>
          <w:szCs w:val="32"/>
          <w:highlight w:val="none"/>
        </w:rPr>
      </w:pPr>
    </w:p>
    <w:p>
      <w:pPr>
        <w:spacing w:line="360" w:lineRule="auto"/>
        <w:ind w:firstLine="640" w:firstLineChars="200"/>
        <w:rPr>
          <w:rFonts w:eastAsia="仿宋_GB2312"/>
          <w:kern w:val="0"/>
          <w:sz w:val="32"/>
          <w:szCs w:val="32"/>
          <w:highlight w:val="none"/>
        </w:rPr>
      </w:pPr>
    </w:p>
    <w:p>
      <w:pPr>
        <w:spacing w:line="360" w:lineRule="auto"/>
        <w:ind w:firstLine="708" w:firstLineChars="236"/>
        <w:rPr>
          <w:rFonts w:eastAsia="仿宋_GB2312"/>
          <w:kern w:val="0"/>
          <w:sz w:val="30"/>
          <w:szCs w:val="30"/>
          <w:highlight w:val="none"/>
        </w:rPr>
      </w:pPr>
    </w:p>
    <w:p>
      <w:pPr>
        <w:spacing w:line="540" w:lineRule="exact"/>
        <w:rPr>
          <w:rStyle w:val="26"/>
          <w:rFonts w:eastAsia="黑体"/>
          <w:b w:val="0"/>
          <w:spacing w:val="-4"/>
          <w:sz w:val="32"/>
          <w:szCs w:val="32"/>
          <w:highlight w:val="none"/>
        </w:rPr>
      </w:pPr>
    </w:p>
    <w:sdt>
      <w:sdtPr>
        <w:rPr>
          <w:rFonts w:hint="eastAsia" w:ascii="黑体" w:hAnsi="黑体" w:eastAsia="黑体" w:cs="黑体"/>
          <w:b/>
          <w:bCs/>
          <w:color w:val="auto"/>
          <w:kern w:val="2"/>
          <w:sz w:val="32"/>
          <w:szCs w:val="3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8"/>
          <w:highlight w:val="none"/>
          <w:lang w:val="zh-CN"/>
        </w:rPr>
      </w:sdtEndPr>
      <w:sdtContent>
        <w:p>
          <w:pPr>
            <w:pStyle w:val="68"/>
            <w:ind w:firstLine="560"/>
            <w:jc w:val="center"/>
            <w:rPr>
              <w:rFonts w:hint="eastAsia" w:ascii="黑体" w:hAnsi="黑体" w:eastAsia="黑体" w:cs="黑体"/>
              <w:b/>
              <w:bCs/>
              <w:color w:val="auto"/>
              <w:sz w:val="32"/>
              <w:szCs w:val="32"/>
              <w:highlight w:val="none"/>
            </w:rPr>
          </w:pPr>
          <w:bookmarkStart w:id="0" w:name="_Toc24009"/>
          <w:r>
            <w:rPr>
              <w:rFonts w:hint="eastAsia" w:ascii="黑体" w:hAnsi="黑体" w:eastAsia="黑体" w:cs="黑体"/>
              <w:b/>
              <w:bCs/>
              <w:color w:val="auto"/>
              <w:sz w:val="32"/>
              <w:szCs w:val="32"/>
              <w:highlight w:val="none"/>
              <w:lang w:val="zh-CN"/>
            </w:rPr>
            <w:t>目录</w:t>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TOC \o "1-3" \h \z \u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"_Toc100784583"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一、基本情况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_Toc100784583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"_Toc100784584"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（一）项目概况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_Toc100784584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"_Toc100784585"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（二）项目绩效目标</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_Toc100784585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"_Toc100784586"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二、绩效评价工作开展情况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_Toc100784586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2</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"_Toc100784587"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（一）绩效评价目的、对象和范围</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_Toc100784587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2</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"_Toc100784588"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1.评价目的</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_Toc100784588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"_Toc100784589"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2.评价对象和范围</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_Toc100784589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"_Toc100784590"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（二）绩效评价原则、指标体系、方法及标准</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_Toc100784590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3</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"_Toc100784591"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1.评价原则</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_Toc100784591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3</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"_Toc100784592"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2.评价指标体系</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_Toc100784592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3</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"_Toc100784593"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3.评价方法</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_Toc100784593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10</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"_Toc100784594"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4.评价标准</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_Toc100784594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11</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"_Toc100784595"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（三）绩效评价工作过程</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_Toc100784595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11</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"_Toc100784596"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三、综合评价情况及评价结论</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_Toc100784596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12</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"_Toc100784597"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（一）评价结论</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_Toc100784597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12</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"_Toc100784598"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（二）主要绩效</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_Toc100784598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13</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"_Toc100784599"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四、绩效评价指标分析</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_Toc100784599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14</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"_Toc100784600"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（一）项目决策情况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_Toc100784600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14</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"_Toc100784601"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1.项目立项</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_Toc100784601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14</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"_Toc100784602"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2.绩效目标</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_Toc100784602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14</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"_Toc100784603"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3.资金投入</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_Toc100784603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15</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"_Toc100784604"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（二）项目过程情况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_Toc100784604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15</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"_Toc100784605"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1.资金管理</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_Toc100784605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15</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"_Toc100784606"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2.组织实施</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_Toc100784606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16</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"_Toc100784607"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（三）项目产出情况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_Toc100784607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16</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"_Toc100784608"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1.产出数量</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_Toc100784608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16</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"_Toc100784609"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2.产出质量</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_Toc100784609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17</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"_Toc100784610"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3.产出时效</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_Toc100784610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17</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"_Toc100784611"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4.产出成本</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_Toc100784611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17</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"_Toc100784612"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（四）项目效益情况</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_Toc100784612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18</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"_Toc100784613"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1.项目效益</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_Toc100784613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18</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4"/>
            <w:tabs>
              <w:tab w:val="right" w:leader="dot" w:pos="8296"/>
            </w:tabs>
            <w:ind w:left="1120" w:firstLine="560" w:firstLineChars="200"/>
            <w:rPr>
              <w:rFonts w:hint="default" w:ascii="Times New Roman" w:hAnsi="Times New Roman" w:eastAsia="仿宋_GB2312" w:cs="Times New Roman"/>
              <w:sz w:val="28"/>
              <w:szCs w:val="22"/>
              <w:highlight w:val="none"/>
            </w:rPr>
          </w:pP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HYPERLINK \l "_Toc100784614"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2. 满意度指标完成情况分析</w:t>
          </w:r>
          <w:r>
            <w:rPr>
              <w:rFonts w:hint="default" w:ascii="Times New Roman" w:hAnsi="Times New Roman" w:eastAsia="仿宋_GB2312" w:cs="Times New Roman"/>
              <w:sz w:val="28"/>
              <w:szCs w:val="22"/>
              <w:highlight w:val="none"/>
            </w:rPr>
            <w:tab/>
          </w:r>
          <w:r>
            <w:rPr>
              <w:rFonts w:hint="default" w:ascii="Times New Roman" w:hAnsi="Times New Roman" w:eastAsia="仿宋_GB2312" w:cs="Times New Roman"/>
              <w:sz w:val="28"/>
              <w:szCs w:val="22"/>
              <w:highlight w:val="none"/>
            </w:rPr>
            <w:fldChar w:fldCharType="begin"/>
          </w:r>
          <w:r>
            <w:rPr>
              <w:rFonts w:hint="default" w:ascii="Times New Roman" w:hAnsi="Times New Roman" w:eastAsia="仿宋_GB2312" w:cs="Times New Roman"/>
              <w:sz w:val="28"/>
              <w:szCs w:val="22"/>
              <w:highlight w:val="none"/>
            </w:rPr>
            <w:instrText xml:space="preserve"> PAGEREF _Toc100784614 \h </w:instrText>
          </w:r>
          <w:r>
            <w:rPr>
              <w:rFonts w:hint="default" w:ascii="Times New Roman" w:hAnsi="Times New Roman" w:eastAsia="仿宋_GB2312" w:cs="Times New Roman"/>
              <w:sz w:val="28"/>
              <w:szCs w:val="22"/>
              <w:highlight w:val="none"/>
            </w:rPr>
            <w:fldChar w:fldCharType="separate"/>
          </w:r>
          <w:r>
            <w:rPr>
              <w:rFonts w:hint="default" w:ascii="Times New Roman" w:hAnsi="Times New Roman" w:eastAsia="仿宋_GB2312" w:cs="Times New Roman"/>
              <w:sz w:val="28"/>
              <w:szCs w:val="22"/>
              <w:highlight w:val="none"/>
            </w:rPr>
            <w:t>18</w:t>
          </w:r>
          <w:r>
            <w:rPr>
              <w:rFonts w:hint="default" w:ascii="Times New Roman" w:hAnsi="Times New Roman" w:eastAsia="仿宋_GB2312" w:cs="Times New Roman"/>
              <w:sz w:val="28"/>
              <w:szCs w:val="22"/>
              <w:highlight w:val="none"/>
            </w:rPr>
            <w:fldChar w:fldCharType="end"/>
          </w:r>
          <w:r>
            <w:rPr>
              <w:rFonts w:hint="default" w:ascii="Times New Roman" w:hAnsi="Times New Roman" w:eastAsia="仿宋_GB2312" w:cs="Times New Roman"/>
              <w:sz w:val="28"/>
              <w:szCs w:val="22"/>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"_Toc100784615"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五、预算执行进度与绩效指标偏差</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_Toc100784615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19</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"_Toc100784616"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六、主要经验及做法、存在的问题及原因分析</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_Toc100784616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19</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"_Toc100784617"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（一）主要经验及做法</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_Toc100784617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19</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21"/>
            <w:tabs>
              <w:tab w:val="right" w:leader="dot" w:pos="8296"/>
            </w:tabs>
            <w:ind w:left="560"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"_Toc100784618"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（二）存在的问题及原因分析</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_Toc100784618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19</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"_Toc100784619"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七、其他需要说明的问题</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_Toc100784619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20</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pStyle w:val="18"/>
            <w:tabs>
              <w:tab w:val="right" w:leader="dot" w:pos="8296"/>
            </w:tabs>
            <w:ind w:firstLine="560"/>
            <w:rPr>
              <w:rFonts w:hint="default" w:ascii="Times New Roman" w:hAnsi="Times New Roman" w:cs="Times New Roman" w:eastAsiaTheme="minorEastAsia"/>
              <w:sz w:val="28"/>
              <w:szCs w:val="28"/>
              <w:highlight w:val="none"/>
            </w:rPr>
          </w:pP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HYPERLINK \l "_Toc100784620" </w:instrText>
          </w:r>
          <w:r>
            <w:rPr>
              <w:rFonts w:hint="default" w:ascii="Times New Roman" w:hAnsi="Times New Roman" w:cs="Times New Roman"/>
              <w:sz w:val="28"/>
              <w:szCs w:val="28"/>
              <w:highlight w:val="none"/>
            </w:rPr>
            <w:fldChar w:fldCharType="separate"/>
          </w:r>
          <w:r>
            <w:rPr>
              <w:rStyle w:val="28"/>
              <w:rFonts w:hint="default" w:ascii="Times New Roman" w:hAnsi="Times New Roman" w:eastAsia="仿宋" w:cs="Times New Roman"/>
              <w:sz w:val="28"/>
              <w:szCs w:val="28"/>
              <w:highlight w:val="none"/>
              <w:lang w:bidi="en-US"/>
            </w:rPr>
            <w:t>八、有关建议</w:t>
          </w:r>
          <w:r>
            <w:rPr>
              <w:rFonts w:hint="default" w:ascii="Times New Roman" w:hAnsi="Times New Roman" w:cs="Times New Roman"/>
              <w:sz w:val="28"/>
              <w:szCs w:val="28"/>
              <w:highlight w:val="none"/>
            </w:rPr>
            <w:tab/>
          </w:r>
          <w:r>
            <w:rPr>
              <w:rFonts w:hint="default" w:ascii="Times New Roman" w:hAnsi="Times New Roman" w:cs="Times New Roman"/>
              <w:sz w:val="28"/>
              <w:szCs w:val="28"/>
              <w:highlight w:val="none"/>
            </w:rPr>
            <w:fldChar w:fldCharType="begin"/>
          </w:r>
          <w:r>
            <w:rPr>
              <w:rFonts w:hint="default" w:ascii="Times New Roman" w:hAnsi="Times New Roman" w:cs="Times New Roman"/>
              <w:sz w:val="28"/>
              <w:szCs w:val="28"/>
              <w:highlight w:val="none"/>
            </w:rPr>
            <w:instrText xml:space="preserve"> PAGEREF _Toc100784620 \h </w:instrText>
          </w:r>
          <w:r>
            <w:rPr>
              <w:rFonts w:hint="default" w:ascii="Times New Roman" w:hAnsi="Times New Roman" w:cs="Times New Roman"/>
              <w:sz w:val="28"/>
              <w:szCs w:val="28"/>
              <w:highlight w:val="none"/>
            </w:rPr>
            <w:fldChar w:fldCharType="separate"/>
          </w:r>
          <w:r>
            <w:rPr>
              <w:rFonts w:hint="default" w:ascii="Times New Roman" w:hAnsi="Times New Roman" w:cs="Times New Roman"/>
              <w:sz w:val="28"/>
              <w:szCs w:val="28"/>
              <w:highlight w:val="none"/>
            </w:rPr>
            <w:t>20</w:t>
          </w:r>
          <w:r>
            <w:rPr>
              <w:rFonts w:hint="default" w:ascii="Times New Roman" w:hAnsi="Times New Roman" w:cs="Times New Roman"/>
              <w:sz w:val="28"/>
              <w:szCs w:val="28"/>
              <w:highlight w:val="none"/>
            </w:rPr>
            <w:fldChar w:fldCharType="end"/>
          </w:r>
          <w:r>
            <w:rPr>
              <w:rFonts w:hint="default" w:ascii="Times New Roman" w:hAnsi="Times New Roman" w:cs="Times New Roman"/>
              <w:sz w:val="28"/>
              <w:szCs w:val="28"/>
              <w:highlight w:val="none"/>
            </w:rPr>
            <w:fldChar w:fldCharType="end"/>
          </w:r>
        </w:p>
        <w:p>
          <w:pPr>
            <w:spacing w:line="540" w:lineRule="exact"/>
            <w:outlineLvl w:val="0"/>
            <w:rPr>
              <w:rFonts w:hint="default" w:ascii="Times New Roman" w:hAnsi="Times New Roman" w:eastAsia="仿宋_GB2312" w:cs="Times New Roman"/>
              <w:b/>
              <w:bCs/>
              <w:color w:val="auto"/>
              <w:kern w:val="2"/>
              <w:sz w:val="28"/>
              <w:szCs w:val="28"/>
              <w:highlight w:val="none"/>
              <w:lang w:val="zh-CN"/>
            </w:rPr>
          </w:pPr>
          <w:r>
            <w:rPr>
              <w:rFonts w:hint="default" w:ascii="Times New Roman" w:hAnsi="Times New Roman" w:cs="Times New Roman"/>
              <w:b/>
              <w:bCs/>
              <w:sz w:val="28"/>
              <w:szCs w:val="28"/>
              <w:highlight w:val="none"/>
              <w:lang w:val="zh-CN"/>
            </w:rPr>
            <w:fldChar w:fldCharType="end"/>
          </w:r>
        </w:p>
      </w:sdtContent>
    </w:sdt>
    <w:p>
      <w:pPr>
        <w:pStyle w:val="2"/>
        <w:rPr>
          <w:sz w:val="28"/>
          <w:szCs w:val="28"/>
          <w:highlight w:val="none"/>
        </w:rPr>
      </w:pPr>
    </w:p>
    <w:p>
      <w:pPr>
        <w:spacing w:line="540" w:lineRule="exact"/>
        <w:outlineLvl w:val="0"/>
        <w:rPr>
          <w:rStyle w:val="26"/>
          <w:rFonts w:eastAsia="黑体"/>
          <w:b w:val="0"/>
          <w:spacing w:val="-4"/>
          <w:sz w:val="28"/>
          <w:szCs w:val="28"/>
          <w:highlight w:val="none"/>
        </w:rPr>
      </w:pPr>
    </w:p>
    <w:p>
      <w:pPr>
        <w:spacing w:line="540" w:lineRule="exact"/>
        <w:outlineLvl w:val="0"/>
        <w:rPr>
          <w:rStyle w:val="26"/>
          <w:rFonts w:eastAsia="黑体"/>
          <w:b w:val="0"/>
          <w:spacing w:val="-4"/>
          <w:sz w:val="28"/>
          <w:szCs w:val="28"/>
          <w:highlight w:val="none"/>
        </w:rPr>
      </w:pPr>
    </w:p>
    <w:p>
      <w:pPr>
        <w:spacing w:line="540" w:lineRule="exact"/>
        <w:outlineLvl w:val="0"/>
        <w:rPr>
          <w:rStyle w:val="26"/>
          <w:rFonts w:eastAsia="黑体"/>
          <w:b w:val="0"/>
          <w:spacing w:val="-4"/>
          <w:sz w:val="28"/>
          <w:szCs w:val="28"/>
          <w:highlight w:val="none"/>
        </w:rPr>
        <w:sectPr>
          <w:headerReference r:id="rId5" w:type="first"/>
          <w:headerReference r:id="rId4" w:type="default"/>
          <w:pgSz w:w="11906" w:h="16838"/>
          <w:pgMar w:top="1440" w:right="1558" w:bottom="1440" w:left="1757" w:header="851" w:footer="992" w:gutter="0"/>
          <w:cols w:space="425" w:num="1"/>
          <w:titlePg/>
          <w:docGrid w:type="lines" w:linePitch="312" w:charSpace="0"/>
        </w:sectPr>
      </w:pPr>
      <w:bookmarkStart w:id="1" w:name="_Toc29086"/>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2" w:name="_Toc25907"/>
      <w:bookmarkStart w:id="3" w:name="_Toc28219"/>
      <w:bookmarkStart w:id="4" w:name="_Toc15836"/>
      <w:r>
        <w:rPr>
          <w:rFonts w:hint="default" w:ascii="Times New Roman" w:hAnsi="Times New Roman" w:eastAsia="仿宋" w:cs="Times New Roman"/>
          <w:kern w:val="44"/>
          <w:sz w:val="36"/>
          <w:szCs w:val="36"/>
          <w:highlight w:val="none"/>
          <w:lang w:bidi="en-US"/>
        </w:rPr>
        <w:t>一、基本情况</w:t>
      </w:r>
      <w:bookmarkEnd w:id="0"/>
      <w:bookmarkEnd w:id="1"/>
      <w:bookmarkEnd w:id="2"/>
      <w:bookmarkEnd w:id="3"/>
      <w:bookmarkEnd w:id="4"/>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2"/>
          <w:szCs w:val="32"/>
          <w:highlight w:val="none"/>
          <w:lang w:val="en-US" w:eastAsia="zh-CN" w:bidi="en-US"/>
        </w:rPr>
      </w:pPr>
      <w:bookmarkStart w:id="5" w:name="_Toc5908"/>
      <w:bookmarkStart w:id="6" w:name="_Toc29779"/>
      <w:bookmarkStart w:id="7" w:name="_Toc26296"/>
      <w:bookmarkStart w:id="8" w:name="_Toc18589"/>
      <w:bookmarkStart w:id="9" w:name="_Toc562"/>
      <w:r>
        <w:rPr>
          <w:rFonts w:hint="default" w:ascii="Times New Roman" w:hAnsi="Times New Roman" w:eastAsia="仿宋" w:cs="Times New Roman"/>
          <w:kern w:val="44"/>
          <w:sz w:val="32"/>
          <w:szCs w:val="32"/>
          <w:highlight w:val="none"/>
          <w:lang w:val="en-US" w:eastAsia="zh-CN" w:bidi="en-US"/>
        </w:rPr>
        <w:t>（一）项目概况</w:t>
      </w:r>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档案馆经费是乌鲁木齐县档案馆电子文档数据中心建设方案。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数字化档案管理使资料能及时归档，并尽快提供利用。以组织部门为例，干部的任用、干部的提拔都需要详细准确的档案信息。然而档案数字化管理变可提供详细、即时的数据信息，为领导决策提供服务。与此同时，数字化档案管理使查询资料变得非常简单，真正让办公人员做到足不出户便可知晓天下大事。由于信息的超时空流动，数字化档案事实上成为"无墙界档案"，档案库也从文件实体的保管基本变成了提供利用方便的信息控制中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（1）增强档案原件保护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将纸制档案转变为数字化电子档案后，档案的使用更加安全。由其对历史久远的档案材料，数字化处理后无疑是对其更好的保护，另外，通过档案的数字化处理后，防止了部分档案篡改的行为。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（2）海量数据管理。满足开展纸质档案数字化加工的数据载入、每日形成的电子文件载入等提供管理和利用平台；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（3）方便利用。利用现有网络，将档案系统延伸到各机关单位档案室及每一位档案员桌面。全县各机关单位档案员都可以在自己的电脑上通过网络访问档案管理软件，满足网上查询、利用、归档操作；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（4）馆际数据交流。可以与乌鲁木齐市档案数字化档案馆实现软件内部数据互联互通，实现馆际间电子档案数据利用。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经</w:t>
      </w:r>
      <w:r>
        <w:rPr>
          <w:rFonts w:hint="eastAsia" w:ascii="Times New Roman" w:hAnsi="Times New Roman" w:eastAsia="仿宋_GB2312" w:cs="Times New Roman"/>
          <w:sz w:val="28"/>
          <w:szCs w:val="22"/>
          <w:highlight w:val="none"/>
          <w:lang w:val="en-US" w:eastAsia="zh-CN"/>
        </w:rPr>
        <w:t>县财发【2022】1</w:t>
      </w:r>
      <w:r>
        <w:rPr>
          <w:rFonts w:hint="default" w:ascii="Times New Roman" w:hAnsi="Times New Roman" w:eastAsia="仿宋_GB2312" w:cs="Times New Roman"/>
          <w:sz w:val="28"/>
          <w:szCs w:val="22"/>
          <w:highlight w:val="none"/>
          <w:lang w:val="en-US" w:eastAsia="zh-CN"/>
        </w:rPr>
        <w:t>号文件批准，项目系2022年本级资金，共安排预算</w:t>
      </w:r>
      <w:r>
        <w:rPr>
          <w:rFonts w:hint="eastAsia" w:eastAsia="仿宋_GB2312" w:cs="Times New Roman"/>
          <w:sz w:val="28"/>
          <w:szCs w:val="22"/>
          <w:highlight w:val="none"/>
          <w:lang w:val="en-US" w:eastAsia="zh-CN"/>
        </w:rPr>
        <w:t>8</w:t>
      </w:r>
      <w:r>
        <w:rPr>
          <w:rFonts w:hint="default" w:ascii="Times New Roman" w:hAnsi="Times New Roman" w:eastAsia="仿宋_GB2312" w:cs="Times New Roman"/>
          <w:sz w:val="28"/>
          <w:szCs w:val="22"/>
          <w:highlight w:val="none"/>
          <w:lang w:val="en-US" w:eastAsia="zh-CN"/>
        </w:rPr>
        <w:t>万元，于2022年年初全部预算批复项目，资金到位</w:t>
      </w:r>
      <w:r>
        <w:rPr>
          <w:rFonts w:hint="eastAsia" w:eastAsia="仿宋_GB2312" w:cs="Times New Roman"/>
          <w:sz w:val="28"/>
          <w:szCs w:val="22"/>
          <w:highlight w:val="none"/>
          <w:lang w:val="en-US" w:eastAsia="zh-CN"/>
        </w:rPr>
        <w:t>8</w:t>
      </w:r>
      <w:r>
        <w:rPr>
          <w:rFonts w:hint="default" w:ascii="Times New Roman" w:hAnsi="Times New Roman" w:eastAsia="仿宋_GB2312" w:cs="Times New Roman"/>
          <w:sz w:val="28"/>
          <w:szCs w:val="22"/>
          <w:highlight w:val="none"/>
          <w:lang w:val="en-US" w:eastAsia="zh-CN"/>
        </w:rPr>
        <w:t>万元，年底执行资金7.46万元，经费主要用于档案馆电子文档数据中心建设方面，预算执行率93.25%</w:t>
      </w:r>
      <w:r>
        <w:rPr>
          <w:rFonts w:hint="eastAsia" w:eastAsia="仿宋_GB2312" w:cs="Times New Roman"/>
          <w:sz w:val="28"/>
          <w:szCs w:val="22"/>
          <w:highlight w:val="none"/>
          <w:lang w:val="en-US" w:eastAsia="zh-CN"/>
        </w:rPr>
        <w:t>，</w:t>
      </w:r>
      <w:r>
        <w:rPr>
          <w:rFonts w:hint="default" w:ascii="Times New Roman" w:hAnsi="Times New Roman" w:eastAsia="仿宋_GB2312" w:cs="Times New Roman"/>
          <w:sz w:val="28"/>
          <w:szCs w:val="22"/>
          <w:highlight w:val="none"/>
          <w:lang w:val="en-US" w:eastAsia="zh-CN"/>
        </w:rPr>
        <w:t>年中</w:t>
      </w:r>
      <w:r>
        <w:rPr>
          <w:rFonts w:hint="eastAsia" w:ascii="Times New Roman" w:hAnsi="Times New Roman" w:eastAsia="仿宋_GB2312" w:cs="Times New Roman"/>
          <w:sz w:val="28"/>
          <w:szCs w:val="22"/>
          <w:highlight w:val="none"/>
          <w:lang w:val="en-US" w:eastAsia="zh-CN"/>
        </w:rPr>
        <w:t>未</w:t>
      </w:r>
      <w:r>
        <w:rPr>
          <w:rFonts w:hint="default" w:ascii="Times New Roman" w:hAnsi="Times New Roman" w:eastAsia="仿宋_GB2312" w:cs="Times New Roman"/>
          <w:sz w:val="28"/>
          <w:szCs w:val="22"/>
          <w:highlight w:val="none"/>
          <w:lang w:val="en-US" w:eastAsia="zh-CN"/>
        </w:rPr>
        <w:t>对资金进行调增、调减。</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2"/>
          <w:szCs w:val="32"/>
          <w:highlight w:val="none"/>
          <w:lang w:val="en-US" w:eastAsia="zh-CN" w:bidi="en-US"/>
        </w:rPr>
      </w:pPr>
      <w:bookmarkStart w:id="10" w:name="_Toc3525"/>
      <w:bookmarkStart w:id="11" w:name="_Toc14500"/>
      <w:bookmarkStart w:id="12" w:name="_Toc23691"/>
      <w:bookmarkStart w:id="13" w:name="_Toc18045"/>
      <w:bookmarkStart w:id="14" w:name="_Toc7145"/>
      <w:r>
        <w:rPr>
          <w:rFonts w:hint="default" w:ascii="Times New Roman" w:hAnsi="Times New Roman" w:eastAsia="仿宋" w:cs="Times New Roman"/>
          <w:kern w:val="44"/>
          <w:sz w:val="32"/>
          <w:szCs w:val="32"/>
          <w:highlight w:val="none"/>
          <w:lang w:val="en-US" w:eastAsia="zh-CN" w:bidi="en-US"/>
        </w:rPr>
        <w:t>（二）项目绩效目标</w:t>
      </w:r>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bookmarkStart w:id="15" w:name="_Toc12475"/>
      <w:r>
        <w:rPr>
          <w:rFonts w:hint="default" w:ascii="Times New Roman" w:hAnsi="Times New Roman" w:eastAsia="仿宋_GB2312" w:cs="Times New Roman"/>
          <w:sz w:val="28"/>
          <w:szCs w:val="22"/>
          <w:highlight w:val="none"/>
          <w:lang w:val="en-US" w:eastAsia="zh-CN"/>
        </w:rPr>
        <w:t>本项目依据《中共中央 国务院关于全面实施预算绩效管理的意见》（中发〔2018〕34号）、《关于印发&lt;乌鲁木齐市本级部门预算绩效目标管理暂行办法&gt;的通知》（乌财预</w:t>
      </w:r>
      <w:bookmarkStart w:id="16" w:name="_Hlk67566397"/>
      <w:r>
        <w:rPr>
          <w:rFonts w:hint="default" w:ascii="Times New Roman" w:hAnsi="Times New Roman" w:eastAsia="仿宋_GB2312" w:cs="Times New Roman"/>
          <w:sz w:val="28"/>
          <w:szCs w:val="22"/>
          <w:highlight w:val="none"/>
          <w:lang w:val="en-US" w:eastAsia="zh-CN"/>
        </w:rPr>
        <w:t>〔2018〕56号</w:t>
      </w:r>
      <w:bookmarkEnd w:id="16"/>
      <w:r>
        <w:rPr>
          <w:rFonts w:hint="default" w:ascii="Times New Roman" w:hAnsi="Times New Roman" w:eastAsia="仿宋_GB2312" w:cs="Times New Roman"/>
          <w:sz w:val="28"/>
          <w:szCs w:val="22"/>
          <w:highlight w:val="none"/>
          <w:lang w:val="en-US" w:eastAsia="zh-CN"/>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项目年度总体目标：通过档案馆电子文档数据中心建设一方面实现了规范操作，规范档案业务的指导，理顺业务流程，操作界面和使用性能上要达到标准化、人性化，满足各单位档案员归档要求。另一方面数据安全管理。数据保管和利用安全通过权限细化设定安全控制，对系统操作日志和用户上机操作信息完整记录，保障系统与数据的安全。</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6"/>
          <w:szCs w:val="36"/>
          <w:highlight w:val="none"/>
          <w:lang w:bidi="en-US"/>
        </w:rPr>
      </w:pPr>
      <w:bookmarkStart w:id="17" w:name="_Toc1310"/>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18" w:name="_Toc23939"/>
      <w:bookmarkStart w:id="19" w:name="_Toc2568"/>
      <w:bookmarkStart w:id="20" w:name="_Toc20606"/>
      <w:r>
        <w:rPr>
          <w:rFonts w:hint="default" w:ascii="Times New Roman" w:hAnsi="Times New Roman" w:eastAsia="仿宋" w:cs="Times New Roman"/>
          <w:kern w:val="44"/>
          <w:sz w:val="36"/>
          <w:szCs w:val="36"/>
          <w:highlight w:val="none"/>
          <w:lang w:bidi="en-US"/>
        </w:rPr>
        <w:t>二、绩效评价工作开展情况</w:t>
      </w:r>
      <w:bookmarkEnd w:id="15"/>
      <w:bookmarkEnd w:id="17"/>
      <w:bookmarkEnd w:id="18"/>
      <w:bookmarkEnd w:id="19"/>
      <w:bookmarkEnd w:id="20"/>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2"/>
          <w:szCs w:val="32"/>
          <w:highlight w:val="none"/>
          <w:lang w:val="en-US" w:eastAsia="zh-CN" w:bidi="en-US"/>
        </w:rPr>
      </w:pPr>
      <w:bookmarkStart w:id="21" w:name="_Toc24231"/>
      <w:bookmarkStart w:id="22" w:name="_Toc4405"/>
      <w:bookmarkStart w:id="23" w:name="_Toc26498"/>
      <w:bookmarkStart w:id="24" w:name="_Toc6747"/>
      <w:bookmarkStart w:id="25" w:name="_Toc9843"/>
      <w:r>
        <w:rPr>
          <w:rFonts w:hint="default" w:ascii="Times New Roman" w:hAnsi="Times New Roman" w:eastAsia="仿宋" w:cs="Times New Roman"/>
          <w:kern w:val="44"/>
          <w:sz w:val="32"/>
          <w:szCs w:val="32"/>
          <w:highlight w:val="none"/>
          <w:lang w:val="en-US" w:eastAsia="zh-CN" w:bidi="en-US"/>
        </w:rPr>
        <w:t>（一）绩效评价目的、对象和范围</w:t>
      </w:r>
      <w:bookmarkEnd w:id="21"/>
      <w:bookmarkEnd w:id="22"/>
      <w:bookmarkEnd w:id="23"/>
      <w:bookmarkEnd w:id="24"/>
      <w:bookmarkEnd w:id="25"/>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bidi="en-US"/>
        </w:rPr>
      </w:pPr>
      <w:bookmarkStart w:id="26" w:name="_Toc31845"/>
      <w:bookmarkStart w:id="27" w:name="_Toc4028"/>
      <w:bookmarkStart w:id="28" w:name="_Toc5710"/>
      <w:bookmarkStart w:id="29" w:name="_Toc10161"/>
      <w:bookmarkStart w:id="30" w:name="_Toc8242"/>
      <w:bookmarkStart w:id="31" w:name="_Toc29873"/>
      <w:r>
        <w:rPr>
          <w:rFonts w:hint="default" w:ascii="Times New Roman" w:hAnsi="Times New Roman" w:eastAsia="仿宋" w:cs="Times New Roman"/>
          <w:kern w:val="44"/>
          <w:sz w:val="32"/>
          <w:szCs w:val="32"/>
          <w:highlight w:val="none"/>
          <w:lang w:bidi="en-US"/>
        </w:rPr>
        <w:t>1.评价目的</w:t>
      </w:r>
      <w:bookmarkEnd w:id="26"/>
      <w:bookmarkEnd w:id="27"/>
      <w:bookmarkEnd w:id="28"/>
      <w:bookmarkEnd w:id="29"/>
      <w:bookmarkEnd w:id="30"/>
      <w:bookmarkEnd w:id="31"/>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bidi="en-US"/>
        </w:rPr>
      </w:pPr>
      <w:bookmarkStart w:id="32" w:name="_Toc23095"/>
      <w:bookmarkStart w:id="33" w:name="_Toc32235"/>
      <w:bookmarkStart w:id="34" w:name="_Toc13715"/>
      <w:bookmarkStart w:id="35" w:name="_Toc11863"/>
      <w:bookmarkStart w:id="36" w:name="_Toc27299"/>
      <w:bookmarkStart w:id="37" w:name="_Toc27308"/>
      <w:r>
        <w:rPr>
          <w:rFonts w:hint="default" w:ascii="Times New Roman" w:hAnsi="Times New Roman" w:eastAsia="仿宋" w:cs="Times New Roman"/>
          <w:kern w:val="44"/>
          <w:sz w:val="32"/>
          <w:szCs w:val="32"/>
          <w:highlight w:val="none"/>
          <w:lang w:bidi="en-US"/>
        </w:rPr>
        <w:t>2.评价对象和范围</w:t>
      </w:r>
      <w:bookmarkEnd w:id="32"/>
      <w:bookmarkEnd w:id="33"/>
      <w:bookmarkEnd w:id="34"/>
      <w:bookmarkEnd w:id="35"/>
      <w:bookmarkEnd w:id="36"/>
      <w:bookmarkEnd w:id="37"/>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（1）绩效评价的对象：档案馆经费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（2）绩效评价范围：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1.项目范围：档案馆经费的完成情况、资金投入的运行情况、项目实施后产生的绩效及影响效果。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2.时间范围：202</w:t>
      </w:r>
      <w:r>
        <w:rPr>
          <w:rFonts w:hint="eastAsia" w:ascii="Times New Roman" w:hAnsi="Times New Roman" w:eastAsia="仿宋_GB2312" w:cs="Times New Roman"/>
          <w:sz w:val="28"/>
          <w:szCs w:val="22"/>
          <w:highlight w:val="none"/>
          <w:lang w:val="en-US" w:eastAsia="zh-CN"/>
        </w:rPr>
        <w:t>2</w:t>
      </w:r>
      <w:r>
        <w:rPr>
          <w:rFonts w:hint="default" w:ascii="Times New Roman" w:hAnsi="Times New Roman" w:eastAsia="仿宋_GB2312" w:cs="Times New Roman"/>
          <w:sz w:val="28"/>
          <w:szCs w:val="22"/>
          <w:highlight w:val="none"/>
          <w:lang w:val="en-US" w:eastAsia="zh-CN"/>
        </w:rPr>
        <w:t>年1月1日至202</w:t>
      </w:r>
      <w:r>
        <w:rPr>
          <w:rFonts w:hint="eastAsia" w:ascii="Times New Roman" w:hAnsi="Times New Roman" w:eastAsia="仿宋_GB2312" w:cs="Times New Roman"/>
          <w:sz w:val="28"/>
          <w:szCs w:val="22"/>
          <w:highlight w:val="none"/>
          <w:lang w:val="en-US" w:eastAsia="zh-CN"/>
        </w:rPr>
        <w:t>2</w:t>
      </w:r>
      <w:r>
        <w:rPr>
          <w:rFonts w:hint="default" w:ascii="Times New Roman" w:hAnsi="Times New Roman" w:eastAsia="仿宋_GB2312" w:cs="Times New Roman"/>
          <w:sz w:val="28"/>
          <w:szCs w:val="22"/>
          <w:highlight w:val="none"/>
          <w:lang w:val="en-US" w:eastAsia="zh-CN"/>
        </w:rPr>
        <w:t>年12月31日。</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2"/>
          <w:szCs w:val="32"/>
          <w:highlight w:val="none"/>
          <w:lang w:val="en-US" w:eastAsia="zh-CN" w:bidi="en-US"/>
        </w:rPr>
      </w:pPr>
      <w:bookmarkStart w:id="38" w:name="_Toc23953"/>
      <w:bookmarkStart w:id="39" w:name="_Toc32573"/>
      <w:bookmarkStart w:id="40" w:name="_Toc16261"/>
      <w:bookmarkStart w:id="41" w:name="_Toc27372"/>
      <w:bookmarkStart w:id="42" w:name="_Toc12017"/>
      <w:bookmarkStart w:id="43" w:name="_Toc356"/>
      <w:r>
        <w:rPr>
          <w:rFonts w:hint="default" w:ascii="Times New Roman" w:hAnsi="Times New Roman" w:eastAsia="仿宋" w:cs="Times New Roman"/>
          <w:kern w:val="44"/>
          <w:sz w:val="32"/>
          <w:szCs w:val="32"/>
          <w:highlight w:val="none"/>
          <w:lang w:val="en-US" w:eastAsia="zh-CN" w:bidi="en-US"/>
        </w:rPr>
        <w:t>（二）绩效评价原则、指标体系、方法、标准</w:t>
      </w:r>
      <w:bookmarkEnd w:id="38"/>
      <w:bookmarkEnd w:id="39"/>
      <w:bookmarkEnd w:id="40"/>
      <w:bookmarkEnd w:id="41"/>
      <w:bookmarkEnd w:id="42"/>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bidi="en-US"/>
        </w:rPr>
      </w:pPr>
      <w:bookmarkStart w:id="44" w:name="_Toc2482"/>
      <w:bookmarkStart w:id="45" w:name="_Toc4079"/>
      <w:bookmarkStart w:id="46" w:name="_Toc27781"/>
      <w:bookmarkStart w:id="47" w:name="_Toc14841"/>
      <w:bookmarkStart w:id="48" w:name="_Toc8732"/>
      <w:r>
        <w:rPr>
          <w:rFonts w:hint="default" w:ascii="Times New Roman" w:hAnsi="Times New Roman" w:eastAsia="仿宋" w:cs="Times New Roman"/>
          <w:kern w:val="44"/>
          <w:sz w:val="32"/>
          <w:szCs w:val="32"/>
          <w:highlight w:val="none"/>
          <w:lang w:bidi="en-US"/>
        </w:rPr>
        <w:t>1.评价原则</w:t>
      </w:r>
      <w:bookmarkEnd w:id="43"/>
      <w:bookmarkEnd w:id="44"/>
      <w:bookmarkEnd w:id="45"/>
      <w:bookmarkEnd w:id="46"/>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（1）科学规范原则：绩效评价应当严格执行规定的程序，按照科学可行的要求，采用定量与定性分析相结合的方法。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（3）分级分类原则：根据评价对象特点分类组织实施。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（4）绩效相关原则：绩效评价应当针对具体支出及其产出绩效进行，评价结果应当清晰反映支出和产出绩效之间的紧密对应关系。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（1）在数据收集时，采取客观数据，并结合问卷调查结果，以保证各项指标的真实性。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（3）绩效评价报告应当简明扼要，除了对绩效评价的过程、结果描述外，还应总结经验，指出问题，并就项目实施过程中所存在的问题提出可操作性改进建议。</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val="en-US" w:eastAsia="zh-CN" w:bidi="en-US"/>
        </w:rPr>
      </w:pPr>
      <w:bookmarkStart w:id="49" w:name="_Toc17351"/>
      <w:bookmarkStart w:id="50" w:name="_Toc11512"/>
      <w:bookmarkStart w:id="51" w:name="_Toc8651"/>
      <w:bookmarkStart w:id="52" w:name="_Toc6476"/>
      <w:bookmarkStart w:id="53" w:name="_Toc9025"/>
      <w:bookmarkStart w:id="54" w:name="_Toc18738"/>
      <w:r>
        <w:rPr>
          <w:rFonts w:hint="default" w:ascii="Times New Roman" w:hAnsi="Times New Roman" w:eastAsia="仿宋" w:cs="Times New Roman"/>
          <w:kern w:val="44"/>
          <w:sz w:val="32"/>
          <w:szCs w:val="32"/>
          <w:highlight w:val="none"/>
          <w:lang w:val="en-US" w:eastAsia="zh-CN" w:bidi="en-US"/>
        </w:rPr>
        <w:t>2.评价指标体系</w:t>
      </w:r>
      <w:bookmarkEnd w:id="49"/>
      <w:bookmarkEnd w:id="50"/>
      <w:bookmarkEnd w:id="51"/>
      <w:bookmarkEnd w:id="52"/>
      <w:bookmarkEnd w:id="53"/>
      <w:bookmarkEnd w:id="5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绩效评价指标体系作为衡量绩效目标实现程度的考核工具，一般遵循以下原则：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（1）相关性原则：绩效评价指标应当与绩效目标有直接的联系，能够恰当反映目标的实现程度。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（2）重要性原则：应当优先使用最具评价对象代表性、最能反映评价要求的核心指标。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（3）可比性原则：对同类评价对象要设定共性的绩效评价指标，以便于评价结果可以相互比较。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（4）系统性原则：绩效评价指标的设置应当将定量指标与定性指标相结合，能系统反映财政支出所产生的社会效益、经济效益和可持续影响等。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（5）经济性原则：绩效评价指标设计应当通俗易懂、简便易行，数据的获得应当考虑现实条件和可操作性，符合成本效益原则。</w:t>
      </w:r>
    </w:p>
    <w:p>
      <w:pPr>
        <w:spacing w:line="360" w:lineRule="auto"/>
        <w:ind w:firstLine="602" w:firstLineChars="200"/>
        <w:outlineLvl w:val="2"/>
        <w:rPr>
          <w:rFonts w:eastAsia="仿宋"/>
          <w:b/>
          <w:bCs/>
          <w:sz w:val="30"/>
          <w:szCs w:val="30"/>
          <w:highlight w:val="none"/>
        </w:rPr>
        <w:sectPr>
          <w:footerReference r:id="rId6" w:type="default"/>
          <w:pgSz w:w="11906" w:h="16838"/>
          <w:pgMar w:top="1440" w:right="1558" w:bottom="1440" w:left="1757" w:header="851" w:footer="992" w:gutter="0"/>
          <w:pgNumType w:start="1"/>
          <w:cols w:space="425" w:num="1"/>
          <w:titlePg/>
          <w:docGrid w:type="lines" w:linePitch="312" w:charSpace="0"/>
        </w:sectPr>
      </w:pPr>
      <w:bookmarkStart w:id="55" w:name="_Toc25332"/>
      <w:bookmarkStart w:id="56" w:name="_Toc11673"/>
      <w:bookmarkStart w:id="57" w:name="_Toc7097"/>
      <w:bookmarkStart w:id="58" w:name="_Hlk67586038"/>
    </w:p>
    <w:p>
      <w:pPr>
        <w:spacing w:line="360" w:lineRule="auto"/>
        <w:ind w:firstLine="0" w:firstLineChars="0"/>
        <w:jc w:val="cente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t xml:space="preserve"> 项目支出绩效评价指标体系</w:t>
      </w:r>
    </w:p>
    <w:tbl>
      <w:tblPr>
        <w:tblStyle w:val="24"/>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DD9C4"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DD9C4"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DD9C4"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DD9C4"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DD9C4"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4"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51"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维护档案数量</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购买维护耗材次数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质量检测合格率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耗材验收合格率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维护任务按时完成率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维护耗材经费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档案馆日常运行经费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提供高效、便捷的办公系统支持</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积极改善档案保管保护</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91"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使用人员满意度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pStyle w:val="2"/>
        <w:rPr>
          <w:rFonts w:eastAsia="仿宋"/>
          <w:b/>
          <w:bCs/>
          <w:sz w:val="30"/>
          <w:szCs w:val="30"/>
          <w:highlight w:val="none"/>
        </w:rPr>
        <w:sectPr>
          <w:pgSz w:w="16838" w:h="11906" w:orient="landscape"/>
          <w:pgMar w:top="1757" w:right="1440" w:bottom="1558" w:left="1440" w:header="851" w:footer="992" w:gutter="0"/>
          <w:pgNumType w:start="1"/>
          <w:cols w:space="425" w:num="1"/>
          <w:titlePg/>
          <w:docGrid w:type="lines" w:linePitch="312" w:charSpace="0"/>
        </w:sectPr>
      </w:pP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val="en-US" w:eastAsia="zh-CN" w:bidi="en-US"/>
        </w:rPr>
      </w:pPr>
      <w:bookmarkStart w:id="59" w:name="_Toc29614"/>
      <w:bookmarkStart w:id="60" w:name="_Toc18264"/>
      <w:bookmarkStart w:id="61" w:name="_Toc9950"/>
      <w:r>
        <w:rPr>
          <w:rFonts w:hint="default" w:ascii="Times New Roman" w:hAnsi="Times New Roman" w:eastAsia="仿宋" w:cs="Times New Roman"/>
          <w:kern w:val="44"/>
          <w:sz w:val="32"/>
          <w:szCs w:val="32"/>
          <w:highlight w:val="none"/>
          <w:lang w:val="en-US" w:eastAsia="zh-CN" w:bidi="en-US"/>
        </w:rPr>
        <w:t>3.评价方法</w:t>
      </w:r>
      <w:bookmarkEnd w:id="55"/>
      <w:bookmarkEnd w:id="56"/>
      <w:bookmarkEnd w:id="57"/>
      <w:bookmarkEnd w:id="59"/>
      <w:bookmarkEnd w:id="60"/>
      <w:bookmarkEnd w:id="61"/>
    </w:p>
    <w:bookmarkEnd w:id="58"/>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《关于印发&lt;项目支出绩效评价管理办法&gt;的通知》（财预〔2020〕10号）文件指出部门评价的方法主要包括成本效益分析法、比较法、因素分析法、最低成本法、公众评判法、标杆管理法等。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（1）成本效益分析法。是指将投入与产出、效益进行关联性分析的方法。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（2）比较法。是指将实施情况与绩效目标、历史情况、不同部门和地区同类支出情况进行比较的方法。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（3）因素分析法。是指综合分析影响绩效目标实现、实施效果的内外部因素的方法。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（4）最低成本法。是指在绩效目标确定的前提下，成本最小者为优的方法。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（5）公众评判法。是指通过专家评估、公众问卷及抽样调查等方式进行评判的方法。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（6）标杆管理法。是指以国内外同行业中较高的绩效水平为标杆进行评判的方法。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（7）其他评价方法。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eastAsia="仿宋"/>
          <w:sz w:val="30"/>
          <w:szCs w:val="30"/>
          <w:highlight w:val="none"/>
        </w:rPr>
      </w:pPr>
      <w:r>
        <w:rPr>
          <w:rFonts w:hint="default" w:ascii="Times New Roman" w:hAnsi="Times New Roman" w:eastAsia="仿宋_GB2312" w:cs="Times New Roman"/>
          <w:sz w:val="28"/>
          <w:szCs w:val="22"/>
          <w:highlight w:val="none"/>
          <w:lang w:val="en-US" w:eastAsia="zh-CN"/>
        </w:rPr>
        <w:t>根据档案馆经费的特点，本次评价主要采用比较法，2021年</w:t>
      </w:r>
      <w:r>
        <w:rPr>
          <w:rFonts w:hint="eastAsia" w:ascii="Times New Roman" w:hAnsi="Times New Roman" w:eastAsia="仿宋_GB2312" w:cs="Times New Roman"/>
          <w:sz w:val="28"/>
          <w:szCs w:val="22"/>
          <w:highlight w:val="none"/>
          <w:lang w:val="en-US" w:eastAsia="zh-CN"/>
        </w:rPr>
        <w:t>该</w:t>
      </w:r>
      <w:r>
        <w:rPr>
          <w:rFonts w:hint="default" w:ascii="Times New Roman" w:hAnsi="Times New Roman" w:eastAsia="仿宋_GB2312" w:cs="Times New Roman"/>
          <w:sz w:val="28"/>
          <w:szCs w:val="22"/>
          <w:highlight w:val="none"/>
          <w:lang w:val="en-US" w:eastAsia="zh-CN"/>
        </w:rPr>
        <w:t>项目预算</w:t>
      </w:r>
      <w:r>
        <w:rPr>
          <w:rFonts w:hint="eastAsia" w:ascii="Times New Roman" w:hAnsi="Times New Roman" w:eastAsia="仿宋_GB2312" w:cs="Times New Roman"/>
          <w:sz w:val="28"/>
          <w:szCs w:val="22"/>
          <w:highlight w:val="none"/>
          <w:lang w:val="en-US" w:eastAsia="zh-CN"/>
        </w:rPr>
        <w:t>20</w:t>
      </w:r>
      <w:r>
        <w:rPr>
          <w:rFonts w:hint="default" w:ascii="Times New Roman" w:hAnsi="Times New Roman" w:eastAsia="仿宋_GB2312" w:cs="Times New Roman"/>
          <w:sz w:val="28"/>
          <w:szCs w:val="22"/>
          <w:highlight w:val="none"/>
          <w:lang w:val="en-US" w:eastAsia="zh-CN"/>
        </w:rPr>
        <w:t>万元，同比减少</w:t>
      </w:r>
      <w:r>
        <w:rPr>
          <w:rFonts w:hint="eastAsia" w:ascii="Times New Roman" w:hAnsi="Times New Roman" w:eastAsia="仿宋_GB2312" w:cs="Times New Roman"/>
          <w:sz w:val="28"/>
          <w:szCs w:val="22"/>
          <w:highlight w:val="none"/>
          <w:lang w:val="en-US" w:eastAsia="zh-CN"/>
        </w:rPr>
        <w:t>12</w:t>
      </w:r>
      <w:r>
        <w:rPr>
          <w:rFonts w:hint="default" w:ascii="Times New Roman" w:hAnsi="Times New Roman" w:eastAsia="仿宋_GB2312" w:cs="Times New Roman"/>
          <w:sz w:val="28"/>
          <w:szCs w:val="22"/>
          <w:highlight w:val="none"/>
          <w:lang w:val="en-US" w:eastAsia="zh-CN"/>
        </w:rPr>
        <w:t>万元；执行</w:t>
      </w:r>
      <w:r>
        <w:rPr>
          <w:rFonts w:hint="eastAsia" w:ascii="Times New Roman" w:hAnsi="Times New Roman" w:eastAsia="仿宋_GB2312" w:cs="Times New Roman"/>
          <w:sz w:val="28"/>
          <w:szCs w:val="22"/>
          <w:highlight w:val="none"/>
          <w:lang w:val="en-US" w:eastAsia="zh-CN"/>
        </w:rPr>
        <w:t>15.20</w:t>
      </w:r>
      <w:r>
        <w:rPr>
          <w:rFonts w:hint="default" w:ascii="Times New Roman" w:hAnsi="Times New Roman" w:eastAsia="仿宋_GB2312" w:cs="Times New Roman"/>
          <w:sz w:val="28"/>
          <w:szCs w:val="22"/>
          <w:highlight w:val="none"/>
          <w:lang w:val="en-US" w:eastAsia="zh-CN"/>
        </w:rPr>
        <w:t>万元，同比减少</w:t>
      </w:r>
      <w:r>
        <w:rPr>
          <w:rFonts w:hint="eastAsia" w:ascii="Times New Roman" w:hAnsi="Times New Roman" w:eastAsia="仿宋_GB2312" w:cs="Times New Roman"/>
          <w:sz w:val="28"/>
          <w:szCs w:val="22"/>
          <w:highlight w:val="none"/>
          <w:lang w:val="en-US" w:eastAsia="zh-CN"/>
        </w:rPr>
        <w:t>7.74</w:t>
      </w:r>
      <w:r>
        <w:rPr>
          <w:rFonts w:hint="default" w:ascii="Times New Roman" w:hAnsi="Times New Roman" w:eastAsia="仿宋_GB2312" w:cs="Times New Roman"/>
          <w:sz w:val="28"/>
          <w:szCs w:val="22"/>
          <w:highlight w:val="none"/>
          <w:lang w:val="en-US" w:eastAsia="zh-CN"/>
        </w:rPr>
        <w:t>万元。对项目总预算和明细预算的内容、标准、计划是否经济合理进行深入分析，以考察实际产出和效益是否达到预期。</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val="en-US" w:eastAsia="zh-CN" w:bidi="en-US"/>
        </w:rPr>
      </w:pPr>
      <w:bookmarkStart w:id="62" w:name="_Toc7224"/>
      <w:bookmarkStart w:id="63" w:name="_Toc12404"/>
      <w:bookmarkStart w:id="64" w:name="_Toc2058"/>
      <w:bookmarkStart w:id="65" w:name="_Toc6694"/>
      <w:bookmarkStart w:id="66" w:name="_Toc17391"/>
      <w:bookmarkStart w:id="67" w:name="_Toc32283"/>
      <w:r>
        <w:rPr>
          <w:rFonts w:hint="default" w:ascii="Times New Roman" w:hAnsi="Times New Roman" w:eastAsia="仿宋" w:cs="Times New Roman"/>
          <w:kern w:val="44"/>
          <w:sz w:val="32"/>
          <w:szCs w:val="32"/>
          <w:highlight w:val="none"/>
          <w:lang w:val="en-US" w:eastAsia="zh-CN" w:bidi="en-US"/>
        </w:rPr>
        <w:t>4.评价标准</w:t>
      </w:r>
      <w:bookmarkEnd w:id="62"/>
      <w:bookmarkEnd w:id="63"/>
      <w:bookmarkEnd w:id="64"/>
      <w:bookmarkEnd w:id="65"/>
      <w:bookmarkEnd w:id="66"/>
      <w:bookmarkEnd w:id="67"/>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绩效评价标准主要包括计划标准、行业标准、历史标准等，用于对绩效指标完成情况进行比较。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（3）历史标准。指参照历史数据制定的评价标准，为体现绩效改进的原则，在可实现的条件下应当确定相对较高的评价标准。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在上述评价标准的基础上，本次评价依据以下文件为重要指导和准绳：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·《中共中央国务院关于全面实施预算绩效管理的意见》（中发〔2018〕34号）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·《关于印发&lt;乌鲁木齐市本级部门预算绩效目标管理暂行办法&gt;的通知》（乌财预〔2018〕56号）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·《关于做好2019年部门预算项目支出绩效目标管理有关事宜的通知》（乌财预〔2018〕76号）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·《项目支出绩效评价管理办法》（财预〔2020〕10号）。</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val="en-US" w:eastAsia="zh-CN" w:bidi="en-US"/>
        </w:rPr>
      </w:pPr>
      <w:bookmarkStart w:id="68" w:name="_Toc2571"/>
      <w:bookmarkStart w:id="69" w:name="_Toc5955"/>
      <w:bookmarkStart w:id="70" w:name="_Toc20644"/>
      <w:bookmarkStart w:id="71" w:name="_Toc31022"/>
      <w:bookmarkStart w:id="72" w:name="_Toc29395"/>
      <w:r>
        <w:rPr>
          <w:rFonts w:hint="default" w:ascii="Times New Roman" w:hAnsi="Times New Roman" w:eastAsia="仿宋" w:cs="Times New Roman"/>
          <w:kern w:val="44"/>
          <w:sz w:val="32"/>
          <w:szCs w:val="32"/>
          <w:highlight w:val="none"/>
          <w:lang w:val="en-US" w:eastAsia="zh-CN" w:bidi="en-US"/>
        </w:rPr>
        <w:t>（三）绩效评价工作过程</w:t>
      </w:r>
      <w:bookmarkEnd w:id="68"/>
      <w:bookmarkEnd w:id="69"/>
      <w:bookmarkEnd w:id="70"/>
      <w:bookmarkEnd w:id="71"/>
      <w:bookmarkEnd w:id="72"/>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bookmarkStart w:id="73" w:name="_Toc26690"/>
      <w:bookmarkStart w:id="74" w:name="_Toc23068"/>
      <w:bookmarkStart w:id="75" w:name="_Toc15166"/>
      <w:bookmarkStart w:id="76" w:name="_Toc67911609"/>
      <w:r>
        <w:rPr>
          <w:rFonts w:hint="default" w:ascii="Times New Roman" w:hAnsi="Times New Roman" w:eastAsia="仿宋_GB2312" w:cs="Times New Roman"/>
          <w:sz w:val="28"/>
          <w:szCs w:val="22"/>
          <w:highlight w:val="none"/>
          <w:lang w:val="en-US" w:eastAsia="zh-C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Fonts w:hint="default" w:ascii="Times New Roman" w:hAnsi="Times New Roman" w:eastAsia="仿宋_GB2312" w:cs="Times New Roman"/>
          <w:sz w:val="28"/>
          <w:szCs w:val="22"/>
          <w:highlight w:val="none"/>
          <w:lang w:val="en-US" w:eastAsia="zh-CN"/>
        </w:rPr>
        <w:footnoteReference w:id="0"/>
      </w:r>
      <w:r>
        <w:rPr>
          <w:rFonts w:hint="default" w:ascii="Times New Roman" w:hAnsi="Times New Roman" w:eastAsia="仿宋_GB2312" w:cs="Times New Roman"/>
          <w:sz w:val="28"/>
          <w:szCs w:val="22"/>
          <w:highlight w:val="none"/>
          <w:lang w:val="en-US" w:eastAsia="zh-CN"/>
        </w:rPr>
        <w:t>、材料审核分析、现场核查评价、综合分析评价及报告撰写，评价项目实施情况，展现资金使用效益。</w:t>
      </w:r>
    </w:p>
    <w:p>
      <w:pPr>
        <w:spacing w:line="540" w:lineRule="exact"/>
        <w:outlineLvl w:val="0"/>
        <w:rPr>
          <w:rStyle w:val="26"/>
          <w:rFonts w:eastAsia="黑体"/>
          <w:b w:val="0"/>
          <w:spacing w:val="-4"/>
          <w:sz w:val="32"/>
          <w:szCs w:val="32"/>
          <w:highlight w:val="none"/>
        </w:rPr>
      </w:pP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77" w:name="_Toc30578"/>
      <w:bookmarkStart w:id="78" w:name="_Toc26432"/>
      <w:bookmarkStart w:id="79" w:name="_Toc20631"/>
      <w:r>
        <w:rPr>
          <w:rFonts w:hint="default" w:ascii="Times New Roman" w:hAnsi="Times New Roman" w:eastAsia="仿宋" w:cs="Times New Roman"/>
          <w:kern w:val="44"/>
          <w:sz w:val="36"/>
          <w:szCs w:val="36"/>
          <w:highlight w:val="none"/>
          <w:lang w:bidi="en-US"/>
        </w:rPr>
        <w:t>三、综合评价情况及评价结论</w:t>
      </w:r>
      <w:bookmarkEnd w:id="73"/>
      <w:bookmarkEnd w:id="74"/>
      <w:bookmarkEnd w:id="77"/>
      <w:bookmarkEnd w:id="78"/>
      <w:bookmarkEnd w:id="79"/>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val="en-US" w:eastAsia="zh-CN" w:bidi="en-US"/>
        </w:rPr>
      </w:pPr>
      <w:bookmarkStart w:id="80" w:name="_Toc15460"/>
      <w:bookmarkStart w:id="81" w:name="_Toc10774"/>
      <w:bookmarkStart w:id="82" w:name="_Toc5393"/>
      <w:bookmarkStart w:id="83" w:name="_Toc3206"/>
      <w:bookmarkStart w:id="84" w:name="_Toc8599"/>
      <w:r>
        <w:rPr>
          <w:rFonts w:hint="default" w:ascii="Times New Roman" w:hAnsi="Times New Roman" w:eastAsia="仿宋" w:cs="Times New Roman"/>
          <w:kern w:val="44"/>
          <w:sz w:val="32"/>
          <w:szCs w:val="32"/>
          <w:highlight w:val="none"/>
          <w:lang w:val="en-US" w:eastAsia="zh-CN" w:bidi="en-US"/>
        </w:rPr>
        <w:t>（一）评价结论</w:t>
      </w:r>
      <w:bookmarkEnd w:id="75"/>
      <w:bookmarkEnd w:id="76"/>
      <w:bookmarkEnd w:id="80"/>
      <w:bookmarkEnd w:id="81"/>
      <w:bookmarkEnd w:id="82"/>
      <w:bookmarkEnd w:id="83"/>
      <w:bookmarkEnd w:id="8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default" w:ascii="Times New Roman" w:hAnsi="Times New Roman" w:eastAsia="仿宋_GB2312" w:cs="Times New Roman"/>
          <w:sz w:val="28"/>
          <w:szCs w:val="22"/>
          <w:highlight w:val="none"/>
          <w:lang w:val="en-US" w:eastAsia="zh-CN"/>
        </w:rPr>
        <w:t>结合项目特点，制定符合项目实际的绩效评价指标体系及评分标准，通过数据采集、问卷调查及访谈等形式，对202</w:t>
      </w:r>
      <w:r>
        <w:rPr>
          <w:rFonts w:hint="eastAsia" w:ascii="Times New Roman" w:hAnsi="Times New Roman" w:eastAsia="仿宋_GB2312" w:cs="Times New Roman"/>
          <w:sz w:val="28"/>
          <w:szCs w:val="22"/>
          <w:highlight w:val="none"/>
          <w:lang w:val="en-US" w:eastAsia="zh-CN"/>
        </w:rPr>
        <w:t>2</w:t>
      </w:r>
      <w:r>
        <w:rPr>
          <w:rFonts w:hint="default" w:ascii="Times New Roman" w:hAnsi="Times New Roman" w:eastAsia="仿宋_GB2312" w:cs="Times New Roman"/>
          <w:sz w:val="28"/>
          <w:szCs w:val="22"/>
          <w:highlight w:val="none"/>
          <w:lang w:val="en-US" w:eastAsia="zh-CN"/>
        </w:rPr>
        <w:t>年档案馆经费</w:t>
      </w:r>
      <w:r>
        <w:rPr>
          <w:rFonts w:hint="eastAsia" w:ascii="Times New Roman" w:hAnsi="Times New Roman" w:eastAsia="仿宋_GB2312" w:cs="Times New Roman"/>
          <w:sz w:val="28"/>
          <w:szCs w:val="22"/>
          <w:highlight w:val="none"/>
          <w:lang w:val="en-US" w:eastAsia="zh-CN"/>
        </w:rPr>
        <w:t>项目</w:t>
      </w:r>
      <w:r>
        <w:rPr>
          <w:rFonts w:hint="default" w:ascii="Times New Roman" w:hAnsi="Times New Roman" w:eastAsia="仿宋_GB2312" w:cs="Times New Roman"/>
          <w:sz w:val="28"/>
          <w:szCs w:val="22"/>
          <w:highlight w:val="none"/>
          <w:lang w:val="en-US" w:eastAsia="zh-CN"/>
        </w:rPr>
        <w:t>进行客观评价，最终评分结果为：总分为95.66分，绩效评级为“优”，项目各部分权重和绩效分值如表</w:t>
      </w:r>
      <w:r>
        <w:rPr>
          <w:rFonts w:hint="eastAsia" w:ascii="Times New Roman" w:hAnsi="Times New Roman" w:eastAsia="仿宋_GB2312" w:cs="Times New Roman"/>
          <w:sz w:val="28"/>
          <w:szCs w:val="22"/>
          <w:highlight w:val="none"/>
          <w:lang w:val="en-US" w:eastAsia="zh-CN"/>
        </w:rPr>
        <w:t>1</w:t>
      </w:r>
      <w:r>
        <w:rPr>
          <w:rFonts w:hint="default" w:ascii="Times New Roman" w:hAnsi="Times New Roman" w:eastAsia="仿宋_GB2312" w:cs="Times New Roman"/>
          <w:sz w:val="28"/>
          <w:szCs w:val="22"/>
          <w:highlight w:val="none"/>
          <w:lang w:val="en-US" w:eastAsia="zh-CN"/>
        </w:rPr>
        <w:t>-1所示：</w:t>
      </w:r>
    </w:p>
    <w:p>
      <w:pPr>
        <w:spacing w:line="360" w:lineRule="auto"/>
        <w:ind w:firstLine="0" w:firstLineChars="0"/>
        <w:jc w:val="center"/>
        <w:rPr>
          <w:rFonts w:hint="default"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表</w:t>
      </w:r>
      <w:r>
        <w:rPr>
          <w:rFonts w:hint="eastAsia" w:ascii="Times New Roman" w:hAnsi="Times New Roman" w:eastAsia="仿宋_GB2312" w:cs="Times New Roman"/>
          <w:b/>
          <w:bCs/>
          <w:sz w:val="28"/>
          <w:szCs w:val="28"/>
          <w:highlight w:val="none"/>
        </w:rPr>
        <w:t>1</w:t>
      </w:r>
      <w:r>
        <w:rPr>
          <w:rFonts w:hint="default" w:ascii="Times New Roman" w:hAnsi="Times New Roman" w:eastAsia="仿宋_GB2312" w:cs="Times New Roman"/>
          <w:b/>
          <w:bCs/>
          <w:sz w:val="28"/>
          <w:szCs w:val="28"/>
          <w:highlight w:val="none"/>
        </w:rPr>
        <w:t>-1  项目各部分权重和绩效分值</w:t>
      </w:r>
    </w:p>
    <w:tbl>
      <w:tblPr>
        <w:tblStyle w:val="24"/>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DD9C4" w:themeFill="background2" w:themeFillShade="E6"/>
            <w:vAlign w:val="center"/>
          </w:tcPr>
          <w:p>
            <w:pPr>
              <w:widowControl/>
              <w:jc w:val="center"/>
              <w:rPr>
                <w:b/>
                <w:bCs/>
                <w:color w:val="000000" w:themeColor="text1"/>
                <w:kern w:val="0"/>
                <w:szCs w:val="21"/>
                <w:highlight w:val="none"/>
              </w:rPr>
            </w:pPr>
            <w:r>
              <w:rPr>
                <w:b/>
                <w:bCs/>
                <w:color w:val="000000" w:themeColor="text1"/>
                <w:kern w:val="0"/>
                <w:szCs w:val="21"/>
                <w:highlight w:val="none"/>
              </w:rPr>
              <w:t>一级指标</w:t>
            </w:r>
          </w:p>
        </w:tc>
        <w:tc>
          <w:tcPr>
            <w:tcW w:w="1984" w:type="dxa"/>
            <w:tcBorders>
              <w:tl2br w:val="nil"/>
              <w:tr2bl w:val="nil"/>
            </w:tcBorders>
            <w:shd w:val="clear" w:color="auto" w:fill="DDD9C4" w:themeFill="background2" w:themeFillShade="E6"/>
            <w:vAlign w:val="center"/>
          </w:tcPr>
          <w:p>
            <w:pPr>
              <w:widowControl/>
              <w:jc w:val="center"/>
              <w:rPr>
                <w:b/>
                <w:bCs/>
                <w:color w:val="000000" w:themeColor="text1"/>
                <w:kern w:val="0"/>
                <w:szCs w:val="21"/>
                <w:highlight w:val="none"/>
              </w:rPr>
            </w:pPr>
            <w:r>
              <w:rPr>
                <w:b/>
                <w:bCs/>
                <w:color w:val="000000" w:themeColor="text1"/>
                <w:kern w:val="0"/>
                <w:szCs w:val="21"/>
                <w:highlight w:val="none"/>
              </w:rPr>
              <w:t>二级指标</w:t>
            </w:r>
          </w:p>
        </w:tc>
        <w:tc>
          <w:tcPr>
            <w:tcW w:w="2693" w:type="dxa"/>
            <w:tcBorders>
              <w:tl2br w:val="nil"/>
              <w:tr2bl w:val="nil"/>
            </w:tcBorders>
            <w:shd w:val="clear" w:color="auto" w:fill="DDD9C4" w:themeFill="background2" w:themeFillShade="E6"/>
            <w:vAlign w:val="center"/>
          </w:tcPr>
          <w:p>
            <w:pPr>
              <w:widowControl/>
              <w:jc w:val="center"/>
              <w:rPr>
                <w:b/>
                <w:bCs/>
                <w:color w:val="000000" w:themeColor="text1"/>
                <w:kern w:val="0"/>
                <w:szCs w:val="21"/>
                <w:highlight w:val="none"/>
              </w:rPr>
            </w:pPr>
            <w:r>
              <w:rPr>
                <w:b/>
                <w:bCs/>
                <w:color w:val="000000" w:themeColor="text1"/>
                <w:kern w:val="0"/>
                <w:szCs w:val="21"/>
                <w:highlight w:val="none"/>
              </w:rPr>
              <w:t>三级指标</w:t>
            </w:r>
          </w:p>
        </w:tc>
        <w:tc>
          <w:tcPr>
            <w:tcW w:w="898" w:type="dxa"/>
            <w:tcBorders>
              <w:tl2br w:val="nil"/>
              <w:tr2bl w:val="nil"/>
            </w:tcBorders>
            <w:shd w:val="clear" w:color="auto" w:fill="DDD9C4" w:themeFill="background2" w:themeFillShade="E6"/>
            <w:vAlign w:val="center"/>
          </w:tcPr>
          <w:p>
            <w:pPr>
              <w:widowControl/>
              <w:jc w:val="center"/>
              <w:rPr>
                <w:b/>
                <w:bCs/>
                <w:color w:val="000000" w:themeColor="text1"/>
                <w:kern w:val="0"/>
                <w:szCs w:val="21"/>
                <w:highlight w:val="none"/>
              </w:rPr>
            </w:pPr>
            <w:r>
              <w:rPr>
                <w:b/>
                <w:bCs/>
                <w:color w:val="000000" w:themeColor="text1"/>
                <w:kern w:val="0"/>
                <w:szCs w:val="21"/>
                <w:highlight w:val="none"/>
              </w:rPr>
              <w:t>分值</w:t>
            </w:r>
          </w:p>
        </w:tc>
        <w:tc>
          <w:tcPr>
            <w:tcW w:w="898" w:type="dxa"/>
            <w:tcBorders>
              <w:tl2br w:val="nil"/>
              <w:tr2bl w:val="nil"/>
            </w:tcBorders>
            <w:shd w:val="clear" w:color="auto" w:fill="DDD9C4" w:themeFill="background2" w:themeFillShade="E6"/>
            <w:vAlign w:val="center"/>
          </w:tcPr>
          <w:p>
            <w:pPr>
              <w:widowControl/>
              <w:jc w:val="center"/>
              <w:rPr>
                <w:b/>
                <w:bCs/>
                <w:color w:val="000000" w:themeColor="text1"/>
                <w:kern w:val="0"/>
                <w:szCs w:val="21"/>
                <w:highlight w:val="none"/>
              </w:rPr>
            </w:pPr>
            <w:r>
              <w:rPr>
                <w:b/>
                <w:bCs/>
                <w:color w:val="000000" w:themeColor="text1"/>
                <w:kern w:val="0"/>
                <w:szCs w:val="21"/>
                <w:highlight w:val="none"/>
              </w:rPr>
              <w:t>得分</w:t>
            </w:r>
          </w:p>
        </w:tc>
        <w:tc>
          <w:tcPr>
            <w:tcW w:w="1039" w:type="dxa"/>
            <w:tcBorders>
              <w:tl2br w:val="nil"/>
              <w:tr2bl w:val="nil"/>
            </w:tcBorders>
            <w:shd w:val="clear" w:color="auto" w:fill="DDD9C4" w:themeFill="background2" w:themeFillShade="E6"/>
            <w:vAlign w:val="center"/>
          </w:tcPr>
          <w:p>
            <w:pPr>
              <w:widowControl/>
              <w:jc w:val="center"/>
              <w:rPr>
                <w:b/>
                <w:bCs/>
                <w:color w:val="000000" w:themeColor="text1"/>
                <w:kern w:val="0"/>
                <w:szCs w:val="21"/>
                <w:highlight w:val="none"/>
              </w:rPr>
            </w:pPr>
            <w:r>
              <w:rPr>
                <w:b/>
                <w:bCs/>
                <w:color w:val="000000" w:themeColor="text1"/>
                <w:kern w:val="0"/>
                <w:szCs w:val="21"/>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jc w:val="center"/>
              <w:rPr>
                <w:color w:val="000000" w:themeColor="text1"/>
                <w:kern w:val="0"/>
                <w:szCs w:val="21"/>
                <w:highlight w:val="none"/>
              </w:rPr>
            </w:pPr>
            <w:r>
              <w:rPr>
                <w:color w:val="000000" w:themeColor="text1"/>
                <w:kern w:val="0"/>
                <w:szCs w:val="21"/>
                <w:highlight w:val="none"/>
              </w:rPr>
              <w:t>4</w:t>
            </w:r>
          </w:p>
        </w:tc>
        <w:tc>
          <w:tcPr>
            <w:tcW w:w="898"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4</w:t>
            </w:r>
          </w:p>
        </w:tc>
        <w:tc>
          <w:tcPr>
            <w:tcW w:w="1039"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jc w:val="center"/>
              <w:rPr>
                <w:color w:val="000000" w:themeColor="text1"/>
                <w:kern w:val="0"/>
                <w:szCs w:val="21"/>
                <w:highlight w:val="none"/>
              </w:rPr>
            </w:pPr>
            <w:r>
              <w:rPr>
                <w:color w:val="000000" w:themeColor="text1"/>
                <w:kern w:val="0"/>
                <w:szCs w:val="21"/>
                <w:highlight w:val="none"/>
              </w:rPr>
              <w:t>4</w:t>
            </w:r>
          </w:p>
        </w:tc>
        <w:tc>
          <w:tcPr>
            <w:tcW w:w="898"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4</w:t>
            </w:r>
          </w:p>
        </w:tc>
        <w:tc>
          <w:tcPr>
            <w:tcW w:w="1039"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3</w:t>
            </w:r>
          </w:p>
        </w:tc>
        <w:tc>
          <w:tcPr>
            <w:tcW w:w="898" w:type="dxa"/>
            <w:tcBorders>
              <w:tl2br w:val="nil"/>
              <w:tr2bl w:val="nil"/>
            </w:tcBorders>
            <w:shd w:val="clear" w:color="000000" w:fill="FFFFFF"/>
            <w:vAlign w:val="center"/>
          </w:tcPr>
          <w:p>
            <w:pPr>
              <w:widowControl/>
              <w:jc w:val="center"/>
              <w:rPr>
                <w:rFonts w:hint="eastAsia" w:eastAsia="仿宋_GB2312"/>
                <w:color w:val="000000" w:themeColor="text1"/>
                <w:kern w:val="0"/>
                <w:szCs w:val="21"/>
                <w:highlight w:val="none"/>
                <w:lang w:eastAsia="zh-CN"/>
              </w:rPr>
            </w:pPr>
            <w:r>
              <w:rPr>
                <w:rFonts w:hint="eastAsia" w:eastAsia="仿宋_GB2312"/>
                <w:color w:val="000000" w:themeColor="text1"/>
                <w:kern w:val="0"/>
                <w:szCs w:val="21"/>
                <w:highlight w:val="none"/>
                <w:lang w:val="en-US" w:eastAsia="zh-CN"/>
              </w:rPr>
              <w:t>2</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lang w:val="en-US" w:eastAsia="zh-CN"/>
              </w:rPr>
              <w:t>66.67</w:t>
            </w:r>
            <w:r>
              <w:rPr>
                <w:color w:val="000000" w:themeColor="text1"/>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3</w:t>
            </w:r>
          </w:p>
        </w:tc>
        <w:tc>
          <w:tcPr>
            <w:tcW w:w="898" w:type="dxa"/>
            <w:tcBorders>
              <w:tl2br w:val="nil"/>
              <w:tr2bl w:val="nil"/>
            </w:tcBorders>
            <w:shd w:val="clear" w:color="000000" w:fill="FFFFFF"/>
            <w:vAlign w:val="center"/>
          </w:tcPr>
          <w:p>
            <w:pPr>
              <w:widowControl/>
              <w:jc w:val="center"/>
              <w:rPr>
                <w:rFonts w:hint="eastAsia" w:eastAsia="仿宋_GB2312"/>
                <w:color w:val="000000" w:themeColor="text1"/>
                <w:kern w:val="0"/>
                <w:szCs w:val="21"/>
                <w:highlight w:val="none"/>
                <w:lang w:eastAsia="zh-CN"/>
              </w:rPr>
            </w:pPr>
            <w:r>
              <w:rPr>
                <w:rFonts w:hint="eastAsia" w:eastAsia="仿宋_GB2312"/>
                <w:color w:val="000000" w:themeColor="text1"/>
                <w:kern w:val="0"/>
                <w:szCs w:val="21"/>
                <w:highlight w:val="none"/>
                <w:lang w:val="en-US" w:eastAsia="zh-CN"/>
              </w:rPr>
              <w:t>2</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lang w:val="en-US" w:eastAsia="zh-CN"/>
              </w:rPr>
              <w:t>66.67</w:t>
            </w:r>
            <w:r>
              <w:rPr>
                <w:color w:val="000000" w:themeColor="text1"/>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jc w:val="center"/>
              <w:rPr>
                <w:color w:val="000000" w:themeColor="text1"/>
                <w:kern w:val="0"/>
                <w:szCs w:val="21"/>
                <w:highlight w:val="none"/>
              </w:rPr>
            </w:pPr>
            <w:r>
              <w:rPr>
                <w:color w:val="000000" w:themeColor="text1"/>
                <w:kern w:val="0"/>
                <w:szCs w:val="21"/>
                <w:highlight w:val="none"/>
              </w:rPr>
              <w:t>3</w:t>
            </w:r>
          </w:p>
        </w:tc>
        <w:tc>
          <w:tcPr>
            <w:tcW w:w="898"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3</w:t>
            </w:r>
          </w:p>
        </w:tc>
        <w:tc>
          <w:tcPr>
            <w:tcW w:w="1039"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jc w:val="center"/>
              <w:rPr>
                <w:color w:val="000000" w:themeColor="text1"/>
                <w:kern w:val="0"/>
                <w:szCs w:val="21"/>
                <w:highlight w:val="none"/>
              </w:rPr>
            </w:pPr>
            <w:r>
              <w:rPr>
                <w:color w:val="000000" w:themeColor="text1"/>
                <w:kern w:val="0"/>
                <w:szCs w:val="21"/>
                <w:highlight w:val="none"/>
              </w:rPr>
              <w:t>3</w:t>
            </w:r>
          </w:p>
        </w:tc>
        <w:tc>
          <w:tcPr>
            <w:tcW w:w="898"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3</w:t>
            </w:r>
          </w:p>
        </w:tc>
        <w:tc>
          <w:tcPr>
            <w:tcW w:w="1039"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过程</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5</w:t>
            </w:r>
          </w:p>
        </w:tc>
        <w:tc>
          <w:tcPr>
            <w:tcW w:w="898"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5</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预算执行率</w:t>
            </w:r>
          </w:p>
        </w:tc>
        <w:tc>
          <w:tcPr>
            <w:tcW w:w="898" w:type="dxa"/>
            <w:tcBorders>
              <w:tl2br w:val="nil"/>
              <w:tr2bl w:val="nil"/>
            </w:tcBorders>
            <w:shd w:val="clear" w:color="auto" w:fill="FFFFFF"/>
            <w:vAlign w:val="center"/>
          </w:tcPr>
          <w:p>
            <w:pPr>
              <w:widowControl/>
              <w:jc w:val="center"/>
              <w:rPr>
                <w:color w:val="000000" w:themeColor="text1"/>
                <w:kern w:val="0"/>
                <w:szCs w:val="21"/>
                <w:highlight w:val="none"/>
              </w:rPr>
            </w:pPr>
            <w:r>
              <w:rPr>
                <w:color w:val="000000" w:themeColor="text1"/>
                <w:kern w:val="0"/>
                <w:szCs w:val="21"/>
                <w:highlight w:val="none"/>
              </w:rPr>
              <w:t>5</w:t>
            </w:r>
          </w:p>
        </w:tc>
        <w:tc>
          <w:tcPr>
            <w:tcW w:w="898" w:type="dxa"/>
            <w:tcBorders>
              <w:tl2br w:val="nil"/>
              <w:tr2bl w:val="nil"/>
            </w:tcBorders>
            <w:shd w:val="clear" w:color="auto" w:fill="FFFFFF"/>
            <w:vAlign w:val="center"/>
          </w:tcPr>
          <w:p>
            <w:pPr>
              <w:widowControl/>
              <w:jc w:val="center"/>
              <w:rPr>
                <w:rFonts w:hint="default" w:eastAsia="宋体"/>
                <w:color w:val="000000" w:themeColor="text1"/>
                <w:kern w:val="0"/>
                <w:szCs w:val="21"/>
                <w:highlight w:val="none"/>
                <w:lang w:val="en-US" w:eastAsia="zh-CN"/>
              </w:rPr>
            </w:pPr>
            <w:r>
              <w:rPr>
                <w:rFonts w:hint="eastAsia"/>
                <w:color w:val="000000" w:themeColor="text1"/>
                <w:kern w:val="0"/>
                <w:szCs w:val="21"/>
                <w:highlight w:val="none"/>
                <w:lang w:val="en-US" w:eastAsia="zh-CN"/>
              </w:rPr>
              <w:t>4.66</w:t>
            </w:r>
          </w:p>
        </w:tc>
        <w:tc>
          <w:tcPr>
            <w:tcW w:w="1039"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lang w:val="en-US" w:eastAsia="zh-CN"/>
              </w:rPr>
              <w:t>93.25</w:t>
            </w:r>
            <w:r>
              <w:rPr>
                <w:color w:val="000000" w:themeColor="text1"/>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3</w:t>
            </w:r>
          </w:p>
        </w:tc>
        <w:tc>
          <w:tcPr>
            <w:tcW w:w="898"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3</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3</w:t>
            </w:r>
          </w:p>
        </w:tc>
        <w:tc>
          <w:tcPr>
            <w:tcW w:w="898"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3</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4</w:t>
            </w:r>
          </w:p>
        </w:tc>
        <w:tc>
          <w:tcPr>
            <w:tcW w:w="898"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4</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5"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维护档案数量</w:t>
            </w:r>
          </w:p>
        </w:tc>
        <w:tc>
          <w:tcPr>
            <w:tcW w:w="898" w:type="dxa"/>
            <w:tcBorders>
              <w:tl2br w:val="nil"/>
              <w:tr2bl w:val="nil"/>
            </w:tcBorders>
            <w:shd w:val="clear" w:color="000000" w:fill="FFFFFF"/>
            <w:vAlign w:val="center"/>
          </w:tcPr>
          <w:p>
            <w:pPr>
              <w:widowControl/>
              <w:jc w:val="center"/>
              <w:rPr>
                <w:rFonts w:hint="eastAsia" w:eastAsia="宋体"/>
                <w:color w:val="000000" w:themeColor="text1"/>
                <w:kern w:val="0"/>
                <w:szCs w:val="21"/>
                <w:highlight w:val="none"/>
                <w:lang w:eastAsia="zh-CN"/>
              </w:rPr>
            </w:pPr>
            <w:r>
              <w:rPr>
                <w:rFonts w:hint="eastAsia"/>
                <w:color w:val="000000" w:themeColor="text1"/>
                <w:kern w:val="0"/>
                <w:szCs w:val="21"/>
                <w:highlight w:val="none"/>
                <w:lang w:val="en-US" w:eastAsia="zh-CN"/>
              </w:rPr>
              <w:t>5</w:t>
            </w:r>
          </w:p>
        </w:tc>
        <w:tc>
          <w:tcPr>
            <w:tcW w:w="898" w:type="dxa"/>
            <w:tcBorders>
              <w:tl2br w:val="nil"/>
              <w:tr2bl w:val="nil"/>
            </w:tcBorders>
            <w:shd w:val="clear" w:color="000000" w:fill="FFFFFF"/>
            <w:vAlign w:val="center"/>
          </w:tcPr>
          <w:p>
            <w:pPr>
              <w:widowControl/>
              <w:jc w:val="center"/>
              <w:rPr>
                <w:rFonts w:hint="default" w:eastAsia="仿宋_GB2312"/>
                <w:color w:val="000000" w:themeColor="text1"/>
                <w:kern w:val="0"/>
                <w:szCs w:val="21"/>
                <w:highlight w:val="none"/>
                <w:lang w:val="en-US" w:eastAsia="zh-CN"/>
              </w:rPr>
            </w:pPr>
            <w:r>
              <w:rPr>
                <w:rFonts w:hint="eastAsia" w:eastAsia="仿宋_GB2312"/>
                <w:color w:val="000000" w:themeColor="text1"/>
                <w:kern w:val="0"/>
                <w:szCs w:val="21"/>
                <w:highlight w:val="none"/>
                <w:lang w:val="en-US" w:eastAsia="zh-CN"/>
              </w:rPr>
              <w:t>4.5</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lang w:val="en-US" w:eastAsia="zh-CN"/>
              </w:rPr>
              <w:t>9</w:t>
            </w:r>
            <w:r>
              <w:rPr>
                <w:color w:val="000000" w:themeColor="text1"/>
                <w:kern w:val="0"/>
                <w:szCs w:val="21"/>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购买维护耗材次数</w:t>
            </w:r>
          </w:p>
        </w:tc>
        <w:tc>
          <w:tcPr>
            <w:tcW w:w="898" w:type="dxa"/>
            <w:tcBorders>
              <w:tl2br w:val="nil"/>
              <w:tr2bl w:val="nil"/>
            </w:tcBorders>
            <w:shd w:val="clear" w:color="000000" w:fill="FFFFFF"/>
            <w:vAlign w:val="center"/>
          </w:tcPr>
          <w:p>
            <w:pPr>
              <w:widowControl/>
              <w:jc w:val="center"/>
              <w:rPr>
                <w:rFonts w:hint="eastAsia" w:eastAsia="宋体"/>
                <w:color w:val="000000" w:themeColor="text1"/>
                <w:kern w:val="0"/>
                <w:szCs w:val="21"/>
                <w:highlight w:val="none"/>
                <w:lang w:val="en-US" w:eastAsia="zh-CN"/>
              </w:rPr>
            </w:pPr>
            <w:r>
              <w:rPr>
                <w:rFonts w:hint="eastAsia"/>
                <w:color w:val="000000" w:themeColor="text1"/>
                <w:kern w:val="0"/>
                <w:szCs w:val="21"/>
                <w:highlight w:val="none"/>
                <w:lang w:val="en-US" w:eastAsia="zh-CN"/>
              </w:rPr>
              <w:t>5</w:t>
            </w:r>
          </w:p>
        </w:tc>
        <w:tc>
          <w:tcPr>
            <w:tcW w:w="898" w:type="dxa"/>
            <w:tcBorders>
              <w:tl2br w:val="nil"/>
              <w:tr2bl w:val="nil"/>
            </w:tcBorders>
            <w:shd w:val="clear" w:color="000000" w:fill="FFFFFF"/>
            <w:vAlign w:val="center"/>
          </w:tcPr>
          <w:p>
            <w:pPr>
              <w:widowControl/>
              <w:jc w:val="center"/>
              <w:rPr>
                <w:rFonts w:hint="eastAsia" w:eastAsia="宋体"/>
                <w:color w:val="000000" w:themeColor="text1"/>
                <w:kern w:val="0"/>
                <w:szCs w:val="21"/>
                <w:highlight w:val="none"/>
                <w:lang w:val="en-US" w:eastAsia="zh-CN"/>
              </w:rPr>
            </w:pPr>
            <w:r>
              <w:rPr>
                <w:rFonts w:hint="eastAsia"/>
                <w:color w:val="000000" w:themeColor="text1"/>
                <w:kern w:val="0"/>
                <w:szCs w:val="21"/>
                <w:highlight w:val="none"/>
                <w:lang w:val="en-US" w:eastAsia="zh-CN"/>
              </w:rPr>
              <w:t>5</w:t>
            </w:r>
          </w:p>
        </w:tc>
        <w:tc>
          <w:tcPr>
            <w:tcW w:w="1039"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质量检测合格率</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5</w:t>
            </w:r>
          </w:p>
        </w:tc>
        <w:tc>
          <w:tcPr>
            <w:tcW w:w="898"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rFonts w:hint="eastAsia" w:eastAsia="仿宋_GB2312"/>
                <w:color w:val="000000" w:themeColor="text1"/>
                <w:kern w:val="0"/>
                <w:szCs w:val="21"/>
                <w:highlight w:val="none"/>
                <w:lang w:val="en-US" w:eastAsia="zh-CN"/>
              </w:rPr>
              <w:t>5</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耗材验收合格率</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5</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5</w:t>
            </w:r>
          </w:p>
        </w:tc>
        <w:tc>
          <w:tcPr>
            <w:tcW w:w="1039" w:type="dxa"/>
            <w:tcBorders>
              <w:tl2br w:val="nil"/>
              <w:tr2bl w:val="nil"/>
            </w:tcBorders>
            <w:shd w:val="clear" w:color="000000" w:fill="FFFFFF"/>
            <w:vAlign w:val="center"/>
          </w:tcPr>
          <w:p>
            <w:pPr>
              <w:widowControl/>
              <w:jc w:val="center"/>
              <w:rPr>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维护任务按时完成率</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rPr>
              <w:t>10</w:t>
            </w:r>
          </w:p>
        </w:tc>
        <w:tc>
          <w:tcPr>
            <w:tcW w:w="898"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rPr>
              <w:t>10</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维护耗材经费</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4</w:t>
            </w:r>
          </w:p>
        </w:tc>
        <w:tc>
          <w:tcPr>
            <w:tcW w:w="898" w:type="dxa"/>
            <w:tcBorders>
              <w:tl2br w:val="nil"/>
              <w:tr2bl w:val="nil"/>
            </w:tcBorders>
            <w:shd w:val="clear" w:color="000000" w:fill="FFFFFF"/>
            <w:vAlign w:val="center"/>
          </w:tcPr>
          <w:p>
            <w:pPr>
              <w:widowControl/>
              <w:jc w:val="center"/>
              <w:rPr>
                <w:rFonts w:hint="default" w:eastAsia="仿宋_GB2312"/>
                <w:color w:val="000000" w:themeColor="text1"/>
                <w:kern w:val="0"/>
                <w:szCs w:val="21"/>
                <w:highlight w:val="none"/>
                <w:lang w:val="en-US" w:eastAsia="zh-CN"/>
              </w:rPr>
            </w:pPr>
            <w:r>
              <w:rPr>
                <w:rFonts w:hint="eastAsia" w:eastAsia="仿宋_GB2312"/>
                <w:color w:val="000000" w:themeColor="text1"/>
                <w:kern w:val="0"/>
                <w:szCs w:val="21"/>
                <w:highlight w:val="none"/>
                <w:lang w:val="en-US" w:eastAsia="zh-CN"/>
              </w:rPr>
              <w:t>3.46</w:t>
            </w:r>
          </w:p>
        </w:tc>
        <w:tc>
          <w:tcPr>
            <w:tcW w:w="1039" w:type="dxa"/>
            <w:tcBorders>
              <w:tl2br w:val="nil"/>
              <w:tr2bl w:val="nil"/>
            </w:tcBorders>
            <w:shd w:val="clear" w:color="000000" w:fill="FFFFFF"/>
            <w:vAlign w:val="center"/>
          </w:tcPr>
          <w:p>
            <w:pPr>
              <w:widowControl/>
              <w:jc w:val="center"/>
              <w:rPr>
                <w:rFonts w:hint="eastAsia"/>
                <w:color w:val="000000" w:themeColor="text1"/>
                <w:kern w:val="0"/>
                <w:szCs w:val="21"/>
                <w:highlight w:val="none"/>
                <w:lang w:val="en-US" w:eastAsia="zh-CN"/>
              </w:rPr>
            </w:pPr>
            <w:r>
              <w:rPr>
                <w:rFonts w:hint="eastAsia"/>
                <w:color w:val="000000" w:themeColor="text1"/>
                <w:kern w:val="0"/>
                <w:szCs w:val="21"/>
                <w:highlight w:val="none"/>
                <w:lang w:val="en-US" w:eastAsia="zh-CN"/>
              </w:rPr>
              <w:t>86.5</w:t>
            </w:r>
            <w:r>
              <w:rPr>
                <w:color w:val="000000" w:themeColor="text1"/>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档案馆日常运行经费</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6</w:t>
            </w:r>
          </w:p>
        </w:tc>
        <w:tc>
          <w:tcPr>
            <w:tcW w:w="898" w:type="dxa"/>
            <w:tcBorders>
              <w:tl2br w:val="nil"/>
              <w:tr2bl w:val="nil"/>
            </w:tcBorders>
            <w:shd w:val="clear" w:color="000000" w:fill="FFFFFF"/>
            <w:vAlign w:val="center"/>
          </w:tcPr>
          <w:p>
            <w:pPr>
              <w:widowControl/>
              <w:jc w:val="center"/>
              <w:rPr>
                <w:rFonts w:hint="eastAsia" w:eastAsia="仿宋_GB2312"/>
                <w:color w:val="000000" w:themeColor="text1"/>
                <w:kern w:val="0"/>
                <w:szCs w:val="21"/>
                <w:highlight w:val="none"/>
                <w:lang w:eastAsia="zh-CN"/>
              </w:rPr>
            </w:pPr>
            <w:r>
              <w:rPr>
                <w:rFonts w:hint="eastAsia"/>
                <w:color w:val="000000" w:themeColor="text1"/>
                <w:kern w:val="0"/>
                <w:szCs w:val="21"/>
                <w:highlight w:val="none"/>
                <w:lang w:val="en-US" w:eastAsia="zh-CN"/>
              </w:rPr>
              <w:t>6</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color w:val="000000" w:themeColor="text1"/>
                <w:kern w:val="0"/>
                <w:szCs w:val="21"/>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效益</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default" w:ascii="Times New Roman" w:hAnsi="Times New Roman" w:eastAsia="仿宋_GB2312"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提供高效、便捷的办公系统支持</w:t>
            </w:r>
          </w:p>
        </w:tc>
        <w:tc>
          <w:tcPr>
            <w:tcW w:w="898" w:type="dxa"/>
            <w:tcBorders>
              <w:tl2br w:val="nil"/>
              <w:tr2bl w:val="nil"/>
            </w:tcBorders>
            <w:shd w:val="clear" w:color="auto" w:fill="FFFFFF"/>
            <w:vAlign w:val="center"/>
          </w:tcPr>
          <w:p>
            <w:pPr>
              <w:widowControl/>
              <w:jc w:val="center"/>
              <w:rPr>
                <w:color w:val="000000" w:themeColor="text1"/>
                <w:kern w:val="0"/>
                <w:szCs w:val="21"/>
                <w:highlight w:val="none"/>
              </w:rPr>
            </w:pPr>
            <w:r>
              <w:rPr>
                <w:color w:val="000000" w:themeColor="text1"/>
                <w:kern w:val="0"/>
                <w:szCs w:val="21"/>
                <w:highlight w:val="none"/>
              </w:rPr>
              <w:t>10</w:t>
            </w:r>
          </w:p>
        </w:tc>
        <w:tc>
          <w:tcPr>
            <w:tcW w:w="898" w:type="dxa"/>
            <w:tcBorders>
              <w:tl2br w:val="nil"/>
              <w:tr2bl w:val="nil"/>
            </w:tcBorders>
            <w:shd w:val="clear" w:color="auto" w:fill="FFFFFF"/>
            <w:vAlign w:val="center"/>
          </w:tcPr>
          <w:p>
            <w:pPr>
              <w:widowControl/>
              <w:jc w:val="center"/>
              <w:rPr>
                <w:rFonts w:hint="eastAsia" w:eastAsia="仿宋_GB2312"/>
                <w:color w:val="000000" w:themeColor="text1"/>
                <w:kern w:val="0"/>
                <w:szCs w:val="21"/>
                <w:highlight w:val="none"/>
                <w:lang w:eastAsia="zh-CN"/>
              </w:rPr>
            </w:pPr>
            <w:r>
              <w:rPr>
                <w:rFonts w:hint="eastAsia" w:eastAsia="仿宋_GB2312"/>
                <w:color w:val="000000" w:themeColor="text1"/>
                <w:kern w:val="0"/>
                <w:szCs w:val="21"/>
                <w:highlight w:val="none"/>
                <w:lang w:val="en-US" w:eastAsia="zh-CN"/>
              </w:rPr>
              <w:t>9</w:t>
            </w:r>
          </w:p>
        </w:tc>
        <w:tc>
          <w:tcPr>
            <w:tcW w:w="1039" w:type="dxa"/>
            <w:tcBorders>
              <w:tl2br w:val="nil"/>
              <w:tr2bl w:val="nil"/>
            </w:tcBorders>
            <w:shd w:val="clear" w:color="auto"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lang w:val="en-US" w:eastAsia="zh-CN"/>
              </w:rPr>
              <w:t>9</w:t>
            </w:r>
            <w:r>
              <w:rPr>
                <w:color w:val="000000" w:themeColor="text1"/>
                <w:kern w:val="0"/>
                <w:szCs w:val="21"/>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积极改善档案保管保护</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rPr>
              <w:t>5</w:t>
            </w:r>
          </w:p>
        </w:tc>
        <w:tc>
          <w:tcPr>
            <w:tcW w:w="898" w:type="dxa"/>
            <w:tcBorders>
              <w:tl2br w:val="nil"/>
              <w:tr2bl w:val="nil"/>
            </w:tcBorders>
            <w:shd w:val="clear" w:color="000000" w:fill="FFFFFF"/>
            <w:vAlign w:val="center"/>
          </w:tcPr>
          <w:p>
            <w:pPr>
              <w:widowControl/>
              <w:jc w:val="center"/>
              <w:rPr>
                <w:rFonts w:hint="default" w:eastAsia="仿宋_GB2312"/>
                <w:color w:val="000000" w:themeColor="text1"/>
                <w:kern w:val="0"/>
                <w:szCs w:val="21"/>
                <w:highlight w:val="none"/>
                <w:lang w:val="en-US" w:eastAsia="zh-CN"/>
              </w:rPr>
            </w:pPr>
            <w:r>
              <w:rPr>
                <w:rFonts w:hint="eastAsia" w:eastAsia="仿宋_GB2312"/>
                <w:color w:val="000000" w:themeColor="text1"/>
                <w:kern w:val="0"/>
                <w:szCs w:val="21"/>
                <w:highlight w:val="none"/>
                <w:lang w:val="en-US" w:eastAsia="zh-CN"/>
              </w:rPr>
              <w:t>4.5</w:t>
            </w:r>
          </w:p>
        </w:tc>
        <w:tc>
          <w:tcPr>
            <w:tcW w:w="1039" w:type="dxa"/>
            <w:tcBorders>
              <w:tl2br w:val="nil"/>
              <w:tr2bl w:val="nil"/>
            </w:tcBorders>
            <w:shd w:val="clear" w:color="000000" w:fill="FFFFFF"/>
            <w:vAlign w:val="center"/>
          </w:tcPr>
          <w:p>
            <w:pPr>
              <w:widowControl/>
              <w:jc w:val="center"/>
              <w:rPr>
                <w:rFonts w:eastAsia="仿宋_GB2312"/>
                <w:color w:val="000000" w:themeColor="text1"/>
                <w:kern w:val="0"/>
                <w:szCs w:val="21"/>
                <w:highlight w:val="none"/>
              </w:rPr>
            </w:pPr>
            <w:r>
              <w:rPr>
                <w:rFonts w:hint="eastAsia"/>
                <w:color w:val="000000" w:themeColor="text1"/>
                <w:kern w:val="0"/>
                <w:szCs w:val="21"/>
                <w:highlight w:val="none"/>
                <w:lang w:val="en-US" w:eastAsia="zh-CN"/>
              </w:rPr>
              <w:t>90</w:t>
            </w:r>
            <w:r>
              <w:rPr>
                <w:color w:val="000000" w:themeColor="text1"/>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7" w:hRule="atLeast"/>
          <w:jc w:val="center"/>
        </w:trPr>
        <w:tc>
          <w:tcPr>
            <w:tcW w:w="1550"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bookmarkStart w:id="85" w:name="_Toc3100"/>
            <w:bookmarkStart w:id="86" w:name="_Toc67911610"/>
            <w:r>
              <w:rPr>
                <w:rFonts w:hint="eastAsia" w:ascii="Times New Roman" w:hAnsi="Times New Roman" w:eastAsia="仿宋_GB2312" w:cs="Times New Roman"/>
                <w:kern w:val="0"/>
                <w:sz w:val="24"/>
                <w:szCs w:val="24"/>
                <w:highlight w:val="none"/>
              </w:rPr>
              <w:t>满意度</w:t>
            </w: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val="en-US" w:eastAsia="zh-CN"/>
              </w:rPr>
              <w:t>使用人员</w:t>
            </w:r>
            <w:r>
              <w:rPr>
                <w:rFonts w:hint="eastAsia" w:ascii="Times New Roman" w:hAnsi="Times New Roman" w:eastAsia="仿宋_GB2312" w:cs="Times New Roman"/>
                <w:kern w:val="0"/>
                <w:sz w:val="24"/>
                <w:szCs w:val="24"/>
                <w:highlight w:val="none"/>
              </w:rPr>
              <w:t>满意度</w:t>
            </w: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rPr>
              <w:t>5</w:t>
            </w:r>
          </w:p>
        </w:tc>
        <w:tc>
          <w:tcPr>
            <w:tcW w:w="898" w:type="dxa"/>
            <w:tcBorders>
              <w:tl2br w:val="nil"/>
              <w:tr2bl w:val="nil"/>
            </w:tcBorders>
            <w:shd w:val="clear" w:color="000000" w:fill="FFFFFF"/>
            <w:vAlign w:val="center"/>
          </w:tcPr>
          <w:p>
            <w:pPr>
              <w:widowControl/>
              <w:jc w:val="center"/>
              <w:rPr>
                <w:rFonts w:hint="eastAsia" w:eastAsia="宋体"/>
                <w:color w:val="000000" w:themeColor="text1"/>
                <w:kern w:val="0"/>
                <w:szCs w:val="21"/>
                <w:highlight w:val="none"/>
                <w:lang w:eastAsia="zh-CN"/>
              </w:rPr>
            </w:pPr>
            <w:r>
              <w:rPr>
                <w:rFonts w:hint="eastAsia"/>
                <w:color w:val="000000" w:themeColor="text1"/>
                <w:kern w:val="0"/>
                <w:szCs w:val="21"/>
                <w:highlight w:val="none"/>
                <w:lang w:val="en-US" w:eastAsia="zh-CN"/>
              </w:rPr>
              <w:t>5</w:t>
            </w:r>
          </w:p>
        </w:tc>
        <w:tc>
          <w:tcPr>
            <w:tcW w:w="1039"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10</w:t>
            </w:r>
            <w:r>
              <w:rPr>
                <w:rFonts w:hint="eastAsia"/>
                <w:color w:val="000000" w:themeColor="text1"/>
                <w:kern w:val="0"/>
                <w:szCs w:val="21"/>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3534" w:type="dxa"/>
            <w:gridSpan w:val="2"/>
            <w:tcBorders>
              <w:tl2br w:val="nil"/>
              <w:tr2bl w:val="nil"/>
            </w:tcBorders>
            <w:shd w:val="clear" w:color="auto"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rPr>
              <w:t>合计</w:t>
            </w:r>
          </w:p>
        </w:tc>
        <w:tc>
          <w:tcPr>
            <w:tcW w:w="2693" w:type="dxa"/>
            <w:tcBorders>
              <w:tl2br w:val="nil"/>
              <w:tr2bl w:val="nil"/>
            </w:tcBorders>
            <w:shd w:val="clear" w:color="auto" w:fill="FFFFFF"/>
            <w:vAlign w:val="center"/>
          </w:tcPr>
          <w:p>
            <w:pPr>
              <w:widowControl/>
              <w:jc w:val="center"/>
              <w:rPr>
                <w:color w:val="000000" w:themeColor="text1"/>
                <w:kern w:val="0"/>
                <w:szCs w:val="21"/>
                <w:highlight w:val="none"/>
              </w:rPr>
            </w:pPr>
          </w:p>
        </w:tc>
        <w:tc>
          <w:tcPr>
            <w:tcW w:w="898"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rPr>
              <w:t>100</w:t>
            </w:r>
          </w:p>
        </w:tc>
        <w:tc>
          <w:tcPr>
            <w:tcW w:w="898" w:type="dxa"/>
            <w:tcBorders>
              <w:tl2br w:val="nil"/>
              <w:tr2bl w:val="nil"/>
            </w:tcBorders>
            <w:shd w:val="clear" w:color="000000" w:fill="FFFFFF"/>
            <w:vAlign w:val="center"/>
          </w:tcPr>
          <w:p>
            <w:pPr>
              <w:widowControl/>
              <w:jc w:val="center"/>
              <w:rPr>
                <w:rFonts w:hint="default" w:eastAsia="宋体"/>
                <w:color w:val="000000" w:themeColor="text1"/>
                <w:kern w:val="0"/>
                <w:szCs w:val="21"/>
                <w:highlight w:val="none"/>
                <w:lang w:val="en-US" w:eastAsia="zh-CN"/>
              </w:rPr>
            </w:pPr>
            <w:r>
              <w:rPr>
                <w:rFonts w:hint="eastAsia"/>
                <w:color w:val="000000" w:themeColor="text1"/>
                <w:kern w:val="0"/>
                <w:szCs w:val="21"/>
                <w:highlight w:val="none"/>
                <w:lang w:val="en-US" w:eastAsia="zh-CN"/>
              </w:rPr>
              <w:t>95.66</w:t>
            </w:r>
          </w:p>
        </w:tc>
        <w:tc>
          <w:tcPr>
            <w:tcW w:w="1039" w:type="dxa"/>
            <w:tcBorders>
              <w:tl2br w:val="nil"/>
              <w:tr2bl w:val="nil"/>
            </w:tcBorders>
            <w:shd w:val="clear" w:color="000000" w:fill="FFFFFF"/>
            <w:vAlign w:val="center"/>
          </w:tcPr>
          <w:p>
            <w:pPr>
              <w:widowControl/>
              <w:jc w:val="center"/>
              <w:rPr>
                <w:color w:val="000000" w:themeColor="text1"/>
                <w:kern w:val="0"/>
                <w:szCs w:val="21"/>
                <w:highlight w:val="none"/>
              </w:rPr>
            </w:pPr>
            <w:r>
              <w:rPr>
                <w:rFonts w:hint="eastAsia"/>
                <w:color w:val="000000" w:themeColor="text1"/>
                <w:kern w:val="0"/>
                <w:szCs w:val="21"/>
                <w:highlight w:val="none"/>
                <w:lang w:val="en-US" w:eastAsia="zh-CN"/>
              </w:rPr>
              <w:t>95.66</w:t>
            </w:r>
            <w:r>
              <w:rPr>
                <w:rFonts w:hint="eastAsia"/>
                <w:color w:val="000000" w:themeColor="text1"/>
                <w:kern w:val="0"/>
                <w:szCs w:val="21"/>
                <w:highlight w:val="none"/>
              </w:rPr>
              <w:t>%</w:t>
            </w:r>
          </w:p>
        </w:tc>
      </w:tr>
    </w:tbl>
    <w:p>
      <w:pPr>
        <w:spacing w:line="540" w:lineRule="exact"/>
        <w:ind w:firstLine="567" w:firstLineChars="181"/>
        <w:outlineLvl w:val="1"/>
        <w:rPr>
          <w:rFonts w:eastAsia="楷体"/>
          <w:b/>
          <w:spacing w:val="-4"/>
          <w:sz w:val="32"/>
          <w:szCs w:val="32"/>
          <w:highlight w:val="none"/>
        </w:rPr>
      </w:pP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default" w:ascii="Times New Roman" w:hAnsi="Times New Roman" w:eastAsia="仿宋" w:cs="Times New Roman"/>
          <w:kern w:val="44"/>
          <w:sz w:val="32"/>
          <w:szCs w:val="32"/>
          <w:highlight w:val="none"/>
          <w:lang w:val="en-US" w:eastAsia="zh-CN" w:bidi="en-US"/>
        </w:rPr>
      </w:pPr>
      <w:bookmarkStart w:id="87" w:name="_Toc13693"/>
      <w:bookmarkStart w:id="88" w:name="_Toc32529"/>
      <w:bookmarkStart w:id="89" w:name="_Toc23379"/>
      <w:bookmarkStart w:id="90" w:name="_Toc14261"/>
      <w:bookmarkStart w:id="91" w:name="_Toc23453"/>
      <w:r>
        <w:rPr>
          <w:rFonts w:hint="eastAsia" w:ascii="Times New Roman" w:hAnsi="Times New Roman" w:eastAsia="仿宋" w:cs="Times New Roman"/>
          <w:kern w:val="44"/>
          <w:sz w:val="32"/>
          <w:szCs w:val="32"/>
          <w:highlight w:val="none"/>
          <w:lang w:val="en-US" w:eastAsia="zh-CN" w:bidi="en-US"/>
        </w:rPr>
        <w:t>（二）</w:t>
      </w:r>
      <w:r>
        <w:rPr>
          <w:rFonts w:hint="default" w:ascii="Times New Roman" w:hAnsi="Times New Roman" w:eastAsia="仿宋" w:cs="Times New Roman"/>
          <w:kern w:val="44"/>
          <w:sz w:val="32"/>
          <w:szCs w:val="32"/>
          <w:highlight w:val="none"/>
          <w:lang w:val="en-US" w:eastAsia="zh-CN" w:bidi="en-US"/>
        </w:rPr>
        <w:t>主要绩效</w:t>
      </w:r>
      <w:bookmarkEnd w:id="85"/>
      <w:bookmarkEnd w:id="86"/>
      <w:bookmarkEnd w:id="87"/>
      <w:bookmarkEnd w:id="88"/>
      <w:bookmarkEnd w:id="89"/>
      <w:bookmarkEnd w:id="90"/>
      <w:bookmarkEnd w:id="91"/>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通过档案馆电子文档数据中心建设一方面实现了规范操作，规范档案业务的指导，理顺业务流程，操作界面和使用性能上要达到标准化、人性化，满足各单位档案员归档要求。另一方面数据安全管理。数据保管和利用安全通过权限细化设定安全控制，对系统操作日志和用户上机操作信息完整记录，保障系统与数据的安全。</w:t>
      </w:r>
    </w:p>
    <w:p>
      <w:pPr>
        <w:spacing w:line="540" w:lineRule="exact"/>
        <w:rPr>
          <w:rStyle w:val="26"/>
          <w:rFonts w:eastAsia="黑体"/>
          <w:b w:val="0"/>
          <w:spacing w:val="-4"/>
          <w:sz w:val="32"/>
          <w:szCs w:val="32"/>
          <w:highlight w:val="none"/>
        </w:rPr>
      </w:pPr>
    </w:p>
    <w:p>
      <w:pPr>
        <w:spacing w:line="540" w:lineRule="exact"/>
        <w:outlineLvl w:val="0"/>
        <w:rPr>
          <w:rStyle w:val="26"/>
          <w:rFonts w:eastAsia="黑体"/>
          <w:highlight w:val="none"/>
        </w:rPr>
      </w:pPr>
      <w:bookmarkStart w:id="92" w:name="_Toc20541"/>
      <w:bookmarkStart w:id="93" w:name="_Toc20210"/>
      <w:bookmarkStart w:id="94" w:name="_Toc9972"/>
      <w:bookmarkStart w:id="95" w:name="_Toc32528"/>
      <w:bookmarkStart w:id="96" w:name="_Toc23540"/>
      <w:r>
        <w:rPr>
          <w:rStyle w:val="26"/>
          <w:rFonts w:eastAsia="黑体"/>
          <w:b w:val="0"/>
          <w:spacing w:val="-4"/>
          <w:sz w:val="32"/>
          <w:szCs w:val="32"/>
          <w:highlight w:val="none"/>
        </w:rPr>
        <w:t>四、绩效评价指标分析</w:t>
      </w:r>
      <w:bookmarkEnd w:id="92"/>
      <w:bookmarkEnd w:id="93"/>
      <w:bookmarkEnd w:id="94"/>
      <w:bookmarkEnd w:id="95"/>
      <w:bookmarkEnd w:id="96"/>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eastAsia" w:ascii="Times New Roman" w:hAnsi="Times New Roman" w:eastAsia="仿宋" w:cs="Times New Roman"/>
          <w:kern w:val="44"/>
          <w:sz w:val="32"/>
          <w:szCs w:val="32"/>
          <w:highlight w:val="none"/>
          <w:lang w:val="en-US" w:eastAsia="zh-CN" w:bidi="en-US"/>
        </w:rPr>
      </w:pPr>
      <w:bookmarkStart w:id="97" w:name="_Toc814"/>
      <w:bookmarkStart w:id="98" w:name="_Toc7328"/>
      <w:bookmarkStart w:id="99" w:name="_Toc27002"/>
      <w:bookmarkStart w:id="100" w:name="_Toc2156"/>
      <w:bookmarkStart w:id="101" w:name="_Toc23730"/>
      <w:bookmarkStart w:id="102" w:name="_Toc67911612"/>
      <w:bookmarkStart w:id="103" w:name="_Toc20176"/>
      <w:r>
        <w:rPr>
          <w:rFonts w:hint="eastAsia" w:ascii="Times New Roman" w:hAnsi="Times New Roman" w:eastAsia="仿宋" w:cs="Times New Roman"/>
          <w:kern w:val="44"/>
          <w:sz w:val="32"/>
          <w:szCs w:val="32"/>
          <w:highlight w:val="none"/>
          <w:lang w:val="en-US" w:eastAsia="zh-CN" w:bidi="en-US"/>
        </w:rPr>
        <w:t>（一）项目决策情况</w:t>
      </w:r>
      <w:bookmarkEnd w:id="97"/>
      <w:bookmarkEnd w:id="98"/>
      <w:bookmarkEnd w:id="99"/>
      <w:bookmarkEnd w:id="100"/>
      <w:bookmarkEnd w:id="101"/>
      <w:bookmarkEnd w:id="102"/>
      <w:bookmarkEnd w:id="103"/>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bookmarkStart w:id="104" w:name="_Toc23471"/>
      <w:r>
        <w:rPr>
          <w:rFonts w:hint="eastAsia" w:ascii="Times New Roman" w:hAnsi="Times New Roman" w:eastAsia="仿宋_GB2312" w:cs="Times New Roman"/>
          <w:sz w:val="28"/>
          <w:szCs w:val="22"/>
          <w:highlight w:val="none"/>
          <w:lang w:val="en-US" w:eastAsia="zh-CN"/>
        </w:rPr>
        <w:t>项目决算指标由3个二级指标和6个三级指标构成，权重为20分，实际得分</w:t>
      </w:r>
      <w:r>
        <w:rPr>
          <w:rFonts w:hint="eastAsia" w:eastAsia="仿宋_GB2312" w:cs="Times New Roman"/>
          <w:sz w:val="28"/>
          <w:szCs w:val="22"/>
          <w:highlight w:val="none"/>
          <w:lang w:val="en-US" w:eastAsia="zh-CN"/>
        </w:rPr>
        <w:t>18</w:t>
      </w:r>
      <w:r>
        <w:rPr>
          <w:rFonts w:hint="eastAsia" w:ascii="Times New Roman" w:hAnsi="Times New Roman" w:eastAsia="仿宋_GB2312" w:cs="Times New Roman"/>
          <w:sz w:val="28"/>
          <w:szCs w:val="22"/>
          <w:highlight w:val="none"/>
          <w:lang w:val="en-US" w:eastAsia="zh-CN"/>
        </w:rPr>
        <w:t>分。</w:t>
      </w:r>
      <w:bookmarkEnd w:id="104"/>
      <w:bookmarkStart w:id="105" w:name="_Toc11467"/>
      <w:bookmarkStart w:id="106" w:name="_Toc10453"/>
    </w:p>
    <w:p>
      <w:pPr>
        <w:spacing w:line="360" w:lineRule="auto"/>
        <w:ind w:firstLine="602" w:firstLineChars="200"/>
        <w:outlineLvl w:val="2"/>
        <w:rPr>
          <w:rFonts w:eastAsia="仿宋"/>
          <w:b/>
          <w:bCs/>
          <w:sz w:val="30"/>
          <w:szCs w:val="30"/>
          <w:highlight w:val="none"/>
        </w:rPr>
      </w:pPr>
      <w:bookmarkStart w:id="107" w:name="_Toc14684"/>
      <w:bookmarkStart w:id="108" w:name="_Toc32705"/>
      <w:bookmarkStart w:id="109" w:name="_Toc967"/>
      <w:bookmarkStart w:id="110" w:name="_Toc15932"/>
      <w:r>
        <w:rPr>
          <w:rFonts w:eastAsia="仿宋"/>
          <w:b/>
          <w:bCs/>
          <w:sz w:val="30"/>
          <w:szCs w:val="30"/>
          <w:highlight w:val="none"/>
        </w:rPr>
        <w:t>1.项目立项</w:t>
      </w:r>
      <w:bookmarkEnd w:id="105"/>
      <w:bookmarkEnd w:id="106"/>
      <w:bookmarkEnd w:id="107"/>
      <w:bookmarkEnd w:id="108"/>
      <w:bookmarkEnd w:id="109"/>
      <w:bookmarkEnd w:id="110"/>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立项依据充分性：项目立项符合国家法律法规、政策要求。同时，项目与部门职责范围相符，属于部门履职所需。此外，本项目属于公共财政支持范围，符合中央、地方事权支出责任划分原则。因此，立项依据充分，得4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立项程序规范性: 项目按照规定的程序申请设立，审批文件、材料符合相关要求，故立项程序规范，得4分。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_GB2312" w:cs="Times New Roman"/>
          <w:sz w:val="28"/>
          <w:szCs w:val="22"/>
          <w:highlight w:val="none"/>
          <w:lang w:val="en-US" w:eastAsia="zh-CN"/>
        </w:rPr>
      </w:pPr>
      <w:r>
        <w:rPr>
          <w:rFonts w:hint="eastAsia" w:ascii="Times New Roman" w:hAnsi="Times New Roman" w:eastAsia="仿宋_GB2312" w:cs="Times New Roman"/>
          <w:sz w:val="28"/>
          <w:szCs w:val="22"/>
          <w:highlight w:val="none"/>
          <w:lang w:val="en-US" w:eastAsia="zh-CN"/>
        </w:rPr>
        <w:t>综上，该指标满分8分，得分8分。</w:t>
      </w:r>
    </w:p>
    <w:p>
      <w:pPr>
        <w:spacing w:line="360" w:lineRule="auto"/>
        <w:ind w:firstLine="602" w:firstLineChars="200"/>
        <w:outlineLvl w:val="2"/>
        <w:rPr>
          <w:rFonts w:eastAsia="仿宋"/>
          <w:b/>
          <w:bCs/>
          <w:sz w:val="30"/>
          <w:szCs w:val="30"/>
          <w:highlight w:val="none"/>
        </w:rPr>
      </w:pPr>
      <w:bookmarkStart w:id="111" w:name="_Toc22072"/>
      <w:bookmarkStart w:id="112" w:name="_Toc13920"/>
      <w:bookmarkStart w:id="113" w:name="_Toc26455"/>
      <w:bookmarkStart w:id="114" w:name="_Toc11959"/>
      <w:bookmarkStart w:id="115" w:name="_Toc24594"/>
      <w:bookmarkStart w:id="116" w:name="_Toc32256"/>
      <w:r>
        <w:rPr>
          <w:rFonts w:eastAsia="仿宋"/>
          <w:b/>
          <w:bCs/>
          <w:sz w:val="30"/>
          <w:szCs w:val="30"/>
          <w:highlight w:val="none"/>
        </w:rPr>
        <w:t>2.绩效目标</w:t>
      </w:r>
      <w:bookmarkEnd w:id="111"/>
      <w:bookmarkEnd w:id="112"/>
      <w:bookmarkEnd w:id="113"/>
      <w:bookmarkEnd w:id="114"/>
      <w:bookmarkEnd w:id="115"/>
      <w:bookmarkEnd w:id="116"/>
    </w:p>
    <w:p>
      <w:pPr>
        <w:spacing w:line="360" w:lineRule="auto"/>
        <w:ind w:firstLine="602" w:firstLineChars="200"/>
        <w:rPr>
          <w:rFonts w:eastAsia="仿宋"/>
          <w:color w:val="000000" w:themeColor="text1"/>
          <w:sz w:val="30"/>
          <w:szCs w:val="30"/>
          <w:highlight w:val="none"/>
        </w:rPr>
      </w:pPr>
      <w:r>
        <w:rPr>
          <w:rFonts w:eastAsia="仿宋"/>
          <w:b/>
          <w:bCs/>
          <w:sz w:val="30"/>
          <w:szCs w:val="30"/>
          <w:highlight w:val="none"/>
        </w:rPr>
        <w:t>绩效目标合理性：</w:t>
      </w:r>
      <w:r>
        <w:rPr>
          <w:rFonts w:eastAsia="仿宋"/>
          <w:sz w:val="30"/>
          <w:szCs w:val="30"/>
          <w:highlight w:val="none"/>
        </w:rPr>
        <w:t>本项目的绩效目标按照产出、效益和满意度构建绩效评价指</w:t>
      </w:r>
      <w:r>
        <w:rPr>
          <w:rFonts w:eastAsia="仿宋"/>
          <w:color w:val="000000" w:themeColor="text1"/>
          <w:sz w:val="30"/>
          <w:szCs w:val="30"/>
          <w:highlight w:val="none"/>
        </w:rPr>
        <w:t>标，且具有明确性、可衡量性、可实现性、相关性和时限性等特点，</w:t>
      </w:r>
      <w:r>
        <w:rPr>
          <w:rFonts w:hint="eastAsia" w:eastAsia="仿宋"/>
          <w:color w:val="000000" w:themeColor="text1"/>
          <w:sz w:val="30"/>
          <w:szCs w:val="30"/>
          <w:highlight w:val="none"/>
          <w:lang w:val="en-US" w:eastAsia="zh-CN"/>
        </w:rPr>
        <w:t>不</w:t>
      </w:r>
      <w:r>
        <w:rPr>
          <w:rFonts w:eastAsia="仿宋"/>
          <w:color w:val="000000" w:themeColor="text1"/>
          <w:sz w:val="30"/>
          <w:szCs w:val="30"/>
          <w:highlight w:val="none"/>
        </w:rPr>
        <w:t>能较为全面地反映本项目的产出和效益，</w:t>
      </w:r>
      <w:r>
        <w:rPr>
          <w:rFonts w:hint="eastAsia" w:eastAsia="仿宋"/>
          <w:color w:val="000000" w:themeColor="text1"/>
          <w:sz w:val="30"/>
          <w:szCs w:val="30"/>
          <w:highlight w:val="none"/>
          <w:lang w:val="en-US" w:eastAsia="zh-CN"/>
        </w:rPr>
        <w:t>扣1分，</w:t>
      </w:r>
      <w:r>
        <w:rPr>
          <w:rFonts w:eastAsia="仿宋"/>
          <w:color w:val="000000" w:themeColor="text1"/>
          <w:sz w:val="30"/>
          <w:szCs w:val="30"/>
          <w:highlight w:val="none"/>
        </w:rPr>
        <w:t>故绩效目标合理性指标得分</w:t>
      </w:r>
      <w:r>
        <w:rPr>
          <w:rFonts w:hint="eastAsia" w:eastAsia="仿宋"/>
          <w:color w:val="000000" w:themeColor="text1"/>
          <w:sz w:val="30"/>
          <w:szCs w:val="30"/>
          <w:highlight w:val="none"/>
          <w:lang w:val="en-US" w:eastAsia="zh-CN"/>
        </w:rPr>
        <w:t>2</w:t>
      </w:r>
      <w:r>
        <w:rPr>
          <w:rFonts w:eastAsia="仿宋"/>
          <w:color w:val="000000" w:themeColor="text1"/>
          <w:sz w:val="30"/>
          <w:szCs w:val="30"/>
          <w:highlight w:val="none"/>
        </w:rPr>
        <w:t>分。</w:t>
      </w:r>
    </w:p>
    <w:p>
      <w:pPr>
        <w:spacing w:line="360" w:lineRule="auto"/>
        <w:ind w:firstLine="602" w:firstLineChars="200"/>
        <w:rPr>
          <w:rFonts w:hint="default" w:eastAsia="仿宋"/>
          <w:sz w:val="30"/>
          <w:szCs w:val="30"/>
          <w:highlight w:val="none"/>
        </w:rPr>
      </w:pPr>
      <w:r>
        <w:rPr>
          <w:rFonts w:eastAsia="仿宋"/>
          <w:b/>
          <w:bCs/>
          <w:color w:val="000000" w:themeColor="text1"/>
          <w:sz w:val="30"/>
          <w:szCs w:val="30"/>
          <w:highlight w:val="none"/>
        </w:rPr>
        <w:t>绩效目标明确性：</w:t>
      </w:r>
      <w:r>
        <w:rPr>
          <w:rFonts w:eastAsia="仿宋"/>
          <w:sz w:val="30"/>
          <w:szCs w:val="30"/>
          <w:highlight w:val="none"/>
        </w:rPr>
        <w:t>本单位年初编制《绩效目标申报表》，依据充分，项目的总体绩效目标为</w:t>
      </w:r>
      <w:r>
        <w:rPr>
          <w:rFonts w:hint="eastAsia" w:eastAsia="仿宋"/>
          <w:sz w:val="30"/>
          <w:szCs w:val="30"/>
          <w:highlight w:val="none"/>
        </w:rPr>
        <w:t>通过档案馆电子文档数据中心建设一方面实现了规范操作，规范档案业务的指导，理顺业务流程，操作界面和使用性能上要达到标准化、人性化，满足各单位档案员归档要求。另一方面数据安全管理。数据保管和利用安全通过权限细化设定安全控制，对系统操作日志和用户上机操作信息完整记录，保障系统与数据的安全</w:t>
      </w:r>
      <w:r>
        <w:rPr>
          <w:rFonts w:eastAsia="仿宋"/>
          <w:sz w:val="30"/>
          <w:szCs w:val="30"/>
          <w:highlight w:val="none"/>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hint="default" w:eastAsia="仿宋"/>
          <w:sz w:val="30"/>
          <w:szCs w:val="30"/>
          <w:highlight w:val="none"/>
        </w:rPr>
        <w:t>主要是产出及效果指标未进一步细化，扣1分</w:t>
      </w:r>
      <w:r>
        <w:rPr>
          <w:rFonts w:hint="eastAsia" w:eastAsia="仿宋"/>
          <w:sz w:val="30"/>
          <w:szCs w:val="30"/>
          <w:highlight w:val="none"/>
          <w:lang w:eastAsia="zh-CN"/>
        </w:rPr>
        <w:t>，</w:t>
      </w:r>
      <w:r>
        <w:rPr>
          <w:rFonts w:hint="default" w:eastAsia="仿宋"/>
          <w:sz w:val="30"/>
          <w:szCs w:val="30"/>
          <w:highlight w:val="none"/>
        </w:rPr>
        <w:t>故绩效目标明确性指标得分</w:t>
      </w:r>
      <w:r>
        <w:rPr>
          <w:rFonts w:hint="eastAsia" w:eastAsia="仿宋"/>
          <w:sz w:val="30"/>
          <w:szCs w:val="30"/>
          <w:highlight w:val="none"/>
          <w:lang w:val="en-US" w:eastAsia="zh-CN"/>
        </w:rPr>
        <w:t>2</w:t>
      </w:r>
      <w:r>
        <w:rPr>
          <w:rFonts w:hint="default" w:eastAsia="仿宋"/>
          <w:sz w:val="30"/>
          <w:szCs w:val="30"/>
          <w:highlight w:val="none"/>
        </w:rPr>
        <w:t>分。</w:t>
      </w:r>
    </w:p>
    <w:p>
      <w:pPr>
        <w:spacing w:line="360" w:lineRule="auto"/>
        <w:ind w:firstLine="602" w:firstLineChars="200"/>
        <w:rPr>
          <w:rFonts w:eastAsia="仿宋"/>
          <w:b/>
          <w:bCs/>
          <w:sz w:val="30"/>
          <w:szCs w:val="30"/>
          <w:highlight w:val="none"/>
        </w:rPr>
      </w:pPr>
      <w:r>
        <w:rPr>
          <w:rFonts w:eastAsia="仿宋"/>
          <w:b/>
          <w:bCs/>
          <w:sz w:val="30"/>
          <w:szCs w:val="30"/>
          <w:highlight w:val="none"/>
        </w:rPr>
        <w:t>综上，该指标满分6分，得分</w:t>
      </w:r>
      <w:r>
        <w:rPr>
          <w:rFonts w:hint="eastAsia" w:eastAsia="仿宋"/>
          <w:b/>
          <w:bCs/>
          <w:sz w:val="30"/>
          <w:szCs w:val="30"/>
          <w:highlight w:val="none"/>
          <w:lang w:val="en-US" w:eastAsia="zh-CN"/>
        </w:rPr>
        <w:t>4</w:t>
      </w:r>
      <w:r>
        <w:rPr>
          <w:rFonts w:eastAsia="仿宋"/>
          <w:b/>
          <w:bCs/>
          <w:sz w:val="30"/>
          <w:szCs w:val="30"/>
          <w:highlight w:val="none"/>
        </w:rPr>
        <w:t>分。</w:t>
      </w:r>
    </w:p>
    <w:p>
      <w:pPr>
        <w:spacing w:line="360" w:lineRule="auto"/>
        <w:ind w:firstLine="602" w:firstLineChars="200"/>
        <w:outlineLvl w:val="2"/>
        <w:rPr>
          <w:rFonts w:eastAsia="仿宋"/>
          <w:b/>
          <w:bCs/>
          <w:sz w:val="30"/>
          <w:szCs w:val="30"/>
          <w:highlight w:val="none"/>
        </w:rPr>
      </w:pPr>
      <w:bookmarkStart w:id="117" w:name="_Toc22577"/>
      <w:bookmarkStart w:id="118" w:name="_Toc29950"/>
      <w:bookmarkStart w:id="119" w:name="_Toc19198"/>
      <w:bookmarkStart w:id="120" w:name="_Toc621"/>
      <w:bookmarkStart w:id="121" w:name="_Toc5456"/>
      <w:bookmarkStart w:id="122" w:name="_Toc4588"/>
      <w:r>
        <w:rPr>
          <w:rFonts w:eastAsia="仿宋"/>
          <w:b/>
          <w:bCs/>
          <w:sz w:val="30"/>
          <w:szCs w:val="30"/>
          <w:highlight w:val="none"/>
        </w:rPr>
        <w:t>3.资金投入</w:t>
      </w:r>
      <w:bookmarkEnd w:id="117"/>
      <w:bookmarkEnd w:id="118"/>
      <w:bookmarkEnd w:id="119"/>
      <w:bookmarkEnd w:id="120"/>
      <w:bookmarkEnd w:id="121"/>
      <w:bookmarkEnd w:id="122"/>
    </w:p>
    <w:p>
      <w:pPr>
        <w:spacing w:line="360" w:lineRule="auto"/>
        <w:ind w:firstLine="602" w:firstLineChars="200"/>
        <w:rPr>
          <w:rFonts w:ascii="Times New Roman" w:hAnsi="Times New Roman" w:eastAsia="仿宋" w:cs="Times New Roman"/>
          <w:sz w:val="30"/>
          <w:szCs w:val="30"/>
          <w:highlight w:val="none"/>
        </w:rPr>
      </w:pPr>
      <w:r>
        <w:rPr>
          <w:rFonts w:eastAsia="仿宋"/>
          <w:b/>
          <w:bCs/>
          <w:sz w:val="30"/>
          <w:szCs w:val="30"/>
          <w:highlight w:val="none"/>
        </w:rPr>
        <w:t>预算编制科学性：</w:t>
      </w:r>
      <w:r>
        <w:rPr>
          <w:rFonts w:hint="eastAsia" w:ascii="Times New Roman" w:hAnsi="Times New Roman" w:eastAsia="仿宋" w:cs="Times New Roman"/>
          <w:sz w:val="30"/>
          <w:szCs w:val="30"/>
          <w:highlight w:val="none"/>
        </w:rPr>
        <w:t>根据乌市档发【2011】65号、乌党办发【2015】59号、新档办字[2011]79号，截止2019年底，县档案馆现有馆藏档案10万卷，按每卷3.5元计算，2018年年底馆藏档案9.8万卷加上2019年机构改革进馆档案，县档案馆现有馆藏档案10万卷</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lang w:val="en-US" w:eastAsia="zh-CN"/>
        </w:rPr>
        <w:t>档案馆经费8万元，目前仅能对2.3万卷</w:t>
      </w:r>
      <w:r>
        <w:rPr>
          <w:rFonts w:hint="eastAsia" w:ascii="Times New Roman" w:hAnsi="Times New Roman" w:eastAsia="仿宋" w:cs="Times New Roman"/>
          <w:sz w:val="30"/>
          <w:szCs w:val="30"/>
          <w:highlight w:val="none"/>
        </w:rPr>
        <w:t>馆藏档案</w:t>
      </w:r>
      <w:r>
        <w:rPr>
          <w:rFonts w:hint="eastAsia" w:ascii="Times New Roman" w:hAnsi="Times New Roman" w:eastAsia="仿宋" w:cs="Times New Roman"/>
          <w:sz w:val="30"/>
          <w:szCs w:val="30"/>
          <w:highlight w:val="none"/>
          <w:lang w:val="en-US" w:eastAsia="zh-CN"/>
        </w:rPr>
        <w:t>进行维护。</w:t>
      </w:r>
      <w:r>
        <w:rPr>
          <w:rFonts w:ascii="Times New Roman" w:hAnsi="Times New Roman" w:eastAsia="仿宋" w:cs="Times New Roman"/>
          <w:sz w:val="30"/>
          <w:szCs w:val="30"/>
          <w:highlight w:val="none"/>
        </w:rPr>
        <w:t>项目绩效目标申报编制清晰，有明确标准、预算内容和项目内容相匹配，故预算编制科学性指标得分3分。</w:t>
      </w:r>
    </w:p>
    <w:p>
      <w:pPr>
        <w:spacing w:line="360" w:lineRule="auto"/>
        <w:ind w:firstLine="602" w:firstLineChars="200"/>
        <w:rPr>
          <w:rFonts w:eastAsia="仿宋"/>
          <w:sz w:val="30"/>
          <w:szCs w:val="30"/>
          <w:highlight w:val="none"/>
        </w:rPr>
      </w:pPr>
      <w:r>
        <w:rPr>
          <w:rFonts w:eastAsia="仿宋"/>
          <w:b/>
          <w:bCs/>
          <w:sz w:val="30"/>
          <w:szCs w:val="30"/>
          <w:highlight w:val="none"/>
        </w:rPr>
        <w:t>资金分配合理性：</w:t>
      </w:r>
      <w:r>
        <w:rPr>
          <w:rFonts w:eastAsia="仿宋"/>
          <w:sz w:val="30"/>
          <w:szCs w:val="30"/>
          <w:highlight w:val="none"/>
        </w:rPr>
        <w:t>预算资金分配依据充分、合理。202</w:t>
      </w:r>
      <w:r>
        <w:rPr>
          <w:rFonts w:hint="eastAsia" w:eastAsia="仿宋"/>
          <w:sz w:val="30"/>
          <w:szCs w:val="30"/>
          <w:highlight w:val="none"/>
          <w:lang w:val="en-US" w:eastAsia="zh-CN"/>
        </w:rPr>
        <w:t>2</w:t>
      </w:r>
      <w:r>
        <w:rPr>
          <w:rFonts w:eastAsia="仿宋"/>
          <w:sz w:val="30"/>
          <w:szCs w:val="30"/>
          <w:highlight w:val="none"/>
        </w:rPr>
        <w:t>年</w:t>
      </w:r>
      <w:r>
        <w:rPr>
          <w:rFonts w:hint="eastAsia" w:eastAsia="仿宋"/>
          <w:sz w:val="30"/>
          <w:szCs w:val="30"/>
          <w:highlight w:val="none"/>
          <w:lang w:val="en-US" w:eastAsia="zh-CN"/>
        </w:rPr>
        <w:t>4</w:t>
      </w:r>
      <w:r>
        <w:rPr>
          <w:rFonts w:eastAsia="仿宋"/>
          <w:sz w:val="30"/>
          <w:szCs w:val="30"/>
          <w:highlight w:val="none"/>
        </w:rPr>
        <w:t>月1</w:t>
      </w:r>
      <w:r>
        <w:rPr>
          <w:rFonts w:hint="eastAsia" w:eastAsia="仿宋"/>
          <w:sz w:val="30"/>
          <w:szCs w:val="30"/>
          <w:highlight w:val="none"/>
          <w:lang w:val="en-US" w:eastAsia="zh-CN"/>
        </w:rPr>
        <w:t>5</w:t>
      </w:r>
      <w:r>
        <w:rPr>
          <w:rFonts w:eastAsia="仿宋"/>
          <w:sz w:val="30"/>
          <w:szCs w:val="30"/>
          <w:highlight w:val="none"/>
        </w:rPr>
        <w:t>日</w:t>
      </w:r>
      <w:r>
        <w:rPr>
          <w:rFonts w:hint="eastAsia" w:eastAsia="仿宋"/>
          <w:sz w:val="30"/>
          <w:szCs w:val="30"/>
          <w:highlight w:val="none"/>
          <w:lang w:val="en-US" w:eastAsia="zh-CN"/>
        </w:rPr>
        <w:t>制作门牌0.88万元；</w:t>
      </w:r>
      <w:r>
        <w:rPr>
          <w:rFonts w:eastAsia="仿宋"/>
          <w:sz w:val="30"/>
          <w:szCs w:val="30"/>
          <w:highlight w:val="none"/>
        </w:rPr>
        <w:t>202</w:t>
      </w:r>
      <w:r>
        <w:rPr>
          <w:rFonts w:hint="eastAsia" w:eastAsia="仿宋"/>
          <w:sz w:val="30"/>
          <w:szCs w:val="30"/>
          <w:highlight w:val="none"/>
          <w:lang w:val="en-US" w:eastAsia="zh-CN"/>
        </w:rPr>
        <w:t>2</w:t>
      </w:r>
      <w:r>
        <w:rPr>
          <w:rFonts w:eastAsia="仿宋"/>
          <w:sz w:val="30"/>
          <w:szCs w:val="30"/>
          <w:highlight w:val="none"/>
        </w:rPr>
        <w:t>年</w:t>
      </w:r>
      <w:r>
        <w:rPr>
          <w:rFonts w:hint="eastAsia" w:eastAsia="仿宋"/>
          <w:sz w:val="30"/>
          <w:szCs w:val="30"/>
          <w:highlight w:val="none"/>
          <w:lang w:val="en-US" w:eastAsia="zh-CN"/>
        </w:rPr>
        <w:t>4</w:t>
      </w:r>
      <w:r>
        <w:rPr>
          <w:rFonts w:eastAsia="仿宋"/>
          <w:sz w:val="30"/>
          <w:szCs w:val="30"/>
          <w:highlight w:val="none"/>
        </w:rPr>
        <w:t>月</w:t>
      </w:r>
      <w:r>
        <w:rPr>
          <w:rFonts w:hint="eastAsia" w:eastAsia="仿宋"/>
          <w:sz w:val="30"/>
          <w:szCs w:val="30"/>
          <w:highlight w:val="none"/>
          <w:lang w:val="en-US" w:eastAsia="zh-CN"/>
        </w:rPr>
        <w:t>21</w:t>
      </w:r>
      <w:r>
        <w:rPr>
          <w:rFonts w:eastAsia="仿宋"/>
          <w:sz w:val="30"/>
          <w:szCs w:val="30"/>
          <w:highlight w:val="none"/>
        </w:rPr>
        <w:t>日</w:t>
      </w:r>
      <w:r>
        <w:rPr>
          <w:rFonts w:hint="eastAsia" w:eastAsia="仿宋"/>
          <w:sz w:val="30"/>
          <w:szCs w:val="30"/>
          <w:highlight w:val="none"/>
          <w:lang w:val="en-US" w:eastAsia="zh-CN"/>
        </w:rPr>
        <w:t>购买档案馆物资0.99万元、档案馆维修改造4.51万元；2022年5月13日支付电话费0.86万元；2022年7月5日支付上半年水费0.13万元；2022年12月15日支付水费0.08万元；</w:t>
      </w:r>
      <w:r>
        <w:rPr>
          <w:rFonts w:eastAsia="仿宋"/>
          <w:sz w:val="30"/>
          <w:szCs w:val="30"/>
          <w:highlight w:val="none"/>
        </w:rPr>
        <w:t>共计支出经费</w:t>
      </w:r>
      <w:r>
        <w:rPr>
          <w:rFonts w:hint="eastAsia" w:eastAsia="仿宋"/>
          <w:sz w:val="30"/>
          <w:szCs w:val="30"/>
          <w:highlight w:val="none"/>
          <w:lang w:val="en-US" w:eastAsia="zh-CN"/>
        </w:rPr>
        <w:t>7.46</w:t>
      </w:r>
      <w:r>
        <w:rPr>
          <w:rFonts w:eastAsia="仿宋"/>
          <w:sz w:val="30"/>
          <w:szCs w:val="30"/>
          <w:highlight w:val="none"/>
        </w:rPr>
        <w:t>万元，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w:t>
      </w:r>
    </w:p>
    <w:p>
      <w:pPr>
        <w:spacing w:line="360" w:lineRule="auto"/>
        <w:ind w:firstLine="602" w:firstLineChars="200"/>
        <w:rPr>
          <w:rFonts w:eastAsia="仿宋"/>
          <w:b/>
          <w:bCs/>
          <w:sz w:val="30"/>
          <w:szCs w:val="30"/>
          <w:highlight w:val="none"/>
        </w:rPr>
      </w:pPr>
      <w:r>
        <w:rPr>
          <w:rFonts w:eastAsia="仿宋"/>
          <w:b/>
          <w:bCs/>
          <w:sz w:val="30"/>
          <w:szCs w:val="30"/>
          <w:highlight w:val="none"/>
        </w:rPr>
        <w:t>综上，该指标满分6分，得分6分。</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eastAsia" w:ascii="Times New Roman" w:hAnsi="Times New Roman" w:eastAsia="仿宋" w:cs="Times New Roman"/>
          <w:kern w:val="44"/>
          <w:sz w:val="32"/>
          <w:szCs w:val="32"/>
          <w:highlight w:val="none"/>
          <w:lang w:val="en-US" w:eastAsia="zh-CN" w:bidi="en-US"/>
        </w:rPr>
      </w:pPr>
      <w:bookmarkStart w:id="123" w:name="_Toc27764"/>
      <w:bookmarkStart w:id="124" w:name="_Toc8328"/>
      <w:bookmarkStart w:id="125" w:name="_Toc21177"/>
      <w:bookmarkStart w:id="126" w:name="_Toc67911613"/>
      <w:bookmarkStart w:id="127" w:name="_Toc10715"/>
      <w:bookmarkStart w:id="128" w:name="_Toc22305"/>
      <w:bookmarkStart w:id="129" w:name="_Toc23821"/>
      <w:r>
        <w:rPr>
          <w:rFonts w:hint="eastAsia" w:ascii="Times New Roman" w:hAnsi="Times New Roman" w:eastAsia="仿宋" w:cs="Times New Roman"/>
          <w:kern w:val="44"/>
          <w:sz w:val="32"/>
          <w:szCs w:val="32"/>
          <w:highlight w:val="none"/>
          <w:lang w:val="en-US" w:eastAsia="zh-CN" w:bidi="en-US"/>
        </w:rPr>
        <w:t>（二）项目过程情况</w:t>
      </w:r>
      <w:bookmarkEnd w:id="123"/>
      <w:bookmarkEnd w:id="124"/>
      <w:bookmarkEnd w:id="125"/>
      <w:bookmarkEnd w:id="126"/>
      <w:bookmarkEnd w:id="127"/>
      <w:bookmarkEnd w:id="128"/>
      <w:bookmarkEnd w:id="129"/>
    </w:p>
    <w:p>
      <w:pPr>
        <w:spacing w:line="360" w:lineRule="auto"/>
        <w:ind w:firstLine="600" w:firstLineChars="200"/>
        <w:outlineLvl w:val="2"/>
        <w:rPr>
          <w:rFonts w:eastAsia="仿宋"/>
          <w:sz w:val="30"/>
          <w:szCs w:val="30"/>
          <w:highlight w:val="none"/>
        </w:rPr>
      </w:pPr>
      <w:bookmarkStart w:id="130" w:name="_Toc30707"/>
      <w:bookmarkStart w:id="131" w:name="_Toc30205"/>
      <w:bookmarkStart w:id="132" w:name="_Toc26987"/>
      <w:bookmarkStart w:id="133" w:name="_Toc19670"/>
      <w:bookmarkStart w:id="134" w:name="_Toc32677"/>
      <w:r>
        <w:rPr>
          <w:rFonts w:eastAsia="仿宋"/>
          <w:sz w:val="30"/>
          <w:szCs w:val="30"/>
          <w:highlight w:val="none"/>
        </w:rPr>
        <w:t>项目过程指标由2个二级指标和5个三级指标构成，权重为20分，实际得分</w:t>
      </w:r>
      <w:r>
        <w:rPr>
          <w:rFonts w:hint="eastAsia" w:eastAsia="仿宋"/>
          <w:sz w:val="30"/>
          <w:szCs w:val="30"/>
          <w:highlight w:val="none"/>
          <w:lang w:val="en-US" w:eastAsia="zh-CN"/>
        </w:rPr>
        <w:t>19.66</w:t>
      </w:r>
      <w:r>
        <w:rPr>
          <w:rFonts w:eastAsia="仿宋"/>
          <w:sz w:val="30"/>
          <w:szCs w:val="30"/>
          <w:highlight w:val="none"/>
        </w:rPr>
        <w:t>分。</w:t>
      </w:r>
      <w:bookmarkEnd w:id="130"/>
      <w:bookmarkEnd w:id="131"/>
      <w:bookmarkEnd w:id="132"/>
      <w:bookmarkEnd w:id="133"/>
      <w:bookmarkEnd w:id="134"/>
      <w:bookmarkStart w:id="135" w:name="_Toc24623"/>
      <w:bookmarkStart w:id="136" w:name="_Toc28857"/>
    </w:p>
    <w:p>
      <w:pPr>
        <w:spacing w:line="360" w:lineRule="auto"/>
        <w:ind w:firstLine="602" w:firstLineChars="200"/>
        <w:outlineLvl w:val="2"/>
        <w:rPr>
          <w:rFonts w:eastAsia="仿宋"/>
          <w:b/>
          <w:bCs/>
          <w:sz w:val="30"/>
          <w:szCs w:val="30"/>
          <w:highlight w:val="none"/>
        </w:rPr>
      </w:pPr>
      <w:bookmarkStart w:id="137" w:name="_Toc4224"/>
      <w:bookmarkStart w:id="138" w:name="_Toc29980"/>
      <w:bookmarkStart w:id="139" w:name="_Toc20824"/>
      <w:bookmarkStart w:id="140" w:name="_Toc16847"/>
      <w:r>
        <w:rPr>
          <w:rFonts w:eastAsia="仿宋"/>
          <w:b/>
          <w:bCs/>
          <w:sz w:val="30"/>
          <w:szCs w:val="30"/>
          <w:highlight w:val="none"/>
        </w:rPr>
        <w:t>1.资金管理</w:t>
      </w:r>
      <w:bookmarkEnd w:id="135"/>
      <w:bookmarkEnd w:id="136"/>
      <w:bookmarkEnd w:id="137"/>
      <w:bookmarkEnd w:id="138"/>
      <w:bookmarkEnd w:id="139"/>
      <w:bookmarkEnd w:id="140"/>
    </w:p>
    <w:p>
      <w:pPr>
        <w:spacing w:line="360" w:lineRule="auto"/>
        <w:ind w:firstLine="600" w:firstLineChars="200"/>
        <w:rPr>
          <w:rFonts w:eastAsia="仿宋"/>
          <w:sz w:val="30"/>
          <w:szCs w:val="30"/>
          <w:highlight w:val="none"/>
        </w:rPr>
      </w:pPr>
      <w:r>
        <w:rPr>
          <w:rFonts w:eastAsia="仿宋"/>
          <w:sz w:val="30"/>
          <w:szCs w:val="30"/>
          <w:highlight w:val="none"/>
        </w:rPr>
        <w:t>资金到位率：预算资金</w:t>
      </w:r>
      <w:r>
        <w:rPr>
          <w:rFonts w:hint="eastAsia" w:eastAsia="仿宋"/>
          <w:sz w:val="30"/>
          <w:szCs w:val="30"/>
          <w:highlight w:val="none"/>
          <w:lang w:val="en-US" w:eastAsia="zh-CN"/>
        </w:rPr>
        <w:t>8</w:t>
      </w:r>
      <w:r>
        <w:rPr>
          <w:rFonts w:eastAsia="仿宋"/>
          <w:sz w:val="30"/>
          <w:szCs w:val="30"/>
          <w:highlight w:val="none"/>
        </w:rPr>
        <w:t>万</w:t>
      </w:r>
      <w:r>
        <w:rPr>
          <w:rFonts w:eastAsia="仿宋"/>
          <w:color w:val="000000" w:themeColor="text1"/>
          <w:sz w:val="30"/>
          <w:szCs w:val="30"/>
          <w:highlight w:val="none"/>
        </w:rPr>
        <w:t>元，202</w:t>
      </w:r>
      <w:r>
        <w:rPr>
          <w:rFonts w:hint="eastAsia" w:eastAsia="仿宋"/>
          <w:color w:val="000000" w:themeColor="text1"/>
          <w:sz w:val="30"/>
          <w:szCs w:val="30"/>
          <w:highlight w:val="none"/>
          <w:lang w:val="en-US" w:eastAsia="zh-CN"/>
        </w:rPr>
        <w:t>2</w:t>
      </w:r>
      <w:r>
        <w:rPr>
          <w:rFonts w:eastAsia="仿宋"/>
          <w:color w:val="000000" w:themeColor="text1"/>
          <w:sz w:val="30"/>
          <w:szCs w:val="30"/>
          <w:highlight w:val="none"/>
        </w:rPr>
        <w:t>年1月份</w:t>
      </w:r>
      <w:r>
        <w:rPr>
          <w:rFonts w:eastAsia="仿宋"/>
          <w:sz w:val="30"/>
          <w:szCs w:val="30"/>
          <w:highlight w:val="none"/>
        </w:rPr>
        <w:t>拨付资金</w:t>
      </w:r>
      <w:r>
        <w:rPr>
          <w:rFonts w:hint="eastAsia" w:eastAsia="仿宋"/>
          <w:sz w:val="30"/>
          <w:szCs w:val="30"/>
          <w:highlight w:val="none"/>
          <w:lang w:val="en-US" w:eastAsia="zh-CN"/>
        </w:rPr>
        <w:t>8</w:t>
      </w:r>
      <w:r>
        <w:rPr>
          <w:rFonts w:eastAsia="仿宋"/>
          <w:sz w:val="30"/>
          <w:szCs w:val="30"/>
          <w:highlight w:val="none"/>
        </w:rPr>
        <w:t>万元及时到位，资金与实际到位资金相符，资金到位率100%。故资金到位率指标得分5分。</w:t>
      </w:r>
    </w:p>
    <w:p>
      <w:pPr>
        <w:spacing w:line="360" w:lineRule="auto"/>
        <w:ind w:firstLine="600" w:firstLineChars="200"/>
        <w:rPr>
          <w:rFonts w:eastAsia="仿宋"/>
          <w:sz w:val="30"/>
          <w:szCs w:val="30"/>
          <w:highlight w:val="none"/>
        </w:rPr>
      </w:pPr>
      <w:r>
        <w:rPr>
          <w:rFonts w:eastAsia="仿宋"/>
          <w:sz w:val="30"/>
          <w:szCs w:val="30"/>
          <w:highlight w:val="none"/>
        </w:rPr>
        <w:t>预算执行率</w:t>
      </w:r>
      <w:r>
        <w:rPr>
          <w:rFonts w:eastAsia="仿宋"/>
          <w:sz w:val="30"/>
          <w:szCs w:val="30"/>
          <w:highlight w:val="none"/>
        </w:rPr>
        <w:t>：项目正常开展，202</w:t>
      </w:r>
      <w:r>
        <w:rPr>
          <w:rFonts w:hint="eastAsia" w:eastAsia="仿宋"/>
          <w:sz w:val="30"/>
          <w:szCs w:val="30"/>
          <w:highlight w:val="none"/>
          <w:lang w:val="en-US" w:eastAsia="zh-CN"/>
        </w:rPr>
        <w:t>2</w:t>
      </w:r>
      <w:r>
        <w:rPr>
          <w:rFonts w:eastAsia="仿宋"/>
          <w:sz w:val="30"/>
          <w:szCs w:val="30"/>
          <w:highlight w:val="none"/>
        </w:rPr>
        <w:t>年</w:t>
      </w:r>
      <w:r>
        <w:rPr>
          <w:rFonts w:hint="eastAsia" w:eastAsia="仿宋"/>
          <w:sz w:val="30"/>
          <w:szCs w:val="30"/>
          <w:highlight w:val="none"/>
          <w:lang w:val="en-US" w:eastAsia="zh-CN"/>
        </w:rPr>
        <w:t>4</w:t>
      </w:r>
      <w:r>
        <w:rPr>
          <w:rFonts w:eastAsia="仿宋"/>
          <w:sz w:val="30"/>
          <w:szCs w:val="30"/>
          <w:highlight w:val="none"/>
        </w:rPr>
        <w:t>月1</w:t>
      </w:r>
      <w:r>
        <w:rPr>
          <w:rFonts w:hint="eastAsia" w:eastAsia="仿宋"/>
          <w:sz w:val="30"/>
          <w:szCs w:val="30"/>
          <w:highlight w:val="none"/>
          <w:lang w:val="en-US" w:eastAsia="zh-CN"/>
        </w:rPr>
        <w:t>5</w:t>
      </w:r>
      <w:r>
        <w:rPr>
          <w:rFonts w:eastAsia="仿宋"/>
          <w:sz w:val="30"/>
          <w:szCs w:val="30"/>
          <w:highlight w:val="none"/>
        </w:rPr>
        <w:t>日</w:t>
      </w:r>
      <w:r>
        <w:rPr>
          <w:rFonts w:hint="eastAsia" w:eastAsia="仿宋"/>
          <w:sz w:val="30"/>
          <w:szCs w:val="30"/>
          <w:highlight w:val="none"/>
          <w:lang w:val="en-US" w:eastAsia="zh-CN"/>
        </w:rPr>
        <w:t>制作门牌0.88万元；</w:t>
      </w:r>
      <w:r>
        <w:rPr>
          <w:rFonts w:eastAsia="仿宋"/>
          <w:sz w:val="30"/>
          <w:szCs w:val="30"/>
          <w:highlight w:val="none"/>
        </w:rPr>
        <w:t>202</w:t>
      </w:r>
      <w:r>
        <w:rPr>
          <w:rFonts w:hint="eastAsia" w:eastAsia="仿宋"/>
          <w:sz w:val="30"/>
          <w:szCs w:val="30"/>
          <w:highlight w:val="none"/>
          <w:lang w:val="en-US" w:eastAsia="zh-CN"/>
        </w:rPr>
        <w:t>2</w:t>
      </w:r>
      <w:r>
        <w:rPr>
          <w:rFonts w:eastAsia="仿宋"/>
          <w:sz w:val="30"/>
          <w:szCs w:val="30"/>
          <w:highlight w:val="none"/>
        </w:rPr>
        <w:t>年</w:t>
      </w:r>
      <w:r>
        <w:rPr>
          <w:rFonts w:hint="eastAsia" w:eastAsia="仿宋"/>
          <w:sz w:val="30"/>
          <w:szCs w:val="30"/>
          <w:highlight w:val="none"/>
          <w:lang w:val="en-US" w:eastAsia="zh-CN"/>
        </w:rPr>
        <w:t>4</w:t>
      </w:r>
      <w:r>
        <w:rPr>
          <w:rFonts w:eastAsia="仿宋"/>
          <w:sz w:val="30"/>
          <w:szCs w:val="30"/>
          <w:highlight w:val="none"/>
        </w:rPr>
        <w:t>月</w:t>
      </w:r>
      <w:r>
        <w:rPr>
          <w:rFonts w:hint="eastAsia" w:eastAsia="仿宋"/>
          <w:sz w:val="30"/>
          <w:szCs w:val="30"/>
          <w:highlight w:val="none"/>
          <w:lang w:val="en-US" w:eastAsia="zh-CN"/>
        </w:rPr>
        <w:t>21</w:t>
      </w:r>
      <w:r>
        <w:rPr>
          <w:rFonts w:eastAsia="仿宋"/>
          <w:sz w:val="30"/>
          <w:szCs w:val="30"/>
          <w:highlight w:val="none"/>
        </w:rPr>
        <w:t>日</w:t>
      </w:r>
      <w:r>
        <w:rPr>
          <w:rFonts w:hint="eastAsia" w:eastAsia="仿宋"/>
          <w:sz w:val="30"/>
          <w:szCs w:val="30"/>
          <w:highlight w:val="none"/>
          <w:lang w:val="en-US" w:eastAsia="zh-CN"/>
        </w:rPr>
        <w:t>购买档案馆物资0.99万元、档案馆维修改造4.51万元；2022年5月13日支付电话费0.86万元；2022年7月5日支付上半年水费0.13万元；2022年12月15日支付水费0.08万元；</w:t>
      </w:r>
      <w:r>
        <w:rPr>
          <w:rFonts w:eastAsia="仿宋"/>
          <w:sz w:val="30"/>
          <w:szCs w:val="30"/>
          <w:highlight w:val="none"/>
        </w:rPr>
        <w:t>共计支出经费</w:t>
      </w:r>
      <w:r>
        <w:rPr>
          <w:rFonts w:hint="eastAsia" w:eastAsia="仿宋"/>
          <w:sz w:val="30"/>
          <w:szCs w:val="30"/>
          <w:highlight w:val="none"/>
          <w:lang w:val="en-US" w:eastAsia="zh-CN"/>
        </w:rPr>
        <w:t>7.46</w:t>
      </w:r>
      <w:r>
        <w:rPr>
          <w:rFonts w:eastAsia="仿宋"/>
          <w:sz w:val="30"/>
          <w:szCs w:val="30"/>
          <w:highlight w:val="none"/>
        </w:rPr>
        <w:t>万元，经费主要用于</w:t>
      </w:r>
      <w:r>
        <w:rPr>
          <w:rFonts w:hint="eastAsia" w:eastAsia="仿宋"/>
          <w:sz w:val="30"/>
          <w:szCs w:val="30"/>
          <w:highlight w:val="none"/>
        </w:rPr>
        <w:t>档案馆电子文档数据中心建设方面</w:t>
      </w:r>
      <w:r>
        <w:rPr>
          <w:rFonts w:eastAsia="仿宋"/>
          <w:sz w:val="30"/>
          <w:szCs w:val="30"/>
          <w:highlight w:val="none"/>
        </w:rPr>
        <w:t>。</w:t>
      </w:r>
      <w:r>
        <w:rPr>
          <w:rFonts w:hint="eastAsia" w:eastAsia="仿宋"/>
          <w:sz w:val="30"/>
          <w:szCs w:val="30"/>
          <w:highlight w:val="none"/>
          <w:lang w:val="en-US" w:eastAsia="zh-CN"/>
        </w:rPr>
        <w:t>预算执行率</w:t>
      </w:r>
      <w:r>
        <w:rPr>
          <w:rFonts w:hint="eastAsia" w:ascii="Times New Roman" w:hAnsi="Times New Roman" w:eastAsia="仿宋" w:cs="Times New Roman"/>
          <w:sz w:val="30"/>
          <w:szCs w:val="30"/>
          <w:highlight w:val="none"/>
          <w:lang w:val="en-US" w:eastAsia="zh-CN"/>
        </w:rPr>
        <w:t>93.25%，</w:t>
      </w:r>
      <w:r>
        <w:rPr>
          <w:rFonts w:eastAsia="仿宋"/>
          <w:sz w:val="30"/>
          <w:szCs w:val="30"/>
          <w:highlight w:val="none"/>
        </w:rPr>
        <w:t>故预算执行率得分为</w:t>
      </w:r>
      <w:r>
        <w:rPr>
          <w:rFonts w:hint="eastAsia" w:eastAsia="仿宋"/>
          <w:sz w:val="30"/>
          <w:szCs w:val="30"/>
          <w:highlight w:val="none"/>
          <w:lang w:val="en-US" w:eastAsia="zh-CN"/>
        </w:rPr>
        <w:t>4.66</w:t>
      </w:r>
      <w:r>
        <w:rPr>
          <w:rFonts w:eastAsia="仿宋"/>
          <w:sz w:val="30"/>
          <w:szCs w:val="30"/>
          <w:highlight w:val="none"/>
        </w:rPr>
        <w:t>分。</w:t>
      </w:r>
    </w:p>
    <w:p>
      <w:pPr>
        <w:spacing w:line="360" w:lineRule="auto"/>
        <w:ind w:firstLine="600" w:firstLineChars="200"/>
        <w:rPr>
          <w:rFonts w:eastAsia="仿宋"/>
          <w:sz w:val="30"/>
          <w:szCs w:val="30"/>
          <w:highlight w:val="none"/>
        </w:rPr>
      </w:pPr>
      <w:r>
        <w:rPr>
          <w:rFonts w:eastAsia="仿宋"/>
          <w:sz w:val="30"/>
          <w:szCs w:val="30"/>
          <w:highlight w:val="none"/>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spacing w:line="360" w:lineRule="auto"/>
        <w:ind w:firstLine="600" w:firstLineChars="200"/>
        <w:rPr>
          <w:rFonts w:eastAsia="仿宋"/>
          <w:sz w:val="30"/>
          <w:szCs w:val="30"/>
          <w:highlight w:val="none"/>
        </w:rPr>
      </w:pPr>
      <w:r>
        <w:rPr>
          <w:rFonts w:eastAsia="仿宋"/>
          <w:sz w:val="30"/>
          <w:szCs w:val="30"/>
          <w:highlight w:val="none"/>
        </w:rPr>
        <w:t>综上，该指标满分13分，得分</w:t>
      </w:r>
      <w:r>
        <w:rPr>
          <w:rFonts w:hint="eastAsia" w:eastAsia="仿宋"/>
          <w:sz w:val="30"/>
          <w:szCs w:val="30"/>
          <w:highlight w:val="none"/>
          <w:lang w:val="en-US" w:eastAsia="zh-CN"/>
        </w:rPr>
        <w:t>12.66</w:t>
      </w:r>
      <w:r>
        <w:rPr>
          <w:rFonts w:eastAsia="仿宋"/>
          <w:sz w:val="30"/>
          <w:szCs w:val="30"/>
          <w:highlight w:val="none"/>
        </w:rPr>
        <w:t>分。</w:t>
      </w:r>
    </w:p>
    <w:p>
      <w:pPr>
        <w:spacing w:line="360" w:lineRule="auto"/>
        <w:ind w:firstLine="602" w:firstLineChars="200"/>
        <w:outlineLvl w:val="2"/>
        <w:rPr>
          <w:rFonts w:eastAsia="仿宋"/>
          <w:b/>
          <w:bCs/>
          <w:sz w:val="30"/>
          <w:szCs w:val="30"/>
          <w:highlight w:val="none"/>
        </w:rPr>
      </w:pPr>
      <w:bookmarkStart w:id="141" w:name="_Toc12737"/>
      <w:bookmarkStart w:id="142" w:name="_Toc10785"/>
      <w:bookmarkStart w:id="143" w:name="_Toc12012"/>
      <w:bookmarkStart w:id="144" w:name="_Toc1916"/>
      <w:bookmarkStart w:id="145" w:name="_Toc19335"/>
      <w:bookmarkStart w:id="146" w:name="_Toc32073"/>
      <w:r>
        <w:rPr>
          <w:rFonts w:eastAsia="仿宋"/>
          <w:b/>
          <w:bCs/>
          <w:sz w:val="30"/>
          <w:szCs w:val="30"/>
          <w:highlight w:val="none"/>
        </w:rPr>
        <w:t>2.组织实施</w:t>
      </w:r>
      <w:bookmarkEnd w:id="141"/>
      <w:bookmarkEnd w:id="142"/>
      <w:bookmarkEnd w:id="143"/>
      <w:bookmarkEnd w:id="144"/>
      <w:bookmarkEnd w:id="145"/>
      <w:bookmarkEnd w:id="146"/>
    </w:p>
    <w:p>
      <w:pPr>
        <w:spacing w:line="360" w:lineRule="auto"/>
        <w:ind w:firstLine="602" w:firstLineChars="200"/>
        <w:rPr>
          <w:rFonts w:eastAsia="仿宋"/>
          <w:sz w:val="30"/>
          <w:szCs w:val="30"/>
          <w:highlight w:val="none"/>
        </w:rPr>
      </w:pPr>
      <w:r>
        <w:rPr>
          <w:rFonts w:eastAsia="仿宋"/>
          <w:b/>
          <w:bCs/>
          <w:sz w:val="30"/>
          <w:szCs w:val="30"/>
          <w:highlight w:val="none"/>
        </w:rPr>
        <w:t>管理制度健全性</w:t>
      </w:r>
      <w:r>
        <w:rPr>
          <w:rFonts w:eastAsia="仿宋"/>
          <w:sz w:val="30"/>
          <w:szCs w:val="30"/>
          <w:highlight w:val="none"/>
        </w:rPr>
        <w:t>：</w:t>
      </w:r>
      <w:r>
        <w:rPr>
          <w:rFonts w:hint="eastAsia" w:eastAsia="仿宋"/>
          <w:sz w:val="30"/>
          <w:szCs w:val="30"/>
          <w:highlight w:val="none"/>
        </w:rPr>
        <w:t>项目</w:t>
      </w:r>
      <w:r>
        <w:rPr>
          <w:rFonts w:eastAsia="仿宋"/>
          <w:sz w:val="30"/>
          <w:szCs w:val="30"/>
          <w:highlight w:val="none"/>
        </w:rPr>
        <w:t>已制定相应的财务和业务管理制度，且制度合法、合规、完整，为项目顺利实施提供重要保障。故管理制度健全性得分为3分。</w:t>
      </w:r>
    </w:p>
    <w:p>
      <w:pPr>
        <w:spacing w:line="360" w:lineRule="auto"/>
        <w:ind w:firstLine="602" w:firstLineChars="200"/>
        <w:rPr>
          <w:rFonts w:eastAsia="仿宋"/>
          <w:sz w:val="30"/>
          <w:szCs w:val="30"/>
          <w:highlight w:val="none"/>
        </w:rPr>
      </w:pPr>
      <w:r>
        <w:rPr>
          <w:rFonts w:eastAsia="仿宋"/>
          <w:b/>
          <w:bCs/>
          <w:sz w:val="30"/>
          <w:szCs w:val="30"/>
          <w:highlight w:val="none"/>
        </w:rPr>
        <w:t>制度执行有效性</w:t>
      </w:r>
      <w:r>
        <w:rPr>
          <w:rFonts w:eastAsia="仿宋"/>
          <w:sz w:val="30"/>
          <w:szCs w:val="30"/>
          <w:highlight w:val="none"/>
        </w:rPr>
        <w:t>：根据现场调研和资料抽查情况，</w:t>
      </w:r>
      <w:r>
        <w:rPr>
          <w:rFonts w:hint="eastAsia" w:eastAsia="仿宋"/>
          <w:sz w:val="30"/>
          <w:szCs w:val="30"/>
          <w:highlight w:val="none"/>
        </w:rPr>
        <w:t>项目</w:t>
      </w:r>
      <w:r>
        <w:rPr>
          <w:rFonts w:eastAsia="仿宋"/>
          <w:sz w:val="30"/>
          <w:szCs w:val="30"/>
          <w:highlight w:val="none"/>
        </w:rPr>
        <w:t>严格遵守相关法律法规和相关管理规定，项目调整及支出调整手续完备，整体管理合理有序，项目完成后，及时将会计凭证等相关资料分类归档，制度执行有效。故制度执行有效性指标得分4分。</w:t>
      </w:r>
    </w:p>
    <w:p>
      <w:pPr>
        <w:spacing w:line="360" w:lineRule="auto"/>
        <w:ind w:firstLine="602" w:firstLineChars="200"/>
        <w:rPr>
          <w:rFonts w:eastAsia="仿宋"/>
          <w:b/>
          <w:bCs/>
          <w:sz w:val="30"/>
          <w:szCs w:val="30"/>
          <w:highlight w:val="none"/>
        </w:rPr>
      </w:pPr>
      <w:bookmarkStart w:id="147" w:name="_Hlk67670213"/>
      <w:r>
        <w:rPr>
          <w:rFonts w:eastAsia="仿宋"/>
          <w:b/>
          <w:bCs/>
          <w:sz w:val="30"/>
          <w:szCs w:val="30"/>
          <w:highlight w:val="none"/>
        </w:rPr>
        <w:t>综上，该指标满分7分，得分7分。</w:t>
      </w:r>
    </w:p>
    <w:bookmarkEnd w:id="147"/>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eastAsia" w:ascii="Times New Roman" w:hAnsi="Times New Roman" w:eastAsia="仿宋" w:cs="Times New Roman"/>
          <w:kern w:val="44"/>
          <w:sz w:val="32"/>
          <w:szCs w:val="32"/>
          <w:highlight w:val="none"/>
          <w:lang w:val="en-US" w:eastAsia="zh-CN" w:bidi="en-US"/>
        </w:rPr>
      </w:pPr>
      <w:bookmarkStart w:id="148" w:name="_Toc28746"/>
      <w:bookmarkStart w:id="149" w:name="_Toc12897"/>
      <w:bookmarkStart w:id="150" w:name="_Toc30542"/>
      <w:bookmarkStart w:id="151" w:name="_Toc21463"/>
      <w:bookmarkStart w:id="152" w:name="_Toc18996"/>
      <w:bookmarkStart w:id="153" w:name="_Toc2355"/>
      <w:bookmarkStart w:id="154" w:name="_Toc67911614"/>
      <w:r>
        <w:rPr>
          <w:rFonts w:hint="eastAsia" w:ascii="Times New Roman" w:hAnsi="Times New Roman" w:eastAsia="仿宋" w:cs="Times New Roman"/>
          <w:kern w:val="44"/>
          <w:sz w:val="32"/>
          <w:szCs w:val="32"/>
          <w:highlight w:val="none"/>
          <w:lang w:val="en-US" w:eastAsia="zh-CN" w:bidi="en-US"/>
        </w:rPr>
        <w:t>（三）项目产出情况</w:t>
      </w:r>
      <w:bookmarkEnd w:id="148"/>
      <w:bookmarkEnd w:id="149"/>
      <w:bookmarkEnd w:id="150"/>
      <w:bookmarkEnd w:id="151"/>
      <w:bookmarkEnd w:id="152"/>
      <w:bookmarkEnd w:id="153"/>
      <w:bookmarkEnd w:id="154"/>
    </w:p>
    <w:p>
      <w:pPr>
        <w:spacing w:line="360" w:lineRule="auto"/>
        <w:ind w:firstLine="600" w:firstLineChars="200"/>
        <w:rPr>
          <w:rFonts w:ascii="Times New Roman" w:hAnsi="Times New Roman" w:eastAsia="仿宋" w:cs="Times New Roman"/>
          <w:sz w:val="30"/>
          <w:szCs w:val="30"/>
          <w:highlight w:val="none"/>
        </w:rPr>
      </w:pPr>
      <w:bookmarkStart w:id="155" w:name="_Toc14797"/>
      <w:r>
        <w:rPr>
          <w:rFonts w:ascii="Times New Roman" w:hAnsi="Times New Roman" w:eastAsia="仿宋" w:cs="Times New Roman"/>
          <w:sz w:val="30"/>
          <w:szCs w:val="30"/>
          <w:highlight w:val="none"/>
        </w:rPr>
        <w:t>项目产出指标由4个二级指标和</w:t>
      </w:r>
      <w:r>
        <w:rPr>
          <w:rFonts w:hint="eastAsia" w:ascii="Times New Roman" w:hAnsi="Times New Roman" w:eastAsia="仿宋" w:cs="Times New Roman"/>
          <w:sz w:val="30"/>
          <w:szCs w:val="30"/>
          <w:highlight w:val="none"/>
          <w:lang w:val="en-US" w:eastAsia="zh-CN"/>
        </w:rPr>
        <w:t>7</w:t>
      </w:r>
      <w:r>
        <w:rPr>
          <w:rFonts w:ascii="Times New Roman" w:hAnsi="Times New Roman" w:eastAsia="仿宋" w:cs="Times New Roman"/>
          <w:sz w:val="30"/>
          <w:szCs w:val="30"/>
          <w:highlight w:val="none"/>
        </w:rPr>
        <w:t>个三级指标构成，权重为40分，实际得分</w:t>
      </w:r>
      <w:r>
        <w:rPr>
          <w:rFonts w:hint="eastAsia" w:ascii="Times New Roman" w:hAnsi="Times New Roman" w:eastAsia="仿宋" w:cs="Times New Roman"/>
          <w:sz w:val="30"/>
          <w:szCs w:val="30"/>
          <w:highlight w:val="none"/>
          <w:lang w:val="en-US" w:eastAsia="zh-CN"/>
        </w:rPr>
        <w:t>39.5</w:t>
      </w:r>
      <w:r>
        <w:rPr>
          <w:rFonts w:ascii="Times New Roman" w:hAnsi="Times New Roman" w:eastAsia="仿宋" w:cs="Times New Roman"/>
          <w:sz w:val="30"/>
          <w:szCs w:val="30"/>
          <w:highlight w:val="none"/>
        </w:rPr>
        <w:t>分。</w:t>
      </w:r>
      <w:bookmarkEnd w:id="155"/>
      <w:bookmarkStart w:id="156" w:name="_Toc30531"/>
      <w:bookmarkStart w:id="157" w:name="_Toc19076"/>
    </w:p>
    <w:p>
      <w:pPr>
        <w:spacing w:line="360" w:lineRule="auto"/>
        <w:ind w:firstLine="602" w:firstLineChars="200"/>
        <w:outlineLvl w:val="2"/>
        <w:rPr>
          <w:rFonts w:eastAsia="仿宋"/>
          <w:b/>
          <w:bCs/>
          <w:sz w:val="30"/>
          <w:szCs w:val="30"/>
          <w:highlight w:val="none"/>
        </w:rPr>
      </w:pPr>
      <w:bookmarkStart w:id="158" w:name="_Toc14543"/>
      <w:bookmarkStart w:id="159" w:name="_Toc5091"/>
      <w:bookmarkStart w:id="160" w:name="_Toc28144"/>
      <w:bookmarkStart w:id="161" w:name="_Toc30637"/>
      <w:r>
        <w:rPr>
          <w:rFonts w:eastAsia="仿宋"/>
          <w:b/>
          <w:bCs/>
          <w:sz w:val="30"/>
          <w:szCs w:val="30"/>
          <w:highlight w:val="none"/>
        </w:rPr>
        <w:t>1.产出数量</w:t>
      </w:r>
      <w:bookmarkEnd w:id="156"/>
      <w:bookmarkEnd w:id="157"/>
      <w:bookmarkEnd w:id="158"/>
      <w:bookmarkEnd w:id="159"/>
      <w:bookmarkEnd w:id="160"/>
      <w:bookmarkEnd w:id="161"/>
    </w:p>
    <w:p>
      <w:pPr>
        <w:spacing w:line="360" w:lineRule="auto"/>
        <w:ind w:firstLine="600" w:firstLineChars="200"/>
        <w:outlineLvl w:val="2"/>
        <w:rPr>
          <w:rFonts w:hint="eastAsia" w:eastAsia="仿宋"/>
          <w:sz w:val="30"/>
          <w:szCs w:val="30"/>
          <w:highlight w:val="none"/>
          <w:lang w:eastAsia="zh-CN"/>
        </w:rPr>
      </w:pPr>
      <w:bookmarkStart w:id="162" w:name="_Toc18223"/>
      <w:bookmarkStart w:id="163" w:name="_Toc1342"/>
      <w:bookmarkStart w:id="164" w:name="_Toc32648"/>
      <w:bookmarkStart w:id="165" w:name="_Toc26012"/>
      <w:bookmarkStart w:id="166" w:name="_Toc12203"/>
      <w:r>
        <w:rPr>
          <w:rFonts w:hint="eastAsia" w:eastAsia="仿宋"/>
          <w:sz w:val="30"/>
          <w:szCs w:val="30"/>
          <w:highlight w:val="none"/>
        </w:rPr>
        <w:t>数量指标</w:t>
      </w:r>
      <w:r>
        <w:rPr>
          <w:rFonts w:hint="eastAsia" w:eastAsia="仿宋"/>
          <w:sz w:val="30"/>
          <w:szCs w:val="30"/>
          <w:highlight w:val="none"/>
          <w:lang w:eastAsia="zh-CN"/>
        </w:rPr>
        <w:t>：“</w:t>
      </w:r>
      <w:r>
        <w:rPr>
          <w:rFonts w:hint="eastAsia" w:eastAsia="仿宋"/>
          <w:sz w:val="30"/>
          <w:szCs w:val="30"/>
          <w:highlight w:val="none"/>
        </w:rPr>
        <w:t>维护档案数量</w:t>
      </w:r>
      <w:r>
        <w:rPr>
          <w:rFonts w:hint="eastAsia" w:eastAsia="仿宋"/>
          <w:sz w:val="30"/>
          <w:szCs w:val="30"/>
          <w:highlight w:val="none"/>
          <w:lang w:eastAsia="zh-CN"/>
        </w:rPr>
        <w:t>”</w:t>
      </w:r>
      <w:r>
        <w:rPr>
          <w:rFonts w:hint="eastAsia" w:eastAsia="仿宋"/>
          <w:sz w:val="30"/>
          <w:szCs w:val="30"/>
          <w:highlight w:val="none"/>
        </w:rPr>
        <w:t>的目标值是10万卷，2</w:t>
      </w:r>
      <w:r>
        <w:rPr>
          <w:rFonts w:eastAsia="仿宋"/>
          <w:sz w:val="30"/>
          <w:szCs w:val="30"/>
          <w:highlight w:val="none"/>
        </w:rPr>
        <w:t>02</w:t>
      </w:r>
      <w:r>
        <w:rPr>
          <w:rFonts w:hint="eastAsia" w:eastAsia="仿宋"/>
          <w:sz w:val="30"/>
          <w:szCs w:val="30"/>
          <w:highlight w:val="none"/>
          <w:lang w:val="en-US" w:eastAsia="zh-CN"/>
        </w:rPr>
        <w:t>2</w:t>
      </w:r>
      <w:r>
        <w:rPr>
          <w:rFonts w:eastAsia="仿宋"/>
          <w:sz w:val="30"/>
          <w:szCs w:val="30"/>
          <w:highlight w:val="none"/>
        </w:rPr>
        <w:t>年度我单位实际完成</w:t>
      </w:r>
      <w:r>
        <w:rPr>
          <w:rFonts w:hint="eastAsia" w:eastAsia="仿宋"/>
          <w:sz w:val="30"/>
          <w:szCs w:val="30"/>
          <w:highlight w:val="none"/>
          <w:lang w:val="en-US" w:eastAsia="zh-CN"/>
        </w:rPr>
        <w:t>9</w:t>
      </w:r>
      <w:r>
        <w:rPr>
          <w:rFonts w:hint="eastAsia" w:eastAsia="仿宋"/>
          <w:sz w:val="30"/>
          <w:szCs w:val="30"/>
          <w:highlight w:val="none"/>
        </w:rPr>
        <w:t>万卷</w:t>
      </w:r>
      <w:bookmarkEnd w:id="162"/>
      <w:r>
        <w:rPr>
          <w:rFonts w:hint="eastAsia" w:eastAsia="仿宋"/>
          <w:sz w:val="30"/>
          <w:szCs w:val="30"/>
          <w:highlight w:val="none"/>
        </w:rPr>
        <w:t>，</w:t>
      </w:r>
      <w:r>
        <w:rPr>
          <w:rFonts w:eastAsia="仿宋"/>
          <w:sz w:val="30"/>
          <w:szCs w:val="30"/>
          <w:highlight w:val="none"/>
        </w:rPr>
        <w:t>计划按期完成率</w:t>
      </w:r>
      <w:r>
        <w:rPr>
          <w:rFonts w:hint="eastAsia" w:eastAsia="仿宋"/>
          <w:sz w:val="30"/>
          <w:szCs w:val="30"/>
          <w:highlight w:val="none"/>
          <w:lang w:val="en-US" w:eastAsia="zh-CN"/>
        </w:rPr>
        <w:t>9</w:t>
      </w:r>
      <w:r>
        <w:rPr>
          <w:rFonts w:eastAsia="仿宋"/>
          <w:sz w:val="30"/>
          <w:szCs w:val="30"/>
          <w:highlight w:val="none"/>
        </w:rPr>
        <w:t>0%</w:t>
      </w:r>
      <w:r>
        <w:rPr>
          <w:rFonts w:hint="eastAsia" w:eastAsia="仿宋"/>
          <w:sz w:val="30"/>
          <w:szCs w:val="30"/>
          <w:highlight w:val="none"/>
        </w:rPr>
        <w:t>；因疫情原因，未能及时完成</w:t>
      </w:r>
      <w:r>
        <w:rPr>
          <w:rFonts w:hint="eastAsia" w:eastAsia="仿宋"/>
          <w:sz w:val="30"/>
          <w:szCs w:val="30"/>
          <w:highlight w:val="none"/>
          <w:lang w:eastAsia="zh-CN"/>
        </w:rPr>
        <w:t>；</w:t>
      </w:r>
      <w:bookmarkEnd w:id="163"/>
      <w:bookmarkEnd w:id="164"/>
      <w:bookmarkEnd w:id="165"/>
      <w:bookmarkEnd w:id="166"/>
    </w:p>
    <w:p>
      <w:pPr>
        <w:spacing w:line="360" w:lineRule="auto"/>
        <w:ind w:firstLine="600" w:firstLineChars="200"/>
        <w:outlineLvl w:val="2"/>
        <w:rPr>
          <w:rFonts w:hint="eastAsia" w:eastAsia="仿宋"/>
          <w:sz w:val="30"/>
          <w:szCs w:val="30"/>
          <w:highlight w:val="none"/>
        </w:rPr>
      </w:pPr>
      <w:bookmarkStart w:id="167" w:name="_Toc24982"/>
      <w:bookmarkStart w:id="168" w:name="_Toc21332"/>
      <w:bookmarkStart w:id="169" w:name="_Toc31315"/>
      <w:bookmarkStart w:id="170" w:name="_Toc13373"/>
      <w:r>
        <w:rPr>
          <w:rFonts w:hint="eastAsia" w:ascii="Times New Roman" w:hAnsi="Times New Roman" w:eastAsia="仿宋" w:cs="Times New Roman"/>
          <w:kern w:val="2"/>
          <w:sz w:val="30"/>
          <w:szCs w:val="30"/>
          <w:highlight w:val="none"/>
          <w:lang w:val="en-US" w:eastAsia="zh-CN" w:bidi="ar-SA"/>
        </w:rPr>
        <w:t>“购买维护耗材次数”</w:t>
      </w:r>
      <w:r>
        <w:rPr>
          <w:rFonts w:hint="eastAsia" w:eastAsia="仿宋"/>
          <w:sz w:val="30"/>
          <w:szCs w:val="30"/>
          <w:highlight w:val="none"/>
        </w:rPr>
        <w:t>的目标值是</w:t>
      </w:r>
      <w:r>
        <w:rPr>
          <w:rFonts w:hint="eastAsia" w:eastAsia="仿宋"/>
          <w:sz w:val="30"/>
          <w:szCs w:val="30"/>
          <w:highlight w:val="none"/>
          <w:lang w:val="en-US" w:eastAsia="zh-CN"/>
        </w:rPr>
        <w:t>5次</w:t>
      </w:r>
      <w:r>
        <w:rPr>
          <w:rFonts w:hint="eastAsia" w:eastAsia="仿宋"/>
          <w:sz w:val="30"/>
          <w:szCs w:val="30"/>
          <w:highlight w:val="none"/>
        </w:rPr>
        <w:t>，2</w:t>
      </w:r>
      <w:r>
        <w:rPr>
          <w:rFonts w:eastAsia="仿宋"/>
          <w:sz w:val="30"/>
          <w:szCs w:val="30"/>
          <w:highlight w:val="none"/>
        </w:rPr>
        <w:t>02</w:t>
      </w:r>
      <w:r>
        <w:rPr>
          <w:rFonts w:hint="eastAsia" w:eastAsia="仿宋"/>
          <w:sz w:val="30"/>
          <w:szCs w:val="30"/>
          <w:highlight w:val="none"/>
          <w:lang w:val="en-US" w:eastAsia="zh-CN"/>
        </w:rPr>
        <w:t>2</w:t>
      </w:r>
      <w:r>
        <w:rPr>
          <w:rFonts w:eastAsia="仿宋"/>
          <w:sz w:val="30"/>
          <w:szCs w:val="30"/>
          <w:highlight w:val="none"/>
        </w:rPr>
        <w:t>年度我单位实际完</w:t>
      </w:r>
      <w:r>
        <w:rPr>
          <w:rFonts w:eastAsia="仿宋"/>
          <w:sz w:val="30"/>
          <w:szCs w:val="30"/>
          <w:highlight w:val="none"/>
        </w:rPr>
        <w:t>成</w:t>
      </w:r>
      <w:r>
        <w:rPr>
          <w:rFonts w:hint="eastAsia" w:eastAsia="仿宋"/>
          <w:sz w:val="30"/>
          <w:szCs w:val="30"/>
          <w:highlight w:val="none"/>
          <w:lang w:val="en-US" w:eastAsia="zh-CN"/>
        </w:rPr>
        <w:t>5次</w:t>
      </w:r>
      <w:r>
        <w:rPr>
          <w:rFonts w:hint="eastAsia" w:eastAsia="仿宋"/>
          <w:sz w:val="30"/>
          <w:szCs w:val="30"/>
          <w:highlight w:val="none"/>
        </w:rPr>
        <w:t>，</w:t>
      </w:r>
      <w:r>
        <w:rPr>
          <w:rFonts w:eastAsia="仿宋"/>
          <w:sz w:val="30"/>
          <w:szCs w:val="30"/>
          <w:highlight w:val="none"/>
        </w:rPr>
        <w:t>计划按期完成率100%</w:t>
      </w:r>
      <w:r>
        <w:rPr>
          <w:rFonts w:hint="eastAsia" w:eastAsia="仿宋"/>
          <w:sz w:val="30"/>
          <w:szCs w:val="30"/>
          <w:highlight w:val="none"/>
        </w:rPr>
        <w:t>；</w:t>
      </w:r>
      <w:bookmarkEnd w:id="167"/>
      <w:bookmarkEnd w:id="168"/>
      <w:bookmarkEnd w:id="169"/>
      <w:bookmarkEnd w:id="170"/>
    </w:p>
    <w:p>
      <w:pPr>
        <w:spacing w:line="360" w:lineRule="auto"/>
        <w:ind w:firstLine="600" w:firstLineChars="200"/>
        <w:rPr>
          <w:rFonts w:eastAsia="仿宋"/>
          <w:sz w:val="30"/>
          <w:szCs w:val="30"/>
          <w:highlight w:val="none"/>
        </w:rPr>
      </w:pPr>
      <w:r>
        <w:rPr>
          <w:rFonts w:eastAsia="仿宋"/>
          <w:sz w:val="30"/>
          <w:szCs w:val="30"/>
          <w:highlight w:val="none"/>
        </w:rPr>
        <w:t>实际完成率：</w:t>
      </w:r>
      <w:r>
        <w:rPr>
          <w:rFonts w:hint="eastAsia" w:eastAsia="仿宋"/>
          <w:sz w:val="30"/>
          <w:szCs w:val="30"/>
          <w:highlight w:val="none"/>
          <w:lang w:val="en-US" w:eastAsia="zh-CN"/>
        </w:rPr>
        <w:t>95</w:t>
      </w:r>
      <w:r>
        <w:rPr>
          <w:rFonts w:hint="eastAsia" w:eastAsia="仿宋"/>
          <w:sz w:val="30"/>
          <w:szCs w:val="30"/>
          <w:highlight w:val="none"/>
        </w:rPr>
        <w:t>%</w:t>
      </w:r>
      <w:r>
        <w:rPr>
          <w:rFonts w:eastAsia="仿宋"/>
          <w:sz w:val="30"/>
          <w:szCs w:val="30"/>
          <w:highlight w:val="none"/>
        </w:rPr>
        <w:t>，故实际完成率得分为</w:t>
      </w:r>
      <w:r>
        <w:rPr>
          <w:rFonts w:hint="eastAsia" w:eastAsia="仿宋"/>
          <w:sz w:val="30"/>
          <w:szCs w:val="30"/>
          <w:highlight w:val="none"/>
          <w:lang w:val="en-US" w:eastAsia="zh-CN"/>
        </w:rPr>
        <w:t>9.5</w:t>
      </w:r>
      <w:r>
        <w:rPr>
          <w:rFonts w:eastAsia="仿宋"/>
          <w:sz w:val="30"/>
          <w:szCs w:val="30"/>
          <w:highlight w:val="none"/>
        </w:rPr>
        <w:t>分。</w:t>
      </w:r>
    </w:p>
    <w:p>
      <w:pPr>
        <w:spacing w:line="360" w:lineRule="auto"/>
        <w:ind w:firstLine="602" w:firstLineChars="200"/>
        <w:outlineLvl w:val="2"/>
        <w:rPr>
          <w:rFonts w:eastAsia="仿宋"/>
          <w:b/>
          <w:bCs/>
          <w:sz w:val="30"/>
          <w:szCs w:val="30"/>
          <w:highlight w:val="none"/>
        </w:rPr>
      </w:pPr>
      <w:bookmarkStart w:id="171" w:name="_Toc1349"/>
      <w:bookmarkStart w:id="172" w:name="_Toc17542"/>
      <w:bookmarkStart w:id="173" w:name="_Toc27273"/>
      <w:bookmarkStart w:id="174" w:name="_Toc11408"/>
      <w:bookmarkStart w:id="175" w:name="_Toc13997"/>
      <w:bookmarkStart w:id="176" w:name="_Toc19885"/>
      <w:r>
        <w:rPr>
          <w:rFonts w:eastAsia="仿宋"/>
          <w:b/>
          <w:bCs/>
          <w:sz w:val="30"/>
          <w:szCs w:val="30"/>
          <w:highlight w:val="none"/>
        </w:rPr>
        <w:t>2.产出质量</w:t>
      </w:r>
      <w:bookmarkEnd w:id="171"/>
      <w:bookmarkEnd w:id="172"/>
      <w:bookmarkEnd w:id="173"/>
      <w:bookmarkEnd w:id="174"/>
      <w:bookmarkEnd w:id="175"/>
      <w:bookmarkEnd w:id="176"/>
    </w:p>
    <w:p>
      <w:pPr>
        <w:spacing w:line="360" w:lineRule="auto"/>
        <w:ind w:firstLine="602" w:firstLineChars="200"/>
        <w:rPr>
          <w:rFonts w:hint="eastAsia" w:eastAsia="仿宋"/>
          <w:sz w:val="30"/>
          <w:szCs w:val="30"/>
          <w:highlight w:val="none"/>
        </w:rPr>
      </w:pPr>
      <w:r>
        <w:rPr>
          <w:rFonts w:hint="eastAsia" w:eastAsia="仿宋"/>
          <w:b/>
          <w:bCs w:val="0"/>
          <w:sz w:val="30"/>
          <w:szCs w:val="30"/>
          <w:highlight w:val="none"/>
          <w:lang w:val="en-US" w:eastAsia="zh-CN"/>
        </w:rPr>
        <w:t>产出质量：</w:t>
      </w:r>
      <w:r>
        <w:rPr>
          <w:rFonts w:hint="eastAsia" w:eastAsia="仿宋"/>
          <w:b w:val="0"/>
          <w:bCs/>
          <w:sz w:val="30"/>
          <w:szCs w:val="30"/>
          <w:highlight w:val="none"/>
          <w:lang w:val="en-US" w:eastAsia="zh-CN"/>
        </w:rPr>
        <w:t>“</w:t>
      </w:r>
      <w:r>
        <w:rPr>
          <w:rFonts w:hint="eastAsia" w:eastAsia="仿宋"/>
          <w:b w:val="0"/>
          <w:bCs/>
          <w:sz w:val="30"/>
          <w:szCs w:val="30"/>
          <w:highlight w:val="none"/>
        </w:rPr>
        <w:t>质量检测合格率</w:t>
      </w:r>
      <w:r>
        <w:rPr>
          <w:rFonts w:hint="eastAsia" w:eastAsia="仿宋"/>
          <w:b w:val="0"/>
          <w:bCs/>
          <w:sz w:val="30"/>
          <w:szCs w:val="30"/>
          <w:highlight w:val="none"/>
          <w:lang w:eastAsia="zh-CN"/>
        </w:rPr>
        <w:t>”</w:t>
      </w:r>
      <w:r>
        <w:rPr>
          <w:rFonts w:hint="eastAsia" w:eastAsia="仿宋"/>
          <w:sz w:val="30"/>
          <w:szCs w:val="30"/>
          <w:highlight w:val="none"/>
        </w:rPr>
        <w:t>的目标值是</w:t>
      </w:r>
      <w:r>
        <w:rPr>
          <w:rFonts w:eastAsia="仿宋"/>
          <w:bCs/>
          <w:sz w:val="30"/>
          <w:szCs w:val="30"/>
          <w:highlight w:val="none"/>
        </w:rPr>
        <w:t>≥98%</w:t>
      </w:r>
      <w:bookmarkStart w:id="177" w:name="_Toc20849"/>
      <w:bookmarkStart w:id="178" w:name="_Toc6709"/>
      <w:bookmarkStart w:id="179" w:name="_Toc10842"/>
      <w:r>
        <w:rPr>
          <w:rFonts w:hint="eastAsia" w:eastAsia="仿宋"/>
          <w:bCs/>
          <w:sz w:val="30"/>
          <w:szCs w:val="30"/>
          <w:highlight w:val="none"/>
        </w:rPr>
        <w:t>，</w:t>
      </w:r>
      <w:r>
        <w:rPr>
          <w:rFonts w:eastAsia="仿宋"/>
          <w:sz w:val="30"/>
          <w:szCs w:val="30"/>
          <w:highlight w:val="none"/>
        </w:rPr>
        <w:t>计划按期完成率100%，</w:t>
      </w:r>
      <w:r>
        <w:rPr>
          <w:rFonts w:hint="eastAsia" w:eastAsia="仿宋"/>
          <w:sz w:val="30"/>
          <w:szCs w:val="30"/>
          <w:highlight w:val="none"/>
        </w:rPr>
        <w:t>故</w:t>
      </w:r>
      <w:r>
        <w:rPr>
          <w:rFonts w:hint="eastAsia" w:eastAsia="仿宋"/>
          <w:bCs/>
          <w:sz w:val="30"/>
          <w:szCs w:val="30"/>
          <w:highlight w:val="none"/>
        </w:rPr>
        <w:t>质量检测合格率</w:t>
      </w:r>
      <w:r>
        <w:rPr>
          <w:rFonts w:eastAsia="仿宋"/>
          <w:sz w:val="30"/>
          <w:szCs w:val="30"/>
          <w:highlight w:val="none"/>
        </w:rPr>
        <w:t>得分为</w:t>
      </w:r>
      <w:r>
        <w:rPr>
          <w:rFonts w:hint="eastAsia" w:eastAsia="仿宋"/>
          <w:sz w:val="30"/>
          <w:szCs w:val="30"/>
          <w:highlight w:val="none"/>
          <w:lang w:val="en-US" w:eastAsia="zh-CN"/>
        </w:rPr>
        <w:t>5</w:t>
      </w:r>
      <w:r>
        <w:rPr>
          <w:rFonts w:eastAsia="仿宋"/>
          <w:sz w:val="30"/>
          <w:szCs w:val="30"/>
          <w:highlight w:val="none"/>
        </w:rPr>
        <w:t>分。</w:t>
      </w:r>
    </w:p>
    <w:p>
      <w:pPr>
        <w:spacing w:line="360" w:lineRule="auto"/>
        <w:ind w:firstLine="600" w:firstLineChars="200"/>
        <w:rPr>
          <w:rFonts w:hint="eastAsia" w:eastAsia="仿宋"/>
          <w:sz w:val="30"/>
          <w:szCs w:val="30"/>
          <w:highlight w:val="none"/>
        </w:rPr>
      </w:pPr>
      <w:r>
        <w:rPr>
          <w:rFonts w:hint="eastAsia" w:eastAsia="仿宋"/>
          <w:b w:val="0"/>
          <w:bCs w:val="0"/>
          <w:sz w:val="30"/>
          <w:szCs w:val="30"/>
          <w:highlight w:val="none"/>
          <w:lang w:eastAsia="zh-CN"/>
        </w:rPr>
        <w:t>“</w:t>
      </w:r>
      <w:r>
        <w:rPr>
          <w:rFonts w:hint="eastAsia" w:eastAsia="仿宋"/>
          <w:b w:val="0"/>
          <w:bCs w:val="0"/>
          <w:sz w:val="30"/>
          <w:szCs w:val="30"/>
          <w:highlight w:val="none"/>
        </w:rPr>
        <w:t>耗材验收合格率</w:t>
      </w:r>
      <w:r>
        <w:rPr>
          <w:rFonts w:hint="eastAsia" w:eastAsia="仿宋"/>
          <w:b w:val="0"/>
          <w:bCs w:val="0"/>
          <w:sz w:val="30"/>
          <w:szCs w:val="30"/>
          <w:highlight w:val="none"/>
          <w:lang w:eastAsia="zh-CN"/>
        </w:rPr>
        <w:t>”</w:t>
      </w:r>
      <w:r>
        <w:rPr>
          <w:rFonts w:hint="eastAsia" w:eastAsia="仿宋"/>
          <w:sz w:val="30"/>
          <w:szCs w:val="30"/>
          <w:highlight w:val="none"/>
        </w:rPr>
        <w:t>的目标值是</w:t>
      </w:r>
      <w:r>
        <w:rPr>
          <w:rFonts w:eastAsia="仿宋"/>
          <w:bCs/>
          <w:sz w:val="30"/>
          <w:szCs w:val="30"/>
          <w:highlight w:val="none"/>
        </w:rPr>
        <w:t>≥98%</w:t>
      </w:r>
      <w:r>
        <w:rPr>
          <w:rFonts w:hint="eastAsia" w:eastAsia="仿宋"/>
          <w:bCs/>
          <w:sz w:val="30"/>
          <w:szCs w:val="30"/>
          <w:highlight w:val="none"/>
        </w:rPr>
        <w:t>，</w:t>
      </w:r>
      <w:r>
        <w:rPr>
          <w:rFonts w:eastAsia="仿宋"/>
          <w:sz w:val="30"/>
          <w:szCs w:val="30"/>
          <w:highlight w:val="none"/>
        </w:rPr>
        <w:t>计划按期完成率100%，</w:t>
      </w:r>
      <w:r>
        <w:rPr>
          <w:rFonts w:hint="eastAsia" w:eastAsia="仿宋"/>
          <w:sz w:val="30"/>
          <w:szCs w:val="30"/>
          <w:highlight w:val="none"/>
        </w:rPr>
        <w:t>故</w:t>
      </w:r>
      <w:r>
        <w:rPr>
          <w:rFonts w:hint="eastAsia" w:eastAsia="仿宋"/>
          <w:bCs/>
          <w:sz w:val="30"/>
          <w:szCs w:val="30"/>
          <w:highlight w:val="none"/>
        </w:rPr>
        <w:t>质量检测合格率</w:t>
      </w:r>
      <w:r>
        <w:rPr>
          <w:rFonts w:eastAsia="仿宋"/>
          <w:sz w:val="30"/>
          <w:szCs w:val="30"/>
          <w:highlight w:val="none"/>
        </w:rPr>
        <w:t>得分为</w:t>
      </w:r>
      <w:r>
        <w:rPr>
          <w:rFonts w:hint="eastAsia" w:eastAsia="仿宋"/>
          <w:sz w:val="30"/>
          <w:szCs w:val="30"/>
          <w:highlight w:val="none"/>
          <w:lang w:val="en-US" w:eastAsia="zh-CN"/>
        </w:rPr>
        <w:t>5</w:t>
      </w:r>
      <w:r>
        <w:rPr>
          <w:rFonts w:eastAsia="仿宋"/>
          <w:sz w:val="30"/>
          <w:szCs w:val="30"/>
          <w:highlight w:val="none"/>
        </w:rPr>
        <w:t>分。</w:t>
      </w:r>
    </w:p>
    <w:p>
      <w:pPr>
        <w:spacing w:line="360" w:lineRule="auto"/>
        <w:ind w:firstLine="600" w:firstLineChars="200"/>
        <w:rPr>
          <w:rFonts w:hint="eastAsia" w:ascii="Times New Roman" w:hAnsi="Times New Roman" w:eastAsia="仿宋" w:cs="Times New Roman"/>
          <w:b w:val="0"/>
          <w:bCs/>
          <w:sz w:val="30"/>
          <w:szCs w:val="30"/>
          <w:highlight w:val="none"/>
          <w:lang w:val="en-US" w:eastAsia="zh-CN"/>
        </w:rPr>
      </w:pPr>
      <w:r>
        <w:rPr>
          <w:rFonts w:hint="default" w:ascii="Times New Roman" w:hAnsi="Times New Roman" w:eastAsia="仿宋" w:cs="Times New Roman"/>
          <w:b w:val="0"/>
          <w:bCs/>
          <w:sz w:val="30"/>
          <w:szCs w:val="30"/>
          <w:highlight w:val="none"/>
          <w:lang w:val="en-US" w:eastAsia="zh-CN"/>
        </w:rPr>
        <w:t>质量达标率</w:t>
      </w:r>
      <w:r>
        <w:rPr>
          <w:rFonts w:hint="eastAsia" w:ascii="Times New Roman" w:hAnsi="Times New Roman" w:eastAsia="仿宋" w:cs="Times New Roman"/>
          <w:b w:val="0"/>
          <w:bCs/>
          <w:sz w:val="30"/>
          <w:szCs w:val="30"/>
          <w:highlight w:val="none"/>
          <w:lang w:val="en-US" w:eastAsia="zh-CN"/>
        </w:rPr>
        <w:t>：100%，故产出质量</w:t>
      </w:r>
      <w:r>
        <w:rPr>
          <w:rFonts w:hint="default" w:ascii="Times New Roman" w:hAnsi="Times New Roman" w:eastAsia="仿宋" w:cs="Times New Roman"/>
          <w:b w:val="0"/>
          <w:bCs/>
          <w:sz w:val="30"/>
          <w:szCs w:val="30"/>
          <w:highlight w:val="none"/>
          <w:lang w:val="en-US" w:eastAsia="zh-CN"/>
        </w:rPr>
        <w:t>得分为</w:t>
      </w:r>
      <w:r>
        <w:rPr>
          <w:rFonts w:hint="eastAsia" w:ascii="Times New Roman" w:hAnsi="Times New Roman" w:eastAsia="仿宋" w:cs="Times New Roman"/>
          <w:b w:val="0"/>
          <w:bCs/>
          <w:sz w:val="30"/>
          <w:szCs w:val="30"/>
          <w:highlight w:val="none"/>
          <w:lang w:val="en-US" w:eastAsia="zh-CN"/>
        </w:rPr>
        <w:t>10</w:t>
      </w:r>
      <w:r>
        <w:rPr>
          <w:rFonts w:hint="default" w:ascii="Times New Roman" w:hAnsi="Times New Roman" w:eastAsia="仿宋" w:cs="Times New Roman"/>
          <w:b w:val="0"/>
          <w:bCs/>
          <w:sz w:val="30"/>
          <w:szCs w:val="30"/>
          <w:highlight w:val="none"/>
          <w:lang w:val="en-US" w:eastAsia="zh-CN"/>
        </w:rPr>
        <w:t>分。</w:t>
      </w:r>
    </w:p>
    <w:p>
      <w:pPr>
        <w:spacing w:line="360" w:lineRule="auto"/>
        <w:ind w:firstLine="602" w:firstLineChars="200"/>
        <w:outlineLvl w:val="2"/>
        <w:rPr>
          <w:rFonts w:eastAsia="仿宋"/>
          <w:b/>
          <w:bCs/>
          <w:sz w:val="30"/>
          <w:szCs w:val="30"/>
          <w:highlight w:val="none"/>
        </w:rPr>
      </w:pPr>
      <w:bookmarkStart w:id="180" w:name="_Toc22155"/>
      <w:bookmarkStart w:id="181" w:name="_Toc31947"/>
      <w:bookmarkStart w:id="182" w:name="_Toc20769"/>
      <w:r>
        <w:rPr>
          <w:rFonts w:eastAsia="仿宋"/>
          <w:b/>
          <w:bCs/>
          <w:sz w:val="30"/>
          <w:szCs w:val="30"/>
          <w:highlight w:val="none"/>
        </w:rPr>
        <w:t>3.产出时效</w:t>
      </w:r>
      <w:bookmarkEnd w:id="177"/>
      <w:bookmarkEnd w:id="178"/>
      <w:bookmarkEnd w:id="179"/>
      <w:bookmarkEnd w:id="180"/>
      <w:bookmarkEnd w:id="181"/>
      <w:bookmarkEnd w:id="182"/>
    </w:p>
    <w:p>
      <w:pPr>
        <w:spacing w:line="360" w:lineRule="auto"/>
        <w:ind w:firstLine="602" w:firstLineChars="200"/>
        <w:rPr>
          <w:rFonts w:eastAsia="仿宋"/>
          <w:sz w:val="30"/>
          <w:szCs w:val="30"/>
          <w:highlight w:val="none"/>
        </w:rPr>
      </w:pPr>
      <w:r>
        <w:rPr>
          <w:rFonts w:eastAsia="仿宋"/>
          <w:b/>
          <w:bCs/>
          <w:sz w:val="30"/>
          <w:szCs w:val="30"/>
          <w:highlight w:val="none"/>
        </w:rPr>
        <w:t>维护任务按时完成率</w:t>
      </w:r>
      <w:r>
        <w:rPr>
          <w:rFonts w:eastAsia="仿宋"/>
          <w:sz w:val="30"/>
          <w:szCs w:val="30"/>
          <w:highlight w:val="none"/>
        </w:rPr>
        <w:t>：本项目按照</w:t>
      </w:r>
      <w:r>
        <w:rPr>
          <w:rFonts w:hint="eastAsia" w:eastAsia="仿宋"/>
          <w:sz w:val="30"/>
          <w:szCs w:val="30"/>
          <w:highlight w:val="none"/>
        </w:rPr>
        <w:t>年初计划</w:t>
      </w:r>
      <w:r>
        <w:rPr>
          <w:rFonts w:eastAsia="仿宋"/>
          <w:sz w:val="30"/>
          <w:szCs w:val="30"/>
          <w:highlight w:val="none"/>
        </w:rPr>
        <w:t>，已在规定的时间（202</w:t>
      </w:r>
      <w:r>
        <w:rPr>
          <w:rFonts w:hint="eastAsia" w:eastAsia="仿宋"/>
          <w:sz w:val="30"/>
          <w:szCs w:val="30"/>
          <w:highlight w:val="none"/>
          <w:lang w:val="en-US" w:eastAsia="zh-CN"/>
        </w:rPr>
        <w:t>2</w:t>
      </w:r>
      <w:r>
        <w:rPr>
          <w:rFonts w:eastAsia="仿宋"/>
          <w:sz w:val="30"/>
          <w:szCs w:val="30"/>
          <w:highlight w:val="none"/>
        </w:rPr>
        <w:t>年1月1日至202</w:t>
      </w:r>
      <w:r>
        <w:rPr>
          <w:rFonts w:hint="eastAsia" w:eastAsia="仿宋"/>
          <w:sz w:val="30"/>
          <w:szCs w:val="30"/>
          <w:highlight w:val="none"/>
          <w:lang w:val="en-US" w:eastAsia="zh-CN"/>
        </w:rPr>
        <w:t>2</w:t>
      </w:r>
      <w:r>
        <w:rPr>
          <w:rFonts w:eastAsia="仿宋"/>
          <w:sz w:val="30"/>
          <w:szCs w:val="30"/>
          <w:highlight w:val="none"/>
        </w:rPr>
        <w:t>年12月31日）完成</w:t>
      </w:r>
      <w:r>
        <w:rPr>
          <w:rFonts w:hint="eastAsia" w:eastAsia="仿宋"/>
          <w:sz w:val="30"/>
          <w:szCs w:val="30"/>
          <w:highlight w:val="none"/>
        </w:rPr>
        <w:t>。</w:t>
      </w:r>
    </w:p>
    <w:p>
      <w:pPr>
        <w:spacing w:line="360" w:lineRule="auto"/>
        <w:ind w:firstLine="600" w:firstLineChars="200"/>
        <w:rPr>
          <w:rFonts w:eastAsia="仿宋"/>
          <w:sz w:val="30"/>
          <w:szCs w:val="30"/>
          <w:highlight w:val="none"/>
        </w:rPr>
      </w:pPr>
      <w:r>
        <w:rPr>
          <w:rFonts w:eastAsia="仿宋"/>
          <w:sz w:val="30"/>
          <w:szCs w:val="30"/>
          <w:highlight w:val="none"/>
        </w:rPr>
        <w:t>故完成及时性得分为10分</w:t>
      </w:r>
      <w:r>
        <w:rPr>
          <w:rFonts w:hint="eastAsia" w:eastAsia="仿宋"/>
          <w:sz w:val="30"/>
          <w:szCs w:val="30"/>
          <w:highlight w:val="none"/>
        </w:rPr>
        <w:t>。</w:t>
      </w:r>
    </w:p>
    <w:p>
      <w:pPr>
        <w:spacing w:line="360" w:lineRule="auto"/>
        <w:ind w:firstLine="602" w:firstLineChars="200"/>
        <w:outlineLvl w:val="2"/>
        <w:rPr>
          <w:rFonts w:eastAsia="仿宋"/>
          <w:b/>
          <w:bCs/>
          <w:sz w:val="30"/>
          <w:szCs w:val="30"/>
          <w:highlight w:val="none"/>
        </w:rPr>
      </w:pPr>
      <w:bookmarkStart w:id="183" w:name="_Toc6561"/>
      <w:bookmarkStart w:id="184" w:name="_Toc13362"/>
      <w:bookmarkStart w:id="185" w:name="_Toc17683"/>
      <w:bookmarkStart w:id="186" w:name="_Toc1727"/>
      <w:bookmarkStart w:id="187" w:name="_Toc13136"/>
      <w:bookmarkStart w:id="188" w:name="_Toc5399"/>
      <w:r>
        <w:rPr>
          <w:rFonts w:eastAsia="仿宋"/>
          <w:b/>
          <w:bCs/>
          <w:sz w:val="30"/>
          <w:szCs w:val="30"/>
          <w:highlight w:val="none"/>
        </w:rPr>
        <w:t>4.产出成本</w:t>
      </w:r>
      <w:bookmarkEnd w:id="183"/>
      <w:bookmarkEnd w:id="184"/>
      <w:bookmarkEnd w:id="185"/>
      <w:bookmarkEnd w:id="186"/>
      <w:bookmarkEnd w:id="187"/>
      <w:bookmarkEnd w:id="188"/>
    </w:p>
    <w:p>
      <w:pPr>
        <w:spacing w:line="360" w:lineRule="auto"/>
        <w:ind w:firstLine="600" w:firstLineChars="200"/>
        <w:rPr>
          <w:rFonts w:eastAsia="仿宋"/>
          <w:color w:val="000000" w:themeColor="text1"/>
          <w:sz w:val="30"/>
          <w:szCs w:val="30"/>
          <w:highlight w:val="none"/>
        </w:rPr>
      </w:pPr>
      <w:r>
        <w:rPr>
          <w:rFonts w:eastAsia="仿宋"/>
          <w:color w:val="000000" w:themeColor="text1"/>
          <w:sz w:val="30"/>
          <w:szCs w:val="30"/>
          <w:highlight w:val="none"/>
        </w:rPr>
        <w:t>档案馆事业经费：≤</w:t>
      </w:r>
      <w:r>
        <w:rPr>
          <w:rFonts w:hint="eastAsia" w:eastAsia="仿宋"/>
          <w:color w:val="000000" w:themeColor="text1"/>
          <w:sz w:val="30"/>
          <w:szCs w:val="30"/>
          <w:highlight w:val="none"/>
          <w:lang w:val="en-US" w:eastAsia="zh-CN"/>
        </w:rPr>
        <w:t>8</w:t>
      </w:r>
      <w:r>
        <w:rPr>
          <w:rFonts w:eastAsia="仿宋"/>
          <w:color w:val="000000" w:themeColor="text1"/>
          <w:sz w:val="30"/>
          <w:szCs w:val="30"/>
          <w:highlight w:val="none"/>
        </w:rPr>
        <w:t>万元，共计支出经费</w:t>
      </w:r>
      <w:r>
        <w:rPr>
          <w:rFonts w:hint="eastAsia" w:eastAsia="仿宋"/>
          <w:color w:val="000000" w:themeColor="text1"/>
          <w:sz w:val="30"/>
          <w:szCs w:val="30"/>
          <w:highlight w:val="none"/>
          <w:lang w:val="en-US" w:eastAsia="zh-CN"/>
        </w:rPr>
        <w:t>7.46</w:t>
      </w:r>
      <w:r>
        <w:rPr>
          <w:rFonts w:eastAsia="仿宋"/>
          <w:color w:val="000000" w:themeColor="text1"/>
          <w:sz w:val="30"/>
          <w:szCs w:val="30"/>
          <w:highlight w:val="none"/>
        </w:rPr>
        <w:t>万元，经费主要用于</w:t>
      </w:r>
      <w:r>
        <w:rPr>
          <w:rFonts w:hint="eastAsia" w:eastAsia="仿宋"/>
          <w:color w:val="000000" w:themeColor="text1"/>
          <w:sz w:val="30"/>
          <w:szCs w:val="30"/>
          <w:highlight w:val="none"/>
        </w:rPr>
        <w:t>档案馆电子文档数据中心建设方面，项目已完成，</w:t>
      </w:r>
      <w:r>
        <w:rPr>
          <w:rFonts w:hint="eastAsia" w:eastAsia="仿宋"/>
          <w:color w:val="000000" w:themeColor="text1"/>
          <w:sz w:val="30"/>
          <w:szCs w:val="30"/>
          <w:highlight w:val="none"/>
          <w:lang w:val="en-US" w:eastAsia="zh-CN"/>
        </w:rPr>
        <w:t>未超出预算，</w:t>
      </w:r>
      <w:r>
        <w:rPr>
          <w:rFonts w:eastAsia="仿宋"/>
          <w:color w:val="000000" w:themeColor="text1"/>
          <w:sz w:val="30"/>
          <w:szCs w:val="30"/>
          <w:highlight w:val="none"/>
        </w:rPr>
        <w:t>故成本节约率得分为</w:t>
      </w:r>
      <w:r>
        <w:rPr>
          <w:rFonts w:hint="eastAsia" w:eastAsia="仿宋"/>
          <w:color w:val="000000" w:themeColor="text1"/>
          <w:sz w:val="30"/>
          <w:szCs w:val="30"/>
          <w:highlight w:val="none"/>
        </w:rPr>
        <w:t>10</w:t>
      </w:r>
      <w:r>
        <w:rPr>
          <w:rFonts w:eastAsia="仿宋"/>
          <w:color w:val="000000" w:themeColor="text1"/>
          <w:sz w:val="30"/>
          <w:szCs w:val="30"/>
          <w:highlight w:val="none"/>
        </w:rPr>
        <w:t>分。</w:t>
      </w:r>
    </w:p>
    <w:p>
      <w:pPr>
        <w:spacing w:line="360" w:lineRule="auto"/>
        <w:ind w:firstLine="602" w:firstLineChars="200"/>
        <w:rPr>
          <w:rFonts w:eastAsia="仿宋"/>
          <w:b/>
          <w:bCs/>
          <w:color w:val="000000" w:themeColor="text1"/>
          <w:sz w:val="30"/>
          <w:szCs w:val="30"/>
          <w:highlight w:val="none"/>
        </w:rPr>
      </w:pPr>
      <w:r>
        <w:rPr>
          <w:rFonts w:eastAsia="仿宋"/>
          <w:b/>
          <w:bCs/>
          <w:color w:val="000000" w:themeColor="text1"/>
          <w:sz w:val="30"/>
          <w:szCs w:val="30"/>
          <w:highlight w:val="none"/>
        </w:rPr>
        <w:t>综上，该指标满分40分</w:t>
      </w:r>
      <w:r>
        <w:rPr>
          <w:rFonts w:eastAsia="仿宋"/>
          <w:b/>
          <w:bCs/>
          <w:color w:val="000000" w:themeColor="text1"/>
          <w:sz w:val="30"/>
          <w:szCs w:val="30"/>
          <w:highlight w:val="none"/>
        </w:rPr>
        <w:t>，得分</w:t>
      </w:r>
      <w:r>
        <w:rPr>
          <w:rFonts w:hint="eastAsia" w:eastAsia="仿宋"/>
          <w:b/>
          <w:bCs/>
          <w:color w:val="000000" w:themeColor="text1"/>
          <w:sz w:val="30"/>
          <w:szCs w:val="30"/>
          <w:highlight w:val="none"/>
          <w:lang w:val="en-US" w:eastAsia="zh-CN"/>
        </w:rPr>
        <w:t>39.5</w:t>
      </w:r>
      <w:r>
        <w:rPr>
          <w:rFonts w:eastAsia="仿宋"/>
          <w:b/>
          <w:bCs/>
          <w:color w:val="000000" w:themeColor="text1"/>
          <w:sz w:val="30"/>
          <w:szCs w:val="30"/>
          <w:highlight w:val="none"/>
        </w:rPr>
        <w:t>分。</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eastAsia" w:ascii="Times New Roman" w:hAnsi="Times New Roman" w:eastAsia="仿宋" w:cs="Times New Roman"/>
          <w:kern w:val="44"/>
          <w:sz w:val="32"/>
          <w:szCs w:val="32"/>
          <w:highlight w:val="none"/>
          <w:lang w:val="en-US" w:eastAsia="zh-CN" w:bidi="en-US"/>
        </w:rPr>
      </w:pPr>
      <w:bookmarkStart w:id="189" w:name="_Toc24439"/>
      <w:bookmarkStart w:id="190" w:name="_Toc67911615"/>
      <w:bookmarkStart w:id="191" w:name="_Toc18304"/>
      <w:bookmarkStart w:id="192" w:name="_Toc20708"/>
      <w:bookmarkStart w:id="193" w:name="_Toc19307"/>
      <w:bookmarkStart w:id="194" w:name="_Toc7173"/>
      <w:bookmarkStart w:id="195" w:name="_Toc9172"/>
      <w:r>
        <w:rPr>
          <w:rFonts w:hint="eastAsia" w:ascii="Times New Roman" w:hAnsi="Times New Roman" w:eastAsia="仿宋" w:cs="Times New Roman"/>
          <w:kern w:val="44"/>
          <w:sz w:val="32"/>
          <w:szCs w:val="32"/>
          <w:highlight w:val="none"/>
          <w:lang w:val="en-US" w:eastAsia="zh-CN" w:bidi="en-US"/>
        </w:rPr>
        <w:t>（四）项目效益情况</w:t>
      </w:r>
      <w:bookmarkEnd w:id="189"/>
      <w:bookmarkEnd w:id="190"/>
      <w:bookmarkEnd w:id="191"/>
      <w:bookmarkEnd w:id="192"/>
      <w:bookmarkEnd w:id="193"/>
      <w:bookmarkEnd w:id="194"/>
      <w:bookmarkEnd w:id="195"/>
    </w:p>
    <w:p>
      <w:pPr>
        <w:spacing w:line="360" w:lineRule="auto"/>
        <w:ind w:firstLine="562"/>
        <w:outlineLvl w:val="2"/>
        <w:rPr>
          <w:b/>
          <w:bCs/>
          <w:szCs w:val="28"/>
          <w:highlight w:val="none"/>
        </w:rPr>
      </w:pPr>
      <w:bookmarkStart w:id="196" w:name="_Toc16011"/>
      <w:bookmarkStart w:id="197" w:name="_Toc21393"/>
      <w:bookmarkStart w:id="198" w:name="_Toc14271"/>
      <w:bookmarkStart w:id="199" w:name="_Toc9589"/>
      <w:bookmarkStart w:id="200" w:name="_Toc4110"/>
      <w:r>
        <w:rPr>
          <w:rFonts w:eastAsia="仿宋"/>
          <w:sz w:val="30"/>
          <w:szCs w:val="30"/>
          <w:highlight w:val="none"/>
        </w:rPr>
        <w:t>项目效益指标由1个二级指标和</w:t>
      </w:r>
      <w:r>
        <w:rPr>
          <w:rFonts w:hint="eastAsia" w:eastAsia="仿宋"/>
          <w:sz w:val="30"/>
          <w:szCs w:val="30"/>
          <w:highlight w:val="none"/>
        </w:rPr>
        <w:t>3</w:t>
      </w:r>
      <w:r>
        <w:rPr>
          <w:rFonts w:eastAsia="仿宋"/>
          <w:sz w:val="30"/>
          <w:szCs w:val="30"/>
          <w:highlight w:val="none"/>
        </w:rPr>
        <w:t>个三级指标构成，权重为20分，实际得分</w:t>
      </w:r>
      <w:r>
        <w:rPr>
          <w:rFonts w:hint="eastAsia" w:eastAsia="仿宋"/>
          <w:sz w:val="30"/>
          <w:szCs w:val="30"/>
          <w:highlight w:val="none"/>
          <w:lang w:val="en-US" w:eastAsia="zh-CN"/>
        </w:rPr>
        <w:t>18.5</w:t>
      </w:r>
      <w:r>
        <w:rPr>
          <w:rFonts w:eastAsia="仿宋"/>
          <w:sz w:val="30"/>
          <w:szCs w:val="30"/>
          <w:highlight w:val="none"/>
        </w:rPr>
        <w:t>分。</w:t>
      </w:r>
      <w:bookmarkEnd w:id="196"/>
      <w:bookmarkEnd w:id="197"/>
      <w:bookmarkEnd w:id="198"/>
      <w:bookmarkEnd w:id="199"/>
      <w:bookmarkEnd w:id="200"/>
      <w:bookmarkStart w:id="201" w:name="_Toc8825"/>
    </w:p>
    <w:p>
      <w:pPr>
        <w:spacing w:line="360" w:lineRule="auto"/>
        <w:ind w:firstLine="602" w:firstLineChars="200"/>
        <w:outlineLvl w:val="2"/>
        <w:rPr>
          <w:rFonts w:eastAsia="仿宋"/>
          <w:b/>
          <w:bCs/>
          <w:sz w:val="30"/>
          <w:szCs w:val="30"/>
          <w:highlight w:val="none"/>
        </w:rPr>
      </w:pPr>
      <w:bookmarkStart w:id="202" w:name="_Toc26479"/>
      <w:bookmarkStart w:id="203" w:name="_Toc13077"/>
      <w:bookmarkStart w:id="204" w:name="_Toc12445"/>
      <w:bookmarkStart w:id="205" w:name="_Toc13879"/>
      <w:bookmarkStart w:id="206" w:name="_Toc10768"/>
      <w:r>
        <w:rPr>
          <w:rFonts w:eastAsia="仿宋"/>
          <w:b/>
          <w:bCs/>
          <w:sz w:val="30"/>
          <w:szCs w:val="30"/>
          <w:highlight w:val="none"/>
        </w:rPr>
        <w:t>1.项目效益</w:t>
      </w:r>
      <w:bookmarkEnd w:id="201"/>
      <w:bookmarkEnd w:id="202"/>
      <w:bookmarkEnd w:id="203"/>
      <w:bookmarkEnd w:id="204"/>
      <w:bookmarkEnd w:id="205"/>
      <w:bookmarkEnd w:id="206"/>
    </w:p>
    <w:p>
      <w:pPr>
        <w:pStyle w:val="22"/>
        <w:widowControl/>
        <w:spacing w:before="0" w:beforeAutospacing="0" w:after="0" w:afterAutospacing="0" w:line="360" w:lineRule="auto"/>
        <w:ind w:firstLine="602" w:firstLineChars="200"/>
        <w:jc w:val="both"/>
        <w:rPr>
          <w:rStyle w:val="26"/>
          <w:rFonts w:ascii="Times New Roman" w:hAnsi="Times New Roman" w:eastAsia="仿宋"/>
          <w:b w:val="0"/>
          <w:bCs w:val="0"/>
          <w:color w:val="FF0000"/>
          <w:spacing w:val="-4"/>
          <w:kern w:val="2"/>
          <w:sz w:val="30"/>
          <w:szCs w:val="30"/>
          <w:highlight w:val="none"/>
        </w:rPr>
      </w:pPr>
      <w:r>
        <w:rPr>
          <w:rFonts w:ascii="Times New Roman" w:hAnsi="Times New Roman" w:eastAsia="仿宋"/>
          <w:b/>
          <w:bCs/>
          <w:sz w:val="30"/>
          <w:szCs w:val="30"/>
          <w:highlight w:val="none"/>
        </w:rPr>
        <w:t>（1）实施效益</w:t>
      </w:r>
    </w:p>
    <w:p>
      <w:pPr>
        <w:pStyle w:val="22"/>
        <w:widowControl/>
        <w:spacing w:before="0" w:beforeAutospacing="0" w:after="0" w:afterAutospacing="0" w:line="360" w:lineRule="auto"/>
        <w:ind w:firstLine="602" w:firstLineChars="200"/>
        <w:jc w:val="both"/>
        <w:rPr>
          <w:rFonts w:ascii="Times New Roman" w:hAnsi="Times New Roman" w:eastAsia="仿宋"/>
          <w:b/>
          <w:bCs/>
          <w:color w:val="000000" w:themeColor="text1"/>
          <w:sz w:val="30"/>
          <w:szCs w:val="30"/>
          <w:highlight w:val="none"/>
        </w:rPr>
      </w:pPr>
      <w:r>
        <w:rPr>
          <w:rFonts w:hint="eastAsia" w:ascii="Times New Roman" w:hAnsi="Times New Roman" w:eastAsia="仿宋"/>
          <w:b/>
          <w:bCs/>
          <w:color w:val="000000" w:themeColor="text1"/>
          <w:sz w:val="30"/>
          <w:szCs w:val="30"/>
          <w:highlight w:val="none"/>
        </w:rPr>
        <w:t>经济效益指标：不适用。</w:t>
      </w:r>
    </w:p>
    <w:p>
      <w:pPr>
        <w:pStyle w:val="22"/>
        <w:widowControl/>
        <w:spacing w:before="0" w:beforeAutospacing="0" w:after="0" w:afterAutospacing="0" w:line="360" w:lineRule="auto"/>
        <w:ind w:firstLine="602" w:firstLineChars="200"/>
        <w:jc w:val="both"/>
        <w:rPr>
          <w:rFonts w:ascii="Times New Roman" w:hAnsi="Times New Roman" w:eastAsia="仿宋"/>
          <w:b/>
          <w:bCs/>
          <w:color w:val="000000" w:themeColor="text1"/>
          <w:sz w:val="30"/>
          <w:szCs w:val="30"/>
          <w:highlight w:val="none"/>
        </w:rPr>
      </w:pPr>
      <w:r>
        <w:rPr>
          <w:rFonts w:hint="eastAsia" w:ascii="Times New Roman" w:hAnsi="Times New Roman" w:eastAsia="仿宋"/>
          <w:b/>
          <w:bCs/>
          <w:color w:val="000000" w:themeColor="text1"/>
          <w:sz w:val="30"/>
          <w:szCs w:val="30"/>
          <w:highlight w:val="none"/>
        </w:rPr>
        <w:t>社会效益：</w:t>
      </w:r>
    </w:p>
    <w:p>
      <w:pPr>
        <w:pStyle w:val="22"/>
        <w:widowControl/>
        <w:spacing w:before="0" w:beforeAutospacing="0" w:after="0" w:afterAutospacing="0" w:line="360" w:lineRule="auto"/>
        <w:ind w:firstLine="600" w:firstLineChars="200"/>
        <w:jc w:val="both"/>
        <w:rPr>
          <w:rFonts w:hint="eastAsia" w:ascii="Times New Roman" w:hAnsi="Times New Roman" w:eastAsia="仿宋"/>
          <w:color w:val="000000" w:themeColor="text1"/>
          <w:sz w:val="30"/>
          <w:szCs w:val="30"/>
          <w:highlight w:val="none"/>
          <w:lang w:val="en-US" w:eastAsia="zh-CN"/>
        </w:rPr>
      </w:pPr>
      <w:r>
        <w:rPr>
          <w:rFonts w:hint="eastAsia" w:ascii="Times New Roman" w:hAnsi="Times New Roman" w:eastAsia="仿宋"/>
          <w:color w:val="000000" w:themeColor="text1"/>
          <w:sz w:val="30"/>
          <w:szCs w:val="30"/>
          <w:highlight w:val="none"/>
        </w:rPr>
        <w:t>提供高效、便捷的办公系统支持，</w:t>
      </w:r>
      <w:r>
        <w:rPr>
          <w:rFonts w:ascii="Times New Roman" w:hAnsi="Times New Roman" w:eastAsia="仿宋"/>
          <w:color w:val="000000" w:themeColor="text1"/>
          <w:sz w:val="30"/>
          <w:szCs w:val="30"/>
          <w:highlight w:val="none"/>
        </w:rPr>
        <w:t>预期指标值</w:t>
      </w:r>
      <w:r>
        <w:rPr>
          <w:rFonts w:hint="eastAsia" w:ascii="Times New Roman" w:hAnsi="Times New Roman" w:eastAsia="仿宋"/>
          <w:color w:val="000000" w:themeColor="text1"/>
          <w:sz w:val="30"/>
          <w:szCs w:val="30"/>
          <w:highlight w:val="none"/>
        </w:rPr>
        <w:t>持续改善</w:t>
      </w:r>
      <w:r>
        <w:rPr>
          <w:rFonts w:ascii="Times New Roman" w:hAnsi="Times New Roman" w:eastAsia="仿宋"/>
          <w:color w:val="000000" w:themeColor="text1"/>
          <w:sz w:val="30"/>
          <w:szCs w:val="30"/>
          <w:highlight w:val="none"/>
        </w:rPr>
        <w:t>，指标完成值</w:t>
      </w:r>
      <w:r>
        <w:rPr>
          <w:rFonts w:hint="eastAsia" w:ascii="Times New Roman" w:hAnsi="Times New Roman" w:eastAsia="仿宋"/>
          <w:color w:val="000000" w:themeColor="text1"/>
          <w:sz w:val="30"/>
          <w:szCs w:val="30"/>
          <w:highlight w:val="none"/>
        </w:rPr>
        <w:t>基本达到预期效果</w:t>
      </w:r>
      <w:r>
        <w:rPr>
          <w:rFonts w:ascii="Times New Roman" w:hAnsi="Times New Roman" w:eastAsia="仿宋"/>
          <w:color w:val="000000" w:themeColor="text1"/>
          <w:sz w:val="30"/>
          <w:szCs w:val="30"/>
          <w:highlight w:val="none"/>
        </w:rPr>
        <w:t>，指标完成率</w:t>
      </w:r>
      <w:r>
        <w:rPr>
          <w:rFonts w:hint="eastAsia" w:ascii="Times New Roman" w:hAnsi="Times New Roman" w:eastAsia="仿宋"/>
          <w:color w:val="000000" w:themeColor="text1"/>
          <w:sz w:val="30"/>
          <w:szCs w:val="30"/>
          <w:highlight w:val="none"/>
          <w:lang w:val="en-US" w:eastAsia="zh-CN"/>
        </w:rPr>
        <w:t>9</w:t>
      </w:r>
      <w:r>
        <w:rPr>
          <w:rFonts w:ascii="Times New Roman" w:hAnsi="Times New Roman" w:eastAsia="仿宋"/>
          <w:color w:val="000000" w:themeColor="text1"/>
          <w:sz w:val="30"/>
          <w:szCs w:val="30"/>
          <w:highlight w:val="none"/>
        </w:rPr>
        <w:t>0%；</w:t>
      </w:r>
      <w:r>
        <w:rPr>
          <w:rFonts w:hint="eastAsia" w:ascii="Times New Roman" w:hAnsi="Times New Roman" w:eastAsia="仿宋"/>
          <w:color w:val="000000" w:themeColor="text1"/>
          <w:sz w:val="30"/>
          <w:szCs w:val="30"/>
          <w:highlight w:val="none"/>
        </w:rPr>
        <w:t>规范档案业务指导，理顺业务流程，操作界面和使用性能上要达到标准化、人性化，满足各单位档案员归档要求</w:t>
      </w:r>
      <w:r>
        <w:rPr>
          <w:rFonts w:hint="eastAsia" w:ascii="Times New Roman" w:hAnsi="Times New Roman" w:eastAsia="仿宋"/>
          <w:color w:val="000000" w:themeColor="text1"/>
          <w:sz w:val="30"/>
          <w:szCs w:val="30"/>
          <w:highlight w:val="none"/>
          <w:lang w:eastAsia="zh-CN"/>
        </w:rPr>
        <w:t>。</w:t>
      </w:r>
    </w:p>
    <w:p>
      <w:pPr>
        <w:pStyle w:val="22"/>
        <w:widowControl/>
        <w:spacing w:before="0" w:beforeAutospacing="0" w:after="0" w:afterAutospacing="0" w:line="360" w:lineRule="auto"/>
        <w:ind w:firstLine="602" w:firstLineChars="200"/>
        <w:jc w:val="both"/>
        <w:rPr>
          <w:rFonts w:ascii="Times New Roman" w:hAnsi="Times New Roman" w:eastAsia="仿宋"/>
          <w:b/>
          <w:bCs/>
          <w:color w:val="000000" w:themeColor="text1"/>
          <w:sz w:val="30"/>
          <w:szCs w:val="30"/>
          <w:highlight w:val="none"/>
        </w:rPr>
      </w:pPr>
      <w:r>
        <w:rPr>
          <w:rFonts w:hint="eastAsia" w:ascii="Times New Roman" w:hAnsi="Times New Roman" w:eastAsia="仿宋"/>
          <w:b/>
          <w:bCs/>
          <w:color w:val="000000" w:themeColor="text1"/>
          <w:sz w:val="30"/>
          <w:szCs w:val="30"/>
          <w:highlight w:val="none"/>
        </w:rPr>
        <w:t>生态效益指标：不适用。</w:t>
      </w:r>
    </w:p>
    <w:p>
      <w:pPr>
        <w:pStyle w:val="22"/>
        <w:widowControl/>
        <w:spacing w:before="0" w:beforeAutospacing="0" w:after="0" w:afterAutospacing="0" w:line="360" w:lineRule="auto"/>
        <w:ind w:firstLine="602" w:firstLineChars="200"/>
        <w:jc w:val="both"/>
        <w:rPr>
          <w:rFonts w:ascii="Times New Roman" w:hAnsi="Times New Roman" w:eastAsia="仿宋"/>
          <w:b/>
          <w:bCs/>
          <w:color w:val="000000" w:themeColor="text1"/>
          <w:sz w:val="30"/>
          <w:szCs w:val="30"/>
          <w:highlight w:val="none"/>
        </w:rPr>
      </w:pPr>
      <w:r>
        <w:rPr>
          <w:rFonts w:ascii="Times New Roman" w:hAnsi="Times New Roman" w:eastAsia="仿宋"/>
          <w:b/>
          <w:bCs/>
          <w:color w:val="000000" w:themeColor="text1"/>
          <w:sz w:val="30"/>
          <w:szCs w:val="30"/>
          <w:highlight w:val="none"/>
        </w:rPr>
        <w:t>可持续影响指标：</w:t>
      </w:r>
    </w:p>
    <w:p>
      <w:pPr>
        <w:pStyle w:val="22"/>
        <w:widowControl/>
        <w:spacing w:before="0" w:beforeAutospacing="0" w:after="0" w:afterAutospacing="0" w:line="360" w:lineRule="auto"/>
        <w:ind w:firstLine="600" w:firstLineChars="200"/>
        <w:jc w:val="both"/>
        <w:rPr>
          <w:rFonts w:ascii="Times New Roman" w:hAnsi="Times New Roman" w:eastAsia="仿宋"/>
          <w:color w:val="000000" w:themeColor="text1"/>
          <w:sz w:val="30"/>
          <w:szCs w:val="30"/>
          <w:highlight w:val="none"/>
        </w:rPr>
      </w:pPr>
      <w:r>
        <w:rPr>
          <w:rFonts w:hint="eastAsia" w:ascii="Times New Roman" w:hAnsi="Times New Roman" w:eastAsia="仿宋"/>
          <w:color w:val="000000" w:themeColor="text1"/>
          <w:sz w:val="30"/>
          <w:szCs w:val="30"/>
          <w:highlight w:val="none"/>
        </w:rPr>
        <w:t>积极改善档案保管保护，</w:t>
      </w:r>
      <w:r>
        <w:rPr>
          <w:rFonts w:ascii="Times New Roman" w:hAnsi="Times New Roman" w:eastAsia="仿宋"/>
          <w:color w:val="000000" w:themeColor="text1"/>
          <w:sz w:val="30"/>
          <w:szCs w:val="30"/>
          <w:highlight w:val="none"/>
        </w:rPr>
        <w:t>预期指标值</w:t>
      </w:r>
      <w:r>
        <w:rPr>
          <w:rFonts w:hint="eastAsia" w:ascii="Times New Roman" w:hAnsi="Times New Roman" w:eastAsia="仿宋"/>
          <w:color w:val="000000" w:themeColor="text1"/>
          <w:sz w:val="30"/>
          <w:szCs w:val="30"/>
          <w:highlight w:val="none"/>
        </w:rPr>
        <w:t>长期</w:t>
      </w:r>
      <w:r>
        <w:rPr>
          <w:rFonts w:ascii="Times New Roman" w:hAnsi="Times New Roman" w:eastAsia="仿宋"/>
          <w:color w:val="000000" w:themeColor="text1"/>
          <w:sz w:val="30"/>
          <w:szCs w:val="30"/>
          <w:highlight w:val="none"/>
        </w:rPr>
        <w:t>，指标完成值</w:t>
      </w:r>
      <w:r>
        <w:rPr>
          <w:rFonts w:hint="eastAsia" w:ascii="Times New Roman" w:hAnsi="Times New Roman" w:eastAsia="仿宋"/>
          <w:color w:val="000000" w:themeColor="text1"/>
          <w:sz w:val="30"/>
          <w:szCs w:val="30"/>
          <w:highlight w:val="none"/>
        </w:rPr>
        <w:t>基本达到预期效果</w:t>
      </w:r>
      <w:r>
        <w:rPr>
          <w:rFonts w:ascii="Times New Roman" w:hAnsi="Times New Roman" w:eastAsia="仿宋"/>
          <w:color w:val="000000" w:themeColor="text1"/>
          <w:sz w:val="30"/>
          <w:szCs w:val="30"/>
          <w:highlight w:val="none"/>
        </w:rPr>
        <w:t>，指标完成率</w:t>
      </w:r>
      <w:r>
        <w:rPr>
          <w:rFonts w:hint="eastAsia" w:ascii="Times New Roman" w:hAnsi="Times New Roman" w:eastAsia="仿宋"/>
          <w:color w:val="000000" w:themeColor="text1"/>
          <w:sz w:val="30"/>
          <w:szCs w:val="30"/>
          <w:highlight w:val="none"/>
          <w:lang w:val="en-US" w:eastAsia="zh-CN"/>
        </w:rPr>
        <w:t>9</w:t>
      </w:r>
      <w:r>
        <w:rPr>
          <w:rFonts w:ascii="Times New Roman" w:hAnsi="Times New Roman" w:eastAsia="仿宋"/>
          <w:color w:val="000000" w:themeColor="text1"/>
          <w:sz w:val="30"/>
          <w:szCs w:val="30"/>
          <w:highlight w:val="none"/>
        </w:rPr>
        <w:t>0%；</w:t>
      </w:r>
      <w:r>
        <w:rPr>
          <w:rFonts w:hint="eastAsia" w:ascii="Times New Roman" w:hAnsi="Times New Roman" w:eastAsia="仿宋"/>
          <w:color w:val="000000" w:themeColor="text1"/>
          <w:sz w:val="30"/>
          <w:szCs w:val="30"/>
          <w:highlight w:val="none"/>
        </w:rPr>
        <w:t>数据保管和利用安全通过权限细化设定安全控制，对系统操作日志和用户上机操作信息完整记录，保障系统与数据的安全。</w:t>
      </w:r>
    </w:p>
    <w:p>
      <w:pPr>
        <w:spacing w:line="360" w:lineRule="auto"/>
        <w:ind w:firstLine="602" w:firstLineChars="200"/>
        <w:rPr>
          <w:rFonts w:eastAsia="仿宋"/>
          <w:b/>
          <w:bCs/>
          <w:color w:val="000000" w:themeColor="text1"/>
          <w:sz w:val="30"/>
          <w:szCs w:val="30"/>
          <w:highlight w:val="none"/>
        </w:rPr>
      </w:pPr>
      <w:r>
        <w:rPr>
          <w:rFonts w:eastAsia="仿宋"/>
          <w:b/>
          <w:bCs/>
          <w:color w:val="000000" w:themeColor="text1"/>
          <w:sz w:val="30"/>
          <w:szCs w:val="30"/>
          <w:highlight w:val="none"/>
        </w:rPr>
        <w:t>综上，该指标满分1</w:t>
      </w:r>
      <w:r>
        <w:rPr>
          <w:rFonts w:hint="eastAsia" w:eastAsia="仿宋"/>
          <w:b/>
          <w:bCs/>
          <w:color w:val="000000" w:themeColor="text1"/>
          <w:sz w:val="30"/>
          <w:szCs w:val="30"/>
          <w:highlight w:val="none"/>
        </w:rPr>
        <w:t>5</w:t>
      </w:r>
      <w:r>
        <w:rPr>
          <w:rFonts w:eastAsia="仿宋"/>
          <w:b/>
          <w:bCs/>
          <w:color w:val="000000" w:themeColor="text1"/>
          <w:sz w:val="30"/>
          <w:szCs w:val="30"/>
          <w:highlight w:val="none"/>
        </w:rPr>
        <w:t>分，得分</w:t>
      </w:r>
      <w:r>
        <w:rPr>
          <w:rFonts w:hint="eastAsia" w:eastAsia="仿宋"/>
          <w:b/>
          <w:bCs/>
          <w:color w:val="000000" w:themeColor="text1"/>
          <w:sz w:val="30"/>
          <w:szCs w:val="30"/>
          <w:highlight w:val="none"/>
        </w:rPr>
        <w:t>1</w:t>
      </w:r>
      <w:r>
        <w:rPr>
          <w:rFonts w:hint="eastAsia" w:eastAsia="仿宋"/>
          <w:b/>
          <w:bCs/>
          <w:color w:val="000000" w:themeColor="text1"/>
          <w:sz w:val="30"/>
          <w:szCs w:val="30"/>
          <w:highlight w:val="none"/>
          <w:lang w:val="en-US" w:eastAsia="zh-CN"/>
        </w:rPr>
        <w:t>3.5</w:t>
      </w:r>
      <w:r>
        <w:rPr>
          <w:rFonts w:eastAsia="仿宋"/>
          <w:b/>
          <w:bCs/>
          <w:color w:val="000000" w:themeColor="text1"/>
          <w:sz w:val="30"/>
          <w:szCs w:val="30"/>
          <w:highlight w:val="none"/>
        </w:rPr>
        <w:t>分。</w:t>
      </w:r>
    </w:p>
    <w:p>
      <w:pPr>
        <w:spacing w:line="360" w:lineRule="auto"/>
        <w:ind w:firstLine="602" w:firstLineChars="200"/>
        <w:outlineLvl w:val="2"/>
        <w:rPr>
          <w:rFonts w:eastAsia="仿宋"/>
          <w:b/>
          <w:bCs/>
          <w:color w:val="000000" w:themeColor="text1"/>
          <w:sz w:val="30"/>
          <w:szCs w:val="30"/>
          <w:highlight w:val="none"/>
        </w:rPr>
      </w:pPr>
      <w:bookmarkStart w:id="207" w:name="_Toc7082"/>
      <w:bookmarkStart w:id="208" w:name="_Toc2815"/>
      <w:bookmarkStart w:id="209" w:name="_Toc1267"/>
      <w:bookmarkStart w:id="210" w:name="_Toc3805"/>
      <w:r>
        <w:rPr>
          <w:rFonts w:hint="eastAsia" w:eastAsia="仿宋"/>
          <w:b/>
          <w:bCs/>
          <w:color w:val="000000" w:themeColor="text1"/>
          <w:sz w:val="30"/>
          <w:szCs w:val="30"/>
          <w:highlight w:val="none"/>
        </w:rPr>
        <w:t>2.满意度指标完成情况分析</w:t>
      </w:r>
      <w:bookmarkEnd w:id="207"/>
      <w:bookmarkEnd w:id="208"/>
      <w:bookmarkEnd w:id="209"/>
      <w:bookmarkEnd w:id="210"/>
    </w:p>
    <w:p>
      <w:pPr>
        <w:spacing w:line="360" w:lineRule="auto"/>
        <w:ind w:firstLine="562"/>
        <w:rPr>
          <w:rFonts w:eastAsia="仿宋"/>
          <w:color w:val="000000" w:themeColor="text1"/>
          <w:kern w:val="0"/>
          <w:sz w:val="30"/>
          <w:szCs w:val="30"/>
          <w:highlight w:val="none"/>
        </w:rPr>
      </w:pPr>
      <w:r>
        <w:rPr>
          <w:rFonts w:eastAsia="仿宋"/>
          <w:b/>
          <w:bCs/>
          <w:color w:val="000000" w:themeColor="text1"/>
          <w:sz w:val="30"/>
          <w:szCs w:val="30"/>
          <w:highlight w:val="none"/>
        </w:rPr>
        <w:t>服务对象满意度指标：</w:t>
      </w:r>
      <w:r>
        <w:rPr>
          <w:rFonts w:eastAsia="仿宋"/>
          <w:color w:val="000000" w:themeColor="text1"/>
          <w:sz w:val="30"/>
          <w:szCs w:val="30"/>
          <w:highlight w:val="none"/>
        </w:rPr>
        <w:t>评价</w:t>
      </w:r>
      <w:r>
        <w:rPr>
          <w:rFonts w:eastAsia="仿宋"/>
          <w:color w:val="000000" w:themeColor="text1"/>
          <w:kern w:val="0"/>
          <w:sz w:val="30"/>
          <w:szCs w:val="30"/>
          <w:highlight w:val="none"/>
        </w:rPr>
        <w:t>指标“</w:t>
      </w:r>
      <w:r>
        <w:rPr>
          <w:rFonts w:hint="eastAsia" w:eastAsia="仿宋"/>
          <w:color w:val="000000" w:themeColor="text1"/>
          <w:kern w:val="0"/>
          <w:sz w:val="30"/>
          <w:szCs w:val="30"/>
          <w:highlight w:val="none"/>
        </w:rPr>
        <w:t>干部群众满意度</w:t>
      </w:r>
      <w:r>
        <w:rPr>
          <w:rFonts w:eastAsia="仿宋"/>
          <w:color w:val="000000" w:themeColor="text1"/>
          <w:kern w:val="0"/>
          <w:sz w:val="30"/>
          <w:szCs w:val="30"/>
          <w:highlight w:val="none"/>
        </w:rPr>
        <w:t>”，指标值：≥9</w:t>
      </w:r>
      <w:r>
        <w:rPr>
          <w:rFonts w:hint="eastAsia" w:eastAsia="仿宋"/>
          <w:color w:val="000000" w:themeColor="text1"/>
          <w:kern w:val="0"/>
          <w:sz w:val="30"/>
          <w:szCs w:val="30"/>
          <w:highlight w:val="none"/>
          <w:lang w:val="en-US" w:eastAsia="zh-CN"/>
        </w:rPr>
        <w:t>0</w:t>
      </w:r>
      <w:r>
        <w:rPr>
          <w:rFonts w:eastAsia="仿宋"/>
          <w:color w:val="000000" w:themeColor="text1"/>
          <w:kern w:val="0"/>
          <w:sz w:val="30"/>
          <w:szCs w:val="30"/>
          <w:highlight w:val="none"/>
        </w:rPr>
        <w:t>%，实际完成值：9</w:t>
      </w:r>
      <w:r>
        <w:rPr>
          <w:rFonts w:hint="eastAsia" w:eastAsia="仿宋"/>
          <w:color w:val="000000" w:themeColor="text1"/>
          <w:kern w:val="0"/>
          <w:sz w:val="30"/>
          <w:szCs w:val="30"/>
          <w:highlight w:val="none"/>
        </w:rPr>
        <w:t>0</w:t>
      </w:r>
      <w:r>
        <w:rPr>
          <w:rFonts w:eastAsia="仿宋"/>
          <w:color w:val="000000" w:themeColor="text1"/>
          <w:kern w:val="0"/>
          <w:sz w:val="30"/>
          <w:szCs w:val="30"/>
          <w:highlight w:val="none"/>
        </w:rPr>
        <w:t>%。</w:t>
      </w:r>
      <w:r>
        <w:rPr>
          <w:rFonts w:hint="eastAsia" w:eastAsia="仿宋"/>
          <w:color w:val="000000" w:themeColor="text1"/>
          <w:kern w:val="0"/>
          <w:sz w:val="30"/>
          <w:szCs w:val="30"/>
          <w:highlight w:val="none"/>
        </w:rPr>
        <w:t>通过设置问卷调查的方式进行考评评价，共计调查样本总量为</w:t>
      </w:r>
      <w:r>
        <w:rPr>
          <w:rFonts w:hint="eastAsia" w:eastAsia="仿宋"/>
          <w:color w:val="000000" w:themeColor="text1"/>
          <w:kern w:val="0"/>
          <w:sz w:val="30"/>
          <w:szCs w:val="30"/>
          <w:highlight w:val="none"/>
          <w:lang w:val="en-US" w:eastAsia="zh-CN"/>
        </w:rPr>
        <w:t>27</w:t>
      </w:r>
      <w:r>
        <w:rPr>
          <w:rFonts w:hint="eastAsia" w:eastAsia="仿宋"/>
          <w:color w:val="000000" w:themeColor="text1"/>
          <w:kern w:val="0"/>
          <w:sz w:val="30"/>
          <w:szCs w:val="30"/>
          <w:highlight w:val="none"/>
        </w:rPr>
        <w:t>个样本，有效调查问卷</w:t>
      </w:r>
      <w:r>
        <w:rPr>
          <w:rFonts w:hint="eastAsia" w:eastAsia="仿宋"/>
          <w:color w:val="000000" w:themeColor="text1"/>
          <w:kern w:val="0"/>
          <w:sz w:val="30"/>
          <w:szCs w:val="30"/>
          <w:highlight w:val="none"/>
          <w:lang w:val="en-US" w:eastAsia="zh-CN"/>
        </w:rPr>
        <w:t>27</w:t>
      </w:r>
      <w:r>
        <w:rPr>
          <w:rFonts w:hint="eastAsia" w:eastAsia="仿宋"/>
          <w:color w:val="000000" w:themeColor="text1"/>
          <w:kern w:val="0"/>
          <w:sz w:val="30"/>
          <w:szCs w:val="30"/>
          <w:highlight w:val="none"/>
        </w:rPr>
        <w:t>份。其中，统计“干部群众满意度”的平均值为9</w:t>
      </w:r>
      <w:r>
        <w:rPr>
          <w:rFonts w:hint="eastAsia" w:eastAsia="仿宋"/>
          <w:color w:val="000000" w:themeColor="text1"/>
          <w:kern w:val="0"/>
          <w:sz w:val="30"/>
          <w:szCs w:val="30"/>
          <w:highlight w:val="none"/>
          <w:lang w:val="en-US" w:eastAsia="zh-CN"/>
        </w:rPr>
        <w:t>0</w:t>
      </w:r>
      <w:r>
        <w:rPr>
          <w:rFonts w:hint="eastAsia" w:eastAsia="仿宋"/>
          <w:color w:val="000000" w:themeColor="text1"/>
          <w:kern w:val="0"/>
          <w:sz w:val="30"/>
          <w:szCs w:val="30"/>
          <w:highlight w:val="none"/>
        </w:rPr>
        <w:t>%。故满意度指标得分为5分。</w:t>
      </w:r>
      <w:r>
        <w:rPr>
          <w:rFonts w:eastAsia="仿宋"/>
          <w:color w:val="000000" w:themeColor="text1"/>
          <w:kern w:val="0"/>
          <w:sz w:val="30"/>
          <w:szCs w:val="30"/>
          <w:highlight w:val="none"/>
        </w:rPr>
        <w:t>故满意度指标得分为</w:t>
      </w:r>
      <w:r>
        <w:rPr>
          <w:rFonts w:hint="eastAsia" w:eastAsia="仿宋"/>
          <w:color w:val="000000" w:themeColor="text1"/>
          <w:kern w:val="0"/>
          <w:sz w:val="30"/>
          <w:szCs w:val="30"/>
          <w:highlight w:val="none"/>
          <w:lang w:val="en-US" w:eastAsia="zh-CN"/>
        </w:rPr>
        <w:t>5</w:t>
      </w:r>
      <w:r>
        <w:rPr>
          <w:rFonts w:eastAsia="仿宋"/>
          <w:color w:val="000000" w:themeColor="text1"/>
          <w:kern w:val="0"/>
          <w:sz w:val="30"/>
          <w:szCs w:val="30"/>
          <w:highlight w:val="none"/>
        </w:rPr>
        <w:t>分。</w:t>
      </w:r>
    </w:p>
    <w:p>
      <w:pPr>
        <w:spacing w:line="360" w:lineRule="auto"/>
        <w:ind w:firstLine="602" w:firstLineChars="200"/>
        <w:rPr>
          <w:rStyle w:val="26"/>
          <w:rFonts w:eastAsia="楷体"/>
          <w:b w:val="0"/>
          <w:bCs w:val="0"/>
          <w:spacing w:val="-4"/>
          <w:sz w:val="30"/>
          <w:szCs w:val="30"/>
          <w:highlight w:val="none"/>
        </w:rPr>
      </w:pPr>
      <w:r>
        <w:rPr>
          <w:rFonts w:eastAsia="仿宋"/>
          <w:b/>
          <w:bCs/>
          <w:sz w:val="30"/>
          <w:szCs w:val="30"/>
          <w:highlight w:val="none"/>
        </w:rPr>
        <w:t>综上，该指标满分</w:t>
      </w:r>
      <w:r>
        <w:rPr>
          <w:rFonts w:hint="eastAsia" w:eastAsia="仿宋"/>
          <w:b/>
          <w:bCs/>
          <w:sz w:val="30"/>
          <w:szCs w:val="30"/>
          <w:highlight w:val="none"/>
        </w:rPr>
        <w:t>5</w:t>
      </w:r>
      <w:r>
        <w:rPr>
          <w:rFonts w:eastAsia="仿宋"/>
          <w:b/>
          <w:bCs/>
          <w:sz w:val="30"/>
          <w:szCs w:val="30"/>
          <w:highlight w:val="none"/>
        </w:rPr>
        <w:t>分，得分</w:t>
      </w:r>
      <w:r>
        <w:rPr>
          <w:rFonts w:hint="eastAsia" w:eastAsia="仿宋"/>
          <w:b/>
          <w:bCs/>
          <w:sz w:val="30"/>
          <w:szCs w:val="30"/>
          <w:highlight w:val="none"/>
          <w:lang w:val="en-US" w:eastAsia="zh-CN"/>
        </w:rPr>
        <w:t>5</w:t>
      </w:r>
      <w:r>
        <w:rPr>
          <w:rFonts w:eastAsia="仿宋"/>
          <w:b/>
          <w:bCs/>
          <w:sz w:val="30"/>
          <w:szCs w:val="30"/>
          <w:highlight w:val="none"/>
        </w:rPr>
        <w:t>分。</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6"/>
          <w:szCs w:val="36"/>
          <w:highlight w:val="none"/>
          <w:lang w:bidi="en-US"/>
        </w:rPr>
      </w:pPr>
      <w:bookmarkStart w:id="211" w:name="_Toc221"/>
      <w:bookmarkStart w:id="212" w:name="_Toc28580"/>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213" w:name="_Toc4399"/>
      <w:bookmarkStart w:id="214" w:name="_Toc31465"/>
      <w:bookmarkStart w:id="215" w:name="_Toc30055"/>
      <w:r>
        <w:rPr>
          <w:rFonts w:hint="default" w:ascii="Times New Roman" w:hAnsi="Times New Roman" w:eastAsia="仿宋" w:cs="Times New Roman"/>
          <w:kern w:val="44"/>
          <w:sz w:val="36"/>
          <w:szCs w:val="36"/>
          <w:highlight w:val="none"/>
          <w:lang w:bidi="en-US"/>
        </w:rPr>
        <w:t>五、预算执行进度与绩效指标偏差</w:t>
      </w:r>
      <w:bookmarkEnd w:id="211"/>
      <w:bookmarkEnd w:id="212"/>
      <w:bookmarkEnd w:id="213"/>
      <w:bookmarkEnd w:id="214"/>
      <w:bookmarkEnd w:id="215"/>
    </w:p>
    <w:p>
      <w:pPr>
        <w:spacing w:line="360" w:lineRule="auto"/>
        <w:ind w:firstLine="562"/>
        <w:rPr>
          <w:rFonts w:eastAsia="仿宋"/>
          <w:color w:val="000000" w:themeColor="text1"/>
          <w:kern w:val="0"/>
          <w:sz w:val="30"/>
          <w:szCs w:val="30"/>
          <w:highlight w:val="none"/>
        </w:rPr>
      </w:pPr>
      <w:r>
        <w:rPr>
          <w:rFonts w:eastAsia="仿宋"/>
          <w:color w:val="000000" w:themeColor="text1"/>
          <w:kern w:val="0"/>
          <w:sz w:val="30"/>
          <w:szCs w:val="30"/>
          <w:highlight w:val="none"/>
        </w:rPr>
        <w:t>本项目预算执行率为</w:t>
      </w:r>
      <w:r>
        <w:rPr>
          <w:rFonts w:hint="eastAsia" w:eastAsia="仿宋"/>
          <w:color w:val="000000" w:themeColor="text1"/>
          <w:kern w:val="0"/>
          <w:sz w:val="30"/>
          <w:szCs w:val="30"/>
          <w:highlight w:val="none"/>
          <w:lang w:val="en-US" w:eastAsia="zh-CN"/>
        </w:rPr>
        <w:t>93.25</w:t>
      </w:r>
      <w:r>
        <w:rPr>
          <w:rFonts w:eastAsia="仿宋"/>
          <w:color w:val="000000" w:themeColor="text1"/>
          <w:kern w:val="0"/>
          <w:sz w:val="30"/>
          <w:szCs w:val="30"/>
          <w:highlight w:val="none"/>
        </w:rPr>
        <w:t>%，指标总体完成率为</w:t>
      </w:r>
      <w:r>
        <w:rPr>
          <w:rFonts w:hint="eastAsia" w:eastAsia="仿宋"/>
          <w:color w:val="000000" w:themeColor="text1"/>
          <w:kern w:val="0"/>
          <w:sz w:val="30"/>
          <w:szCs w:val="30"/>
          <w:highlight w:val="none"/>
          <w:lang w:val="en-US" w:eastAsia="zh-CN"/>
        </w:rPr>
        <w:t>97</w:t>
      </w:r>
      <w:r>
        <w:rPr>
          <w:rFonts w:eastAsia="仿宋"/>
          <w:color w:val="000000" w:themeColor="text1"/>
          <w:kern w:val="0"/>
          <w:sz w:val="30"/>
          <w:szCs w:val="30"/>
          <w:highlight w:val="none"/>
        </w:rPr>
        <w:t>%，二者之间的偏差值为</w:t>
      </w:r>
      <w:r>
        <w:rPr>
          <w:rFonts w:hint="eastAsia" w:eastAsia="仿宋"/>
          <w:color w:val="000000" w:themeColor="text1"/>
          <w:kern w:val="0"/>
          <w:sz w:val="30"/>
          <w:szCs w:val="30"/>
          <w:highlight w:val="none"/>
          <w:lang w:val="en-US" w:eastAsia="zh-CN"/>
        </w:rPr>
        <w:t>3.75</w:t>
      </w:r>
      <w:r>
        <w:rPr>
          <w:rFonts w:eastAsia="仿宋"/>
          <w:color w:val="000000" w:themeColor="text1"/>
          <w:kern w:val="0"/>
          <w:sz w:val="30"/>
          <w:szCs w:val="30"/>
          <w:highlight w:val="none"/>
        </w:rPr>
        <w:t>%，小于20%。因此，本项目较好地完成了年度总体目标，财政资金使用效益和效率较高。</w:t>
      </w: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6"/>
          <w:szCs w:val="36"/>
          <w:highlight w:val="none"/>
          <w:lang w:bidi="en-US"/>
        </w:rPr>
      </w:pPr>
      <w:bookmarkStart w:id="216" w:name="_Toc1964"/>
      <w:bookmarkStart w:id="217" w:name="_Toc8042"/>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218" w:name="_Toc7376"/>
      <w:bookmarkStart w:id="219" w:name="_Toc14316"/>
      <w:bookmarkStart w:id="220" w:name="_Toc15222"/>
      <w:r>
        <w:rPr>
          <w:rFonts w:hint="default" w:ascii="Times New Roman" w:hAnsi="Times New Roman" w:eastAsia="仿宋" w:cs="Times New Roman"/>
          <w:kern w:val="44"/>
          <w:sz w:val="36"/>
          <w:szCs w:val="36"/>
          <w:highlight w:val="none"/>
          <w:lang w:bidi="en-US"/>
        </w:rPr>
        <w:t>六、主要经验及做法、存在的问题及原因分析</w:t>
      </w:r>
      <w:bookmarkEnd w:id="216"/>
      <w:bookmarkEnd w:id="217"/>
      <w:bookmarkEnd w:id="218"/>
      <w:bookmarkEnd w:id="219"/>
      <w:bookmarkEnd w:id="220"/>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eastAsia" w:ascii="Times New Roman" w:hAnsi="Times New Roman" w:eastAsia="仿宋" w:cs="Times New Roman"/>
          <w:kern w:val="44"/>
          <w:sz w:val="32"/>
          <w:szCs w:val="32"/>
          <w:highlight w:val="none"/>
          <w:lang w:val="en-US" w:eastAsia="zh-CN" w:bidi="en-US"/>
        </w:rPr>
      </w:pPr>
      <w:bookmarkStart w:id="221" w:name="_Toc31604"/>
      <w:bookmarkStart w:id="222" w:name="_Toc13314"/>
      <w:bookmarkStart w:id="223" w:name="_Toc12195"/>
      <w:bookmarkStart w:id="224" w:name="_Toc37260708"/>
      <w:r>
        <w:rPr>
          <w:rFonts w:hint="eastAsia" w:ascii="Times New Roman" w:hAnsi="Times New Roman" w:eastAsia="仿宋" w:cs="Times New Roman"/>
          <w:kern w:val="44"/>
          <w:sz w:val="32"/>
          <w:szCs w:val="32"/>
          <w:highlight w:val="none"/>
          <w:lang w:val="en-US" w:eastAsia="zh-CN" w:bidi="en-US"/>
        </w:rPr>
        <w:t>（一）主要经验与做法</w:t>
      </w:r>
      <w:bookmarkEnd w:id="221"/>
      <w:bookmarkEnd w:id="222"/>
      <w:bookmarkEnd w:id="223"/>
      <w:bookmarkEnd w:id="224"/>
    </w:p>
    <w:p>
      <w:pPr>
        <w:spacing w:line="360" w:lineRule="auto"/>
        <w:ind w:firstLine="562"/>
        <w:rPr>
          <w:rFonts w:hint="eastAsia" w:eastAsia="仿宋"/>
          <w:sz w:val="30"/>
          <w:szCs w:val="30"/>
          <w:highlight w:val="none"/>
          <w:lang w:val="en-US" w:eastAsia="zh-CN"/>
        </w:rPr>
      </w:pPr>
      <w:r>
        <w:rPr>
          <w:rFonts w:hint="eastAsia" w:eastAsia="仿宋"/>
          <w:sz w:val="30"/>
          <w:szCs w:val="30"/>
          <w:highlight w:val="none"/>
        </w:rPr>
        <w:t>预算批复的项目资金均为当年度活动所需资金，县政协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w:t>
      </w:r>
      <w:r>
        <w:rPr>
          <w:rFonts w:hint="eastAsia" w:eastAsia="仿宋"/>
          <w:sz w:val="30"/>
          <w:szCs w:val="30"/>
          <w:highlight w:val="none"/>
          <w:lang w:eastAsia="zh-CN"/>
        </w:rPr>
        <w:t>。</w:t>
      </w:r>
    </w:p>
    <w:p>
      <w:pPr>
        <w:pStyle w:val="6"/>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2"/>
        <w:rPr>
          <w:rFonts w:hint="eastAsia" w:ascii="Times New Roman" w:hAnsi="Times New Roman" w:eastAsia="仿宋" w:cs="Times New Roman"/>
          <w:kern w:val="44"/>
          <w:sz w:val="32"/>
          <w:szCs w:val="32"/>
          <w:highlight w:val="none"/>
          <w:lang w:val="en-US" w:eastAsia="zh-CN" w:bidi="en-US"/>
        </w:rPr>
      </w:pPr>
      <w:bookmarkStart w:id="225" w:name="_Toc25438"/>
      <w:bookmarkStart w:id="226" w:name="_Toc15765"/>
      <w:bookmarkStart w:id="227" w:name="_Toc7244"/>
      <w:r>
        <w:rPr>
          <w:rFonts w:hint="eastAsia" w:ascii="Times New Roman" w:hAnsi="Times New Roman" w:eastAsia="仿宋" w:cs="Times New Roman"/>
          <w:kern w:val="44"/>
          <w:sz w:val="32"/>
          <w:szCs w:val="32"/>
          <w:highlight w:val="none"/>
          <w:lang w:val="en-US" w:eastAsia="zh-CN" w:bidi="en-US"/>
        </w:rPr>
        <w:t>（二）存在问题及原因分析</w:t>
      </w:r>
      <w:bookmarkEnd w:id="225"/>
      <w:bookmarkEnd w:id="226"/>
      <w:bookmarkEnd w:id="227"/>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28" w:name="_Toc22734"/>
      <w:bookmarkStart w:id="229" w:name="_Toc24720"/>
      <w:bookmarkStart w:id="230" w:name="_Toc1407"/>
      <w:bookmarkStart w:id="231" w:name="_Toc28801"/>
      <w:r>
        <w:rPr>
          <w:rFonts w:hint="eastAsia" w:ascii="Times New Roman" w:hAnsi="Times New Roman" w:eastAsia="仿宋" w:cs="Times New Roman"/>
          <w:sz w:val="30"/>
          <w:szCs w:val="30"/>
          <w:highlight w:val="none"/>
          <w:lang w:val="en-US" w:eastAsia="zh-CN"/>
        </w:rPr>
        <w:t>1、预算绩效管理工作机制不够完善，绩效管理工作开展缺乏强有力的制度保障。</w:t>
      </w:r>
      <w:r>
        <w:rPr>
          <w:rFonts w:hint="default" w:ascii="Times New Roman" w:hAnsi="Times New Roman" w:eastAsia="仿宋" w:cs="Times New Roman"/>
          <w:sz w:val="30"/>
          <w:szCs w:val="30"/>
          <w:highlight w:val="none"/>
          <w:lang w:val="en-US" w:eastAsia="zh-CN"/>
        </w:rPr>
        <w:t>目前部分单位领导对绩效管理工作及其意义缺乏正确的认识，认为绩效管理工作只是财务部门的事，没有引起足够的重视，导致部分单位绩效申报工作流于形式，绩效申报与单位实际状况脱离。单位绩效管理工作多</w:t>
      </w:r>
      <w:r>
        <w:rPr>
          <w:rFonts w:hint="eastAsia" w:ascii="Times New Roman" w:hAnsi="Times New Roman" w:eastAsia="仿宋" w:cs="Times New Roman"/>
          <w:sz w:val="30"/>
          <w:szCs w:val="30"/>
          <w:highlight w:val="none"/>
          <w:lang w:val="en-US" w:eastAsia="zh-CN"/>
        </w:rPr>
        <w:t>由</w:t>
      </w:r>
      <w:r>
        <w:rPr>
          <w:rFonts w:hint="default" w:ascii="Times New Roman" w:hAnsi="Times New Roman" w:eastAsia="仿宋" w:cs="Times New Roman"/>
          <w:sz w:val="30"/>
          <w:szCs w:val="30"/>
          <w:highlight w:val="none"/>
          <w:lang w:val="en-US" w:eastAsia="zh-CN"/>
        </w:rPr>
        <w:t>财务人员负责，绩效目标的执行情况，只在上报时点时才与项目执行部门（业务部门）进行沟通，且职责界限模糊不清，缺失有效的绩效管理工作机制和制度体系</w:t>
      </w:r>
      <w:r>
        <w:rPr>
          <w:rFonts w:hint="eastAsia" w:ascii="Times New Roman" w:hAnsi="Times New Roman" w:eastAsia="仿宋" w:cs="Times New Roman"/>
          <w:sz w:val="30"/>
          <w:szCs w:val="30"/>
          <w:highlight w:val="none"/>
          <w:lang w:val="en-US" w:eastAsia="zh-CN"/>
        </w:rPr>
        <w:t>。</w:t>
      </w:r>
      <w:bookmarkEnd w:id="228"/>
      <w:bookmarkEnd w:id="229"/>
      <w:bookmarkEnd w:id="230"/>
      <w:bookmarkEnd w:id="231"/>
    </w:p>
    <w:p>
      <w:pPr>
        <w:spacing w:line="360" w:lineRule="auto"/>
        <w:ind w:firstLine="600" w:firstLineChars="200"/>
        <w:outlineLvl w:val="2"/>
        <w:rPr>
          <w:rFonts w:hint="eastAsia" w:ascii="Times New Roman" w:hAnsi="Times New Roman" w:eastAsia="仿宋" w:cs="Times New Roman"/>
          <w:sz w:val="30"/>
          <w:szCs w:val="30"/>
          <w:highlight w:val="none"/>
          <w:lang w:val="en-US" w:eastAsia="zh-CN"/>
        </w:rPr>
      </w:pPr>
      <w:bookmarkStart w:id="232" w:name="_Toc10825"/>
      <w:bookmarkStart w:id="233" w:name="_Toc11489"/>
      <w:bookmarkStart w:id="234" w:name="_Toc1767"/>
      <w:bookmarkStart w:id="235" w:name="_Toc31904"/>
      <w:r>
        <w:rPr>
          <w:rFonts w:hint="eastAsia" w:ascii="Times New Roman" w:hAnsi="Times New Roman" w:eastAsia="仿宋" w:cs="Times New Roman"/>
          <w:sz w:val="30"/>
          <w:szCs w:val="30"/>
          <w:highlight w:val="none"/>
          <w:lang w:val="en-US" w:eastAsia="zh-CN"/>
        </w:rPr>
        <w:t>2、人员素质有待进一步提高，由于绩效管理工作涉及面广，专业性较强，相关人员对绩效管理理解不充分，业务不精通，在一定程度上影响了绩效评价工作质量。</w:t>
      </w:r>
      <w:bookmarkEnd w:id="232"/>
      <w:bookmarkEnd w:id="233"/>
      <w:bookmarkEnd w:id="234"/>
      <w:bookmarkEnd w:id="235"/>
      <w:bookmarkStart w:id="236" w:name="_Toc24237"/>
      <w:bookmarkStart w:id="237" w:name="_Toc31174"/>
    </w:p>
    <w:p>
      <w:pPr>
        <w:pStyle w:val="2"/>
        <w:rPr>
          <w:rFonts w:hint="default"/>
          <w:highlight w:val="none"/>
        </w:rPr>
      </w:pPr>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238" w:name="_Toc20365"/>
      <w:bookmarkStart w:id="239" w:name="_Toc29755"/>
      <w:bookmarkStart w:id="240" w:name="_Toc30213"/>
      <w:r>
        <w:rPr>
          <w:rFonts w:hint="default" w:ascii="Times New Roman" w:hAnsi="Times New Roman" w:eastAsia="仿宋" w:cs="Times New Roman"/>
          <w:kern w:val="44"/>
          <w:sz w:val="36"/>
          <w:szCs w:val="36"/>
          <w:highlight w:val="none"/>
          <w:lang w:bidi="en-US"/>
        </w:rPr>
        <w:t>七、其他需要说明的问题</w:t>
      </w:r>
      <w:bookmarkEnd w:id="238"/>
      <w:bookmarkEnd w:id="239"/>
      <w:bookmarkEnd w:id="240"/>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41" w:name="_Toc16947"/>
      <w:bookmarkStart w:id="242" w:name="_Toc5021"/>
      <w:bookmarkStart w:id="243" w:name="_Toc22244"/>
      <w:bookmarkStart w:id="244" w:name="_Toc26299"/>
      <w:r>
        <w:rPr>
          <w:rFonts w:hint="default" w:ascii="Times New Roman" w:hAnsi="Times New Roman" w:eastAsia="仿宋" w:cs="Times New Roman"/>
          <w:sz w:val="30"/>
          <w:szCs w:val="30"/>
          <w:highlight w:val="none"/>
          <w:lang w:val="en-US" w:eastAsia="zh-CN"/>
        </w:rPr>
        <w:t>1.项目支出政策和路径设计科学，符合实际需要；</w:t>
      </w:r>
      <w:bookmarkEnd w:id="241"/>
      <w:bookmarkEnd w:id="242"/>
      <w:bookmarkEnd w:id="243"/>
      <w:bookmarkEnd w:id="244"/>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45" w:name="_Toc30360"/>
      <w:bookmarkStart w:id="246" w:name="_Toc29737"/>
      <w:bookmarkStart w:id="247" w:name="_Toc7014"/>
      <w:bookmarkStart w:id="248" w:name="_Toc28977"/>
      <w:r>
        <w:rPr>
          <w:rFonts w:hint="default" w:ascii="Times New Roman" w:hAnsi="Times New Roman" w:eastAsia="仿宋" w:cs="Times New Roman"/>
          <w:sz w:val="30"/>
          <w:szCs w:val="30"/>
          <w:highlight w:val="none"/>
          <w:lang w:val="en-US" w:eastAsia="zh-CN"/>
        </w:rPr>
        <w:t>2.项目安排准确，未发现背离项目立项初衷的情况；</w:t>
      </w:r>
      <w:bookmarkEnd w:id="245"/>
      <w:bookmarkEnd w:id="246"/>
      <w:bookmarkEnd w:id="247"/>
      <w:bookmarkEnd w:id="248"/>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49" w:name="_Toc16225"/>
      <w:bookmarkStart w:id="250" w:name="_Toc8177"/>
      <w:bookmarkStart w:id="251" w:name="_Toc12674"/>
      <w:bookmarkStart w:id="252" w:name="_Toc26480"/>
      <w:r>
        <w:rPr>
          <w:rFonts w:hint="default" w:ascii="Times New Roman" w:hAnsi="Times New Roman" w:eastAsia="仿宋" w:cs="Times New Roman"/>
          <w:sz w:val="30"/>
          <w:szCs w:val="30"/>
          <w:highlight w:val="none"/>
          <w:lang w:val="en-US" w:eastAsia="zh-CN"/>
        </w:rPr>
        <w:t>3.项目的申报、审核机制完善；</w:t>
      </w:r>
      <w:bookmarkEnd w:id="249"/>
      <w:bookmarkEnd w:id="250"/>
      <w:bookmarkEnd w:id="251"/>
      <w:bookmarkEnd w:id="252"/>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53" w:name="_Toc4538"/>
      <w:bookmarkStart w:id="254" w:name="_Toc2532"/>
      <w:bookmarkStart w:id="255" w:name="_Toc13107"/>
      <w:bookmarkStart w:id="256" w:name="_Toc27898"/>
      <w:r>
        <w:rPr>
          <w:rFonts w:hint="default" w:ascii="Times New Roman" w:hAnsi="Times New Roman" w:eastAsia="仿宋" w:cs="Times New Roman"/>
          <w:sz w:val="30"/>
          <w:szCs w:val="30"/>
          <w:highlight w:val="none"/>
          <w:lang w:val="en-US" w:eastAsia="zh-CN"/>
        </w:rPr>
        <w:t>4.未发现虚假行为和骗取财政资金的问题。</w:t>
      </w:r>
      <w:bookmarkEnd w:id="253"/>
      <w:bookmarkEnd w:id="254"/>
      <w:bookmarkEnd w:id="255"/>
      <w:bookmarkEnd w:id="256"/>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kern w:val="44"/>
          <w:sz w:val="36"/>
          <w:szCs w:val="36"/>
          <w:highlight w:val="none"/>
          <w:lang w:bidi="en-US"/>
        </w:rPr>
      </w:pPr>
      <w:bookmarkStart w:id="257" w:name="_Toc100784620"/>
      <w:bookmarkStart w:id="258" w:name="_Toc67911620"/>
    </w:p>
    <w:p>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default" w:ascii="Times New Roman" w:hAnsi="Times New Roman" w:eastAsia="仿宋" w:cs="Times New Roman"/>
          <w:kern w:val="44"/>
          <w:sz w:val="36"/>
          <w:szCs w:val="36"/>
          <w:highlight w:val="none"/>
          <w:lang w:bidi="en-US"/>
        </w:rPr>
      </w:pPr>
      <w:bookmarkStart w:id="259" w:name="_Toc190"/>
      <w:bookmarkStart w:id="260" w:name="_Toc26466"/>
      <w:bookmarkStart w:id="261" w:name="_Toc22647"/>
      <w:r>
        <w:rPr>
          <w:rFonts w:hint="default" w:ascii="Times New Roman" w:hAnsi="Times New Roman" w:eastAsia="仿宋" w:cs="Times New Roman"/>
          <w:kern w:val="44"/>
          <w:sz w:val="36"/>
          <w:szCs w:val="36"/>
          <w:highlight w:val="none"/>
          <w:lang w:bidi="en-US"/>
        </w:rPr>
        <w:t>八、有关建议</w:t>
      </w:r>
      <w:bookmarkEnd w:id="257"/>
      <w:bookmarkEnd w:id="258"/>
      <w:bookmarkEnd w:id="259"/>
      <w:bookmarkEnd w:id="260"/>
      <w:bookmarkEnd w:id="261"/>
    </w:p>
    <w:p>
      <w:pPr>
        <w:spacing w:line="360" w:lineRule="auto"/>
        <w:ind w:firstLine="600" w:firstLineChars="200"/>
        <w:outlineLvl w:val="2"/>
        <w:rPr>
          <w:rFonts w:hint="eastAsia" w:ascii="Times New Roman" w:hAnsi="Times New Roman" w:eastAsia="仿宋" w:cs="Times New Roman"/>
          <w:sz w:val="30"/>
          <w:szCs w:val="30"/>
          <w:highlight w:val="none"/>
          <w:lang w:val="en-US" w:eastAsia="zh-CN"/>
        </w:rPr>
      </w:pPr>
      <w:bookmarkStart w:id="262" w:name="_Toc13827"/>
      <w:bookmarkStart w:id="263" w:name="_Toc24765"/>
      <w:bookmarkStart w:id="264" w:name="_Toc27585"/>
      <w:bookmarkStart w:id="265" w:name="_Toc4864"/>
      <w:r>
        <w:rPr>
          <w:rFonts w:hint="eastAsia" w:ascii="Times New Roman" w:hAnsi="Times New Roman" w:eastAsia="仿宋" w:cs="Times New Roman"/>
          <w:sz w:val="30"/>
          <w:szCs w:val="30"/>
          <w:highlight w:val="none"/>
          <w:lang w:val="en-US" w:eastAsia="zh-CN"/>
        </w:rPr>
        <w:t>1.对预算安排与执行的建议</w:t>
      </w:r>
      <w:bookmarkEnd w:id="262"/>
      <w:bookmarkEnd w:id="263"/>
      <w:bookmarkEnd w:id="264"/>
      <w:bookmarkEnd w:id="265"/>
    </w:p>
    <w:p>
      <w:pPr>
        <w:spacing w:line="360" w:lineRule="auto"/>
        <w:ind w:firstLine="600" w:firstLineChars="200"/>
        <w:outlineLvl w:val="2"/>
        <w:rPr>
          <w:rFonts w:hint="eastAsia" w:ascii="Times New Roman" w:hAnsi="Times New Roman" w:eastAsia="仿宋" w:cs="Times New Roman"/>
          <w:sz w:val="30"/>
          <w:szCs w:val="30"/>
          <w:highlight w:val="none"/>
          <w:lang w:val="en-US" w:eastAsia="zh-CN"/>
        </w:rPr>
      </w:pPr>
      <w:bookmarkStart w:id="266" w:name="_Toc5926"/>
      <w:bookmarkStart w:id="267" w:name="_Toc31296"/>
      <w:bookmarkStart w:id="268" w:name="_Toc15731"/>
      <w:bookmarkStart w:id="269" w:name="_Toc10330"/>
      <w:r>
        <w:rPr>
          <w:rFonts w:hint="eastAsia" w:ascii="Times New Roman" w:hAnsi="Times New Roman" w:eastAsia="仿宋" w:cs="Times New Roman"/>
          <w:sz w:val="30"/>
          <w:szCs w:val="30"/>
          <w:highlight w:val="none"/>
          <w:lang w:val="en-US" w:eastAsia="zh-CN"/>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bookmarkEnd w:id="266"/>
      <w:bookmarkEnd w:id="267"/>
      <w:bookmarkEnd w:id="268"/>
      <w:bookmarkEnd w:id="269"/>
    </w:p>
    <w:p>
      <w:pPr>
        <w:spacing w:line="360" w:lineRule="auto"/>
        <w:ind w:firstLine="600" w:firstLineChars="200"/>
        <w:outlineLvl w:val="2"/>
        <w:rPr>
          <w:rFonts w:hint="eastAsia" w:ascii="Times New Roman" w:hAnsi="Times New Roman" w:eastAsia="仿宋" w:cs="Times New Roman"/>
          <w:sz w:val="30"/>
          <w:szCs w:val="30"/>
          <w:highlight w:val="none"/>
          <w:lang w:val="en-US" w:eastAsia="zh-CN"/>
        </w:rPr>
      </w:pPr>
      <w:bookmarkStart w:id="270" w:name="_Toc19421"/>
      <w:bookmarkStart w:id="271" w:name="_Toc9629"/>
      <w:bookmarkStart w:id="272" w:name="_Toc91"/>
      <w:bookmarkStart w:id="273" w:name="_Toc8169"/>
      <w:r>
        <w:rPr>
          <w:rFonts w:hint="eastAsia" w:ascii="Times New Roman" w:hAnsi="Times New Roman" w:eastAsia="仿宋" w:cs="Times New Roman"/>
          <w:sz w:val="30"/>
          <w:szCs w:val="30"/>
          <w:highlight w:val="none"/>
          <w:lang w:val="en-US" w:eastAsia="zh-CN"/>
        </w:rPr>
        <w:t>2.对资金管理的建议</w:t>
      </w:r>
      <w:bookmarkEnd w:id="270"/>
      <w:bookmarkEnd w:id="271"/>
      <w:bookmarkEnd w:id="272"/>
      <w:bookmarkEnd w:id="273"/>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74" w:name="_Toc25112"/>
      <w:bookmarkStart w:id="275" w:name="_Toc4434"/>
      <w:bookmarkStart w:id="276" w:name="_Toc8979"/>
      <w:bookmarkStart w:id="277" w:name="_Toc3075"/>
      <w:r>
        <w:rPr>
          <w:rFonts w:hint="default" w:ascii="Times New Roman" w:hAnsi="Times New Roman" w:eastAsia="仿宋" w:cs="Times New Roman"/>
          <w:sz w:val="30"/>
          <w:szCs w:val="30"/>
          <w:highlight w:val="none"/>
          <w:lang w:val="en-US" w:eastAsia="zh-CN"/>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bookmarkEnd w:id="274"/>
      <w:bookmarkEnd w:id="275"/>
      <w:bookmarkEnd w:id="276"/>
      <w:bookmarkEnd w:id="277"/>
    </w:p>
    <w:p>
      <w:pPr>
        <w:spacing w:line="360" w:lineRule="auto"/>
        <w:ind w:firstLine="600" w:firstLineChars="200"/>
        <w:outlineLvl w:val="2"/>
        <w:rPr>
          <w:rFonts w:hint="eastAsia" w:ascii="Times New Roman" w:hAnsi="Times New Roman" w:eastAsia="仿宋" w:cs="Times New Roman"/>
          <w:sz w:val="30"/>
          <w:szCs w:val="30"/>
          <w:highlight w:val="none"/>
          <w:lang w:val="en-US" w:eastAsia="zh-CN"/>
        </w:rPr>
      </w:pPr>
      <w:bookmarkStart w:id="278" w:name="_Toc4453"/>
      <w:bookmarkStart w:id="279" w:name="_Toc3028"/>
      <w:bookmarkStart w:id="280" w:name="_Toc9428"/>
      <w:bookmarkStart w:id="281" w:name="_Toc12099"/>
      <w:r>
        <w:rPr>
          <w:rFonts w:hint="eastAsia" w:ascii="Times New Roman" w:hAnsi="Times New Roman" w:eastAsia="仿宋" w:cs="Times New Roman"/>
          <w:sz w:val="30"/>
          <w:szCs w:val="30"/>
          <w:highlight w:val="none"/>
          <w:lang w:val="en-US" w:eastAsia="zh-CN"/>
        </w:rPr>
        <w:t>3.项目管理的建议</w:t>
      </w:r>
      <w:bookmarkEnd w:id="278"/>
      <w:bookmarkEnd w:id="279"/>
      <w:bookmarkEnd w:id="280"/>
      <w:bookmarkEnd w:id="281"/>
    </w:p>
    <w:p>
      <w:pPr>
        <w:spacing w:line="360" w:lineRule="auto"/>
        <w:ind w:firstLine="600" w:firstLineChars="200"/>
        <w:outlineLvl w:val="2"/>
        <w:rPr>
          <w:rFonts w:hint="default" w:ascii="Times New Roman" w:hAnsi="Times New Roman" w:eastAsia="仿宋" w:cs="Times New Roman"/>
          <w:sz w:val="30"/>
          <w:szCs w:val="30"/>
          <w:highlight w:val="none"/>
          <w:lang w:val="en-US" w:eastAsia="zh-CN"/>
        </w:rPr>
      </w:pPr>
      <w:bookmarkStart w:id="282" w:name="_Toc18861"/>
      <w:bookmarkStart w:id="283" w:name="_Toc16010"/>
      <w:bookmarkStart w:id="284" w:name="_Toc28148"/>
      <w:bookmarkStart w:id="285" w:name="_Toc9400"/>
      <w:r>
        <w:rPr>
          <w:rFonts w:hint="default" w:ascii="Times New Roman" w:hAnsi="Times New Roman" w:eastAsia="仿宋" w:cs="Times New Roman"/>
          <w:sz w:val="30"/>
          <w:szCs w:val="30"/>
          <w:highlight w:val="none"/>
          <w:lang w:val="en-US" w:eastAsia="zh-CN"/>
        </w:rPr>
        <w:t>建章立制，强化专项资金的监督。财政部门和主管部门要对项目实施和资金使用进行全程跟踪监督，及时掌握项目进度，督促项目实施单位加强管理，定期报告项目实施情况，增加项目资金使用的透明度，同时，要充分发挥纪委、审计监督部门的作用，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bookmarkEnd w:id="282"/>
      <w:bookmarkEnd w:id="283"/>
      <w:bookmarkEnd w:id="284"/>
      <w:bookmarkEnd w:id="285"/>
    </w:p>
    <w:bookmarkEnd w:id="236"/>
    <w:bookmarkEnd w:id="237"/>
    <w:p>
      <w:pPr>
        <w:spacing w:line="540" w:lineRule="exact"/>
        <w:ind w:firstLine="567"/>
        <w:rPr>
          <w:rStyle w:val="26"/>
          <w:rFonts w:eastAsia="楷体"/>
          <w:spacing w:val="-4"/>
          <w:sz w:val="32"/>
          <w:szCs w:val="32"/>
          <w:highlight w:val="none"/>
        </w:rPr>
      </w:pPr>
    </w:p>
    <w:p>
      <w:pPr>
        <w:spacing w:line="540" w:lineRule="exact"/>
        <w:ind w:firstLine="567"/>
        <w:rPr>
          <w:rStyle w:val="26"/>
          <w:rFonts w:hint="eastAsia" w:eastAsia="楷体"/>
          <w:spacing w:val="-4"/>
          <w:sz w:val="32"/>
          <w:szCs w:val="32"/>
          <w:highlight w:val="none"/>
          <w:lang w:val="en-US" w:eastAsia="zh-CN"/>
        </w:rPr>
      </w:pPr>
      <w:r>
        <w:rPr>
          <w:rStyle w:val="26"/>
          <w:rFonts w:hint="eastAsia" w:eastAsia="楷体"/>
          <w:spacing w:val="-4"/>
          <w:sz w:val="32"/>
          <w:szCs w:val="32"/>
          <w:highlight w:val="none"/>
          <w:lang w:val="en-US" w:eastAsia="zh-CN"/>
        </w:rPr>
        <w:t>附件：</w:t>
      </w:r>
    </w:p>
    <w:tbl>
      <w:tblPr>
        <w:tblStyle w:val="24"/>
        <w:tblW w:w="929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7"/>
        <w:gridCol w:w="875"/>
        <w:gridCol w:w="1080"/>
        <w:gridCol w:w="469"/>
        <w:gridCol w:w="1293"/>
        <w:gridCol w:w="254"/>
        <w:gridCol w:w="924"/>
        <w:gridCol w:w="928"/>
        <w:gridCol w:w="161"/>
        <w:gridCol w:w="538"/>
        <w:gridCol w:w="65"/>
        <w:gridCol w:w="1056"/>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9290"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highlight w:val="none"/>
                <w:u w:val="none"/>
              </w:rPr>
            </w:pPr>
            <w:r>
              <w:rPr>
                <w:rStyle w:val="60"/>
                <w:sz w:val="28"/>
                <w:szCs w:val="28"/>
                <w:highlight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9290"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(202</w:t>
            </w:r>
            <w:r>
              <w:rPr>
                <w:rFonts w:hint="eastAsia" w:cs="Times New Roman"/>
                <w:i w:val="0"/>
                <w:iCs w:val="0"/>
                <w:color w:val="000000"/>
                <w:kern w:val="0"/>
                <w:sz w:val="21"/>
                <w:szCs w:val="21"/>
                <w:highlight w:val="none"/>
                <w:u w:val="none"/>
                <w:lang w:val="en-US" w:eastAsia="zh-CN" w:bidi="ar"/>
              </w:rPr>
              <w:t>2</w:t>
            </w:r>
            <w:r>
              <w:rPr>
                <w:rStyle w:val="61"/>
                <w:sz w:val="21"/>
                <w:szCs w:val="21"/>
                <w:highlight w:val="none"/>
                <w:lang w:val="en-US" w:eastAsia="zh-CN" w:bidi="ar"/>
              </w:rPr>
              <w:t>年度</w:t>
            </w:r>
            <w:r>
              <w:rPr>
                <w:rStyle w:val="62"/>
                <w:rFonts w:eastAsia="宋体"/>
                <w:sz w:val="21"/>
                <w:szCs w:val="21"/>
                <w:highlight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项目名称</w:t>
            </w:r>
          </w:p>
        </w:tc>
        <w:tc>
          <w:tcPr>
            <w:tcW w:w="772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档案馆事业经费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主管部门</w:t>
            </w:r>
          </w:p>
        </w:tc>
        <w:tc>
          <w:tcPr>
            <w:tcW w:w="40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县委办公室</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实施单位</w:t>
            </w:r>
          </w:p>
        </w:tc>
        <w:tc>
          <w:tcPr>
            <w:tcW w:w="26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县委办公室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5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项目资金</w:t>
            </w:r>
            <w:r>
              <w:rPr>
                <w:rStyle w:val="64"/>
                <w:rFonts w:eastAsia="宋体"/>
                <w:sz w:val="21"/>
                <w:szCs w:val="21"/>
                <w:highlight w:val="none"/>
                <w:lang w:val="en-US" w:eastAsia="zh-CN" w:bidi="ar"/>
              </w:rPr>
              <w:br w:type="textWrapping"/>
            </w:r>
            <w:r>
              <w:rPr>
                <w:rStyle w:val="63"/>
                <w:sz w:val="21"/>
                <w:szCs w:val="21"/>
                <w:highlight w:val="none"/>
                <w:lang w:val="en-US" w:eastAsia="zh-CN" w:bidi="ar"/>
              </w:rPr>
              <w:t>（万元）</w:t>
            </w:r>
          </w:p>
        </w:tc>
        <w:tc>
          <w:tcPr>
            <w:tcW w:w="15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年初预算数</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全年预算数</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全年执行数</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分值</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执行率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年度资金总额</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cs="Times New Roman"/>
                <w:i w:val="0"/>
                <w:iCs w:val="0"/>
                <w:color w:val="000000"/>
                <w:kern w:val="0"/>
                <w:sz w:val="21"/>
                <w:szCs w:val="21"/>
                <w:highlight w:val="none"/>
                <w:u w:val="none"/>
                <w:lang w:val="en-US" w:eastAsia="zh-CN" w:bidi="ar"/>
              </w:rPr>
              <w:t>8</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cs="Times New Roman"/>
                <w:i w:val="0"/>
                <w:iCs w:val="0"/>
                <w:color w:val="000000"/>
                <w:kern w:val="0"/>
                <w:sz w:val="21"/>
                <w:szCs w:val="21"/>
                <w:highlight w:val="none"/>
                <w:u w:val="none"/>
                <w:lang w:val="en-US" w:eastAsia="zh-CN" w:bidi="ar"/>
              </w:rPr>
              <w:t>8</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eastAsia" w:cs="Times New Roman"/>
                <w:i w:val="0"/>
                <w:iCs w:val="0"/>
                <w:color w:val="000000"/>
                <w:kern w:val="0"/>
                <w:sz w:val="21"/>
                <w:szCs w:val="21"/>
                <w:highlight w:val="none"/>
                <w:u w:val="none"/>
                <w:lang w:val="en-US" w:eastAsia="zh-CN" w:bidi="ar"/>
              </w:rPr>
              <w:t>7.46</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cs="Times New Roman"/>
                <w:i w:val="0"/>
                <w:iCs w:val="0"/>
                <w:color w:val="000000"/>
                <w:kern w:val="0"/>
                <w:sz w:val="21"/>
                <w:szCs w:val="21"/>
                <w:highlight w:val="none"/>
                <w:u w:val="none"/>
                <w:lang w:val="en-US" w:eastAsia="zh-CN" w:bidi="ar"/>
              </w:rPr>
              <w:t>93.25</w:t>
            </w: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cs="Times New Roman"/>
                <w:i w:val="0"/>
                <w:iCs w:val="0"/>
                <w:color w:val="000000"/>
                <w:kern w:val="0"/>
                <w:sz w:val="21"/>
                <w:szCs w:val="21"/>
                <w:highlight w:val="none"/>
                <w:u w:val="none"/>
                <w:lang w:val="en-US" w:eastAsia="zh-CN" w:bidi="ar"/>
              </w:rPr>
              <w:t>9.33</w:t>
            </w:r>
            <w:r>
              <w:rPr>
                <w:rStyle w:val="63"/>
                <w:sz w:val="21"/>
                <w:szCs w:val="21"/>
                <w:highlight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1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其中：当年财政拨款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399"/>
                <w:tab w:val="center" w:pos="598"/>
              </w:tabs>
              <w:jc w:val="left"/>
              <w:textAlignment w:val="center"/>
              <w:rPr>
                <w:rFonts w:hint="default" w:ascii="Times New Roman" w:hAnsi="Times New Roman" w:eastAsia="宋体" w:cs="Times New Roman"/>
                <w:i w:val="0"/>
                <w:iCs w:val="0"/>
                <w:color w:val="000000"/>
                <w:sz w:val="21"/>
                <w:szCs w:val="21"/>
                <w:highlight w:val="none"/>
                <w:u w:val="none"/>
                <w:lang w:val="en-US"/>
              </w:rPr>
            </w:pPr>
            <w:r>
              <w:rPr>
                <w:rFonts w:hint="eastAsia" w:cs="Times New Roman"/>
                <w:i w:val="0"/>
                <w:iCs w:val="0"/>
                <w:color w:val="000000"/>
                <w:kern w:val="0"/>
                <w:sz w:val="21"/>
                <w:szCs w:val="21"/>
                <w:highlight w:val="none"/>
                <w:u w:val="none"/>
                <w:lang w:val="en-US" w:eastAsia="zh-CN" w:bidi="ar"/>
              </w:rPr>
              <w:tab/>
            </w:r>
            <w:r>
              <w:rPr>
                <w:rFonts w:hint="eastAsia" w:cs="Times New Roman"/>
                <w:i w:val="0"/>
                <w:iCs w:val="0"/>
                <w:color w:val="000000"/>
                <w:kern w:val="0"/>
                <w:sz w:val="21"/>
                <w:szCs w:val="21"/>
                <w:highlight w:val="none"/>
                <w:u w:val="none"/>
                <w:lang w:val="en-US" w:eastAsia="zh-CN" w:bidi="ar"/>
              </w:rPr>
              <w:t>8</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cs="Times New Roman"/>
                <w:i w:val="0"/>
                <w:iCs w:val="0"/>
                <w:color w:val="000000"/>
                <w:kern w:val="0"/>
                <w:sz w:val="21"/>
                <w:szCs w:val="21"/>
                <w:highlight w:val="none"/>
                <w:u w:val="none"/>
                <w:lang w:val="en-US" w:eastAsia="zh-CN" w:bidi="ar"/>
              </w:rPr>
              <w:t>8</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eastAsia" w:cs="Times New Roman"/>
                <w:i w:val="0"/>
                <w:iCs w:val="0"/>
                <w:color w:val="000000"/>
                <w:kern w:val="0"/>
                <w:sz w:val="21"/>
                <w:szCs w:val="21"/>
                <w:highlight w:val="none"/>
                <w:u w:val="none"/>
                <w:lang w:val="en-US" w:eastAsia="zh-CN" w:bidi="ar"/>
              </w:rPr>
              <w:t>7.46</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1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Style w:val="63"/>
                <w:sz w:val="21"/>
                <w:szCs w:val="21"/>
                <w:highlight w:val="none"/>
                <w:lang w:val="en-US" w:eastAsia="zh-CN" w:bidi="ar"/>
              </w:rPr>
              <w:t>上年结转资金</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1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Style w:val="63"/>
                <w:sz w:val="21"/>
                <w:szCs w:val="21"/>
                <w:highlight w:val="none"/>
                <w:lang w:val="en-US" w:eastAsia="zh-CN" w:bidi="ar"/>
              </w:rPr>
              <w:t>其他资金</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年度总体目标</w:t>
            </w:r>
          </w:p>
        </w:tc>
        <w:tc>
          <w:tcPr>
            <w:tcW w:w="48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预期目标</w:t>
            </w:r>
          </w:p>
        </w:tc>
        <w:tc>
          <w:tcPr>
            <w:tcW w:w="37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48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r>
              <w:rPr>
                <w:rStyle w:val="63"/>
                <w:sz w:val="21"/>
                <w:szCs w:val="21"/>
                <w:highlight w:val="none"/>
                <w:lang w:val="en-US" w:eastAsia="zh-CN" w:bidi="ar"/>
              </w:rPr>
              <w:t>规范操作。规范档案业务指导，理顺业务流程，操作界面和使用性能上要达到标准化、人性化，满足各单位档案员归档要求。</w:t>
            </w:r>
            <w:r>
              <w:rPr>
                <w:rStyle w:val="64"/>
                <w:rFonts w:eastAsia="宋体"/>
                <w:sz w:val="21"/>
                <w:szCs w:val="21"/>
                <w:highlight w:val="none"/>
                <w:lang w:val="en-US" w:eastAsia="zh-CN" w:bidi="ar"/>
              </w:rPr>
              <w:t>2.</w:t>
            </w:r>
            <w:r>
              <w:rPr>
                <w:rStyle w:val="63"/>
                <w:sz w:val="21"/>
                <w:szCs w:val="21"/>
                <w:highlight w:val="none"/>
                <w:lang w:val="en-US" w:eastAsia="zh-CN" w:bidi="ar"/>
              </w:rPr>
              <w:t>数据安全管理。数据保管和利用安全通过权限细化设定安全控制，对系统操作日志和用户上机操作信息完整记录，保障系统与数据的安全。</w:t>
            </w:r>
          </w:p>
        </w:tc>
        <w:tc>
          <w:tcPr>
            <w:tcW w:w="37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r>
              <w:rPr>
                <w:rStyle w:val="63"/>
                <w:sz w:val="21"/>
                <w:szCs w:val="21"/>
                <w:highlight w:val="none"/>
                <w:lang w:val="en-US" w:eastAsia="zh-CN" w:bidi="ar"/>
              </w:rPr>
              <w:t>规范操作。规范档案业务指导，理顺业务流程，操作界面和使用性能上要达到标准化、人性化，满足各单位档案员归档要求。</w:t>
            </w:r>
            <w:r>
              <w:rPr>
                <w:rStyle w:val="64"/>
                <w:rFonts w:eastAsia="宋体"/>
                <w:sz w:val="21"/>
                <w:szCs w:val="21"/>
                <w:highlight w:val="none"/>
                <w:lang w:val="en-US" w:eastAsia="zh-CN" w:bidi="ar"/>
              </w:rPr>
              <w:t>2.</w:t>
            </w:r>
            <w:r>
              <w:rPr>
                <w:rStyle w:val="63"/>
                <w:sz w:val="21"/>
                <w:szCs w:val="21"/>
                <w:highlight w:val="none"/>
                <w:lang w:val="en-US" w:eastAsia="zh-CN" w:bidi="ar"/>
              </w:rPr>
              <w:t>数据安全管理。数据保管和利用安全通过权限细化设定安全控制，对系统操作日志和用户上机操作信息完整记录，保障系统与数据的安全。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二级指标</w:t>
            </w:r>
          </w:p>
        </w:tc>
        <w:tc>
          <w:tcPr>
            <w:tcW w:w="20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三级指标</w:t>
            </w:r>
          </w:p>
        </w:tc>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年度指标值</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实际完成值</w:t>
            </w:r>
          </w:p>
        </w:tc>
        <w:tc>
          <w:tcPr>
            <w:tcW w:w="7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分值</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得分</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20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7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年度绩效指标完成情况</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数量指标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维护数量</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=10万卷</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9万卷</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sz w:val="21"/>
                <w:szCs w:val="21"/>
                <w:highlight w:val="none"/>
                <w:u w:val="none"/>
              </w:rPr>
              <w:t>因疫情原因，未能及时完成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687"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p>
        </w:tc>
        <w:tc>
          <w:tcPr>
            <w:tcW w:w="87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r>
              <w:rPr>
                <w:rStyle w:val="63"/>
                <w:sz w:val="21"/>
                <w:szCs w:val="21"/>
                <w:highlight w:val="none"/>
                <w:lang w:val="en-US" w:eastAsia="zh-CN" w:bidi="ar"/>
              </w:rPr>
              <w:t>数量指标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购买维护耗材次数</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&gt;=5次</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5次</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p>
        </w:tc>
        <w:tc>
          <w:tcPr>
            <w:tcW w:w="87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r>
              <w:rPr>
                <w:rStyle w:val="63"/>
                <w:sz w:val="21"/>
                <w:szCs w:val="21"/>
                <w:highlight w:val="none"/>
                <w:lang w:val="en-US" w:eastAsia="zh-CN" w:bidi="ar"/>
              </w:rPr>
              <w:t>质量指标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质量检测合格率</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≥98%</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98%</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p>
        </w:tc>
        <w:tc>
          <w:tcPr>
            <w:tcW w:w="87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r>
              <w:rPr>
                <w:rStyle w:val="63"/>
                <w:sz w:val="21"/>
                <w:szCs w:val="21"/>
                <w:highlight w:val="none"/>
                <w:lang w:val="en-US" w:eastAsia="zh-CN" w:bidi="ar"/>
              </w:rPr>
              <w:t>质量指标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耗材验收合格率</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&gt;=98%</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98%</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时效指标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维护任务按时完成率</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≥90%</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90%</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成本指标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档案馆事业经费</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&lt;=4万元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3.46万元</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sz w:val="21"/>
                <w:szCs w:val="21"/>
                <w:highlight w:val="none"/>
                <w:u w:val="none"/>
              </w:rPr>
              <w:t>因疫情原因，未能及时完成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63"/>
                <w:sz w:val="21"/>
                <w:szCs w:val="21"/>
                <w:highlight w:val="none"/>
                <w:lang w:val="en-US" w:eastAsia="zh-CN" w:bidi="ar"/>
              </w:rPr>
            </w:pPr>
            <w:r>
              <w:rPr>
                <w:rStyle w:val="63"/>
                <w:sz w:val="21"/>
                <w:szCs w:val="21"/>
                <w:highlight w:val="none"/>
                <w:lang w:val="en-US" w:eastAsia="zh-CN" w:bidi="ar"/>
              </w:rPr>
              <w:t>成本指标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维护耗材经费</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&lt;=4万元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4万元</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经济效益指标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社会效益指标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提供高效、便捷的办公系统支持</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持续改善</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基本达到预期效果</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13.5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Style w:val="63"/>
                <w:rFonts w:hint="eastAsia"/>
                <w:sz w:val="21"/>
                <w:szCs w:val="21"/>
                <w:highlight w:val="none"/>
                <w:lang w:val="en-US" w:eastAsia="zh-CN" w:bidi="ar"/>
              </w:rPr>
              <w:t>因疫情原因，未能及时完成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生态效益指标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可持续影响指标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积极改善档案保管保护</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长期</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基本达到预期效果</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13.5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剩余资金财政收回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满意度指标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使用人员满意度</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≥90%</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90%</w:t>
            </w:r>
          </w:p>
        </w:tc>
        <w:tc>
          <w:tcPr>
            <w:tcW w:w="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87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Style w:val="63"/>
                <w:sz w:val="21"/>
                <w:szCs w:val="21"/>
                <w:highlight w:val="none"/>
                <w:lang w:val="en-US" w:eastAsia="zh-CN" w:bidi="ar"/>
              </w:rPr>
              <w:t>满意度指标</w:t>
            </w: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2016"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2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2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764"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105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p>
        </w:tc>
        <w:tc>
          <w:tcPr>
            <w:tcW w:w="960"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51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总分</w:t>
            </w:r>
          </w:p>
        </w:tc>
        <w:tc>
          <w:tcPr>
            <w:tcW w:w="7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Style w:val="63"/>
                <w:rFonts w:hint="default" w:ascii="Times New Roman" w:hAnsi="Times New Roman" w:cs="Times New Roman"/>
                <w:sz w:val="21"/>
                <w:szCs w:val="21"/>
                <w:highlight w:val="none"/>
                <w:lang w:val="en-US" w:eastAsia="zh-CN" w:bidi="ar"/>
              </w:rPr>
              <w:t>100</w:t>
            </w:r>
          </w:p>
        </w:tc>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Style w:val="63"/>
                <w:rFonts w:hint="default" w:ascii="Times New Roman" w:hAnsi="Times New Roman" w:cs="Times New Roman"/>
                <w:sz w:val="21"/>
                <w:szCs w:val="21"/>
                <w:highlight w:val="none"/>
                <w:lang w:val="en-US" w:eastAsia="zh-CN" w:bidi="ar"/>
              </w:rPr>
            </w:pPr>
            <w:r>
              <w:rPr>
                <w:rFonts w:hint="eastAsia" w:cs="Times New Roman"/>
                <w:i w:val="0"/>
                <w:iCs w:val="0"/>
                <w:color w:val="000000"/>
                <w:kern w:val="0"/>
                <w:sz w:val="21"/>
                <w:szCs w:val="21"/>
                <w:highlight w:val="none"/>
                <w:u w:val="none"/>
                <w:lang w:val="en-US" w:eastAsia="zh-CN" w:bidi="ar"/>
              </w:rPr>
              <w:t>95.83</w:t>
            </w:r>
            <w:r>
              <w:rPr>
                <w:rStyle w:val="65"/>
                <w:sz w:val="21"/>
                <w:szCs w:val="21"/>
                <w:highlight w:val="none"/>
                <w:lang w:val="en-US" w:eastAsia="zh-CN" w:bidi="ar"/>
              </w:rPr>
              <w:t>分</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562" w:type="dxa"/>
            <w:gridSpan w:val="2"/>
            <w:tcBorders>
              <w:top w:val="single" w:color="auto" w:sz="4" w:space="0"/>
              <w:left w:val="nil"/>
              <w:bottom w:val="nil"/>
              <w:right w:val="nil"/>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highlight w:val="none"/>
                <w:u w:val="none"/>
              </w:rPr>
            </w:pPr>
            <w:r>
              <w:rPr>
                <w:rStyle w:val="66"/>
                <w:sz w:val="21"/>
                <w:szCs w:val="21"/>
                <w:highlight w:val="none"/>
                <w:lang w:val="en-US" w:eastAsia="zh-CN" w:bidi="ar"/>
              </w:rPr>
              <w:t>项目负责人：</w:t>
            </w:r>
          </w:p>
        </w:tc>
        <w:tc>
          <w:tcPr>
            <w:tcW w:w="2842" w:type="dxa"/>
            <w:gridSpan w:val="3"/>
            <w:tcBorders>
              <w:top w:val="single" w:color="auto" w:sz="4" w:space="0"/>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Style w:val="66"/>
                <w:rFonts w:hint="eastAsia"/>
                <w:sz w:val="21"/>
                <w:szCs w:val="21"/>
                <w:highlight w:val="none"/>
                <w:lang w:val="en-US" w:eastAsia="zh-CN" w:bidi="ar"/>
              </w:rPr>
              <w:t>常言灵</w:t>
            </w:r>
          </w:p>
        </w:tc>
        <w:tc>
          <w:tcPr>
            <w:tcW w:w="2267" w:type="dxa"/>
            <w:gridSpan w:val="4"/>
            <w:tcBorders>
              <w:top w:val="single" w:color="auto" w:sz="4" w:space="0"/>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highlight w:val="none"/>
                <w:u w:val="none"/>
              </w:rPr>
            </w:pPr>
            <w:r>
              <w:rPr>
                <w:rStyle w:val="66"/>
                <w:sz w:val="21"/>
                <w:szCs w:val="21"/>
                <w:highlight w:val="none"/>
                <w:lang w:val="en-US" w:eastAsia="zh-CN" w:bidi="ar"/>
              </w:rPr>
              <w:t>联系电话：</w:t>
            </w:r>
          </w:p>
        </w:tc>
        <w:tc>
          <w:tcPr>
            <w:tcW w:w="2619" w:type="dxa"/>
            <w:gridSpan w:val="4"/>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5964510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562"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highlight w:val="none"/>
                <w:u w:val="none"/>
              </w:rPr>
            </w:pPr>
            <w:r>
              <w:rPr>
                <w:rStyle w:val="66"/>
                <w:sz w:val="21"/>
                <w:szCs w:val="21"/>
                <w:highlight w:val="none"/>
                <w:lang w:val="en-US" w:eastAsia="zh-CN" w:bidi="ar"/>
              </w:rPr>
              <w:t>经</w:t>
            </w:r>
            <w:r>
              <w:rPr>
                <w:rStyle w:val="67"/>
                <w:rFonts w:eastAsia="宋体"/>
                <w:sz w:val="21"/>
                <w:szCs w:val="21"/>
                <w:highlight w:val="none"/>
                <w:lang w:val="en-US" w:eastAsia="zh-CN" w:bidi="ar"/>
              </w:rPr>
              <w:t xml:space="preserve"> </w:t>
            </w:r>
            <w:r>
              <w:rPr>
                <w:rStyle w:val="66"/>
                <w:sz w:val="21"/>
                <w:szCs w:val="21"/>
                <w:highlight w:val="none"/>
                <w:lang w:val="en-US" w:eastAsia="zh-CN" w:bidi="ar"/>
              </w:rPr>
              <w:t>办</w:t>
            </w:r>
            <w:r>
              <w:rPr>
                <w:rStyle w:val="67"/>
                <w:rFonts w:eastAsia="宋体"/>
                <w:sz w:val="21"/>
                <w:szCs w:val="21"/>
                <w:highlight w:val="none"/>
                <w:lang w:val="en-US" w:eastAsia="zh-CN" w:bidi="ar"/>
              </w:rPr>
              <w:t xml:space="preserve"> </w:t>
            </w:r>
            <w:r>
              <w:rPr>
                <w:rStyle w:val="66"/>
                <w:sz w:val="21"/>
                <w:szCs w:val="21"/>
                <w:highlight w:val="none"/>
                <w:lang w:val="en-US" w:eastAsia="zh-CN" w:bidi="ar"/>
              </w:rPr>
              <w:t>人：</w:t>
            </w:r>
          </w:p>
        </w:tc>
        <w:tc>
          <w:tcPr>
            <w:tcW w:w="2842"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Style w:val="66"/>
                <w:rFonts w:hint="eastAsia"/>
                <w:sz w:val="21"/>
                <w:szCs w:val="21"/>
                <w:highlight w:val="none"/>
                <w:lang w:val="en-US" w:eastAsia="zh-CN" w:bidi="ar"/>
              </w:rPr>
              <w:t>常言灵</w:t>
            </w:r>
          </w:p>
        </w:tc>
        <w:tc>
          <w:tcPr>
            <w:tcW w:w="2267" w:type="dxa"/>
            <w:gridSpan w:val="4"/>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highlight w:val="none"/>
                <w:u w:val="none"/>
              </w:rPr>
            </w:pPr>
          </w:p>
        </w:tc>
        <w:tc>
          <w:tcPr>
            <w:tcW w:w="2619"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p>
        </w:tc>
      </w:tr>
    </w:tbl>
    <w:p>
      <w:pPr>
        <w:spacing w:line="540" w:lineRule="exact"/>
        <w:ind w:firstLine="567"/>
        <w:rPr>
          <w:rStyle w:val="26"/>
          <w:rFonts w:eastAsia="楷体"/>
          <w:spacing w:val="-4"/>
          <w:sz w:val="32"/>
          <w:szCs w:val="32"/>
          <w:highlight w:val="none"/>
        </w:rPr>
      </w:pPr>
    </w:p>
    <w:p>
      <w:pPr>
        <w:spacing w:line="540" w:lineRule="exact"/>
        <w:ind w:firstLine="567"/>
        <w:rPr>
          <w:rStyle w:val="26"/>
          <w:rFonts w:eastAsia="楷体"/>
          <w:spacing w:val="-4"/>
          <w:sz w:val="32"/>
          <w:szCs w:val="32"/>
          <w:highlight w:val="none"/>
        </w:rPr>
      </w:pPr>
    </w:p>
    <w:p>
      <w:pPr>
        <w:spacing w:line="540" w:lineRule="exact"/>
        <w:ind w:firstLine="567"/>
        <w:rPr>
          <w:rStyle w:val="26"/>
          <w:rFonts w:eastAsia="楷体"/>
          <w:spacing w:val="-4"/>
          <w:sz w:val="32"/>
          <w:szCs w:val="32"/>
          <w:highlight w:val="none"/>
        </w:rPr>
      </w:pPr>
    </w:p>
    <w:p>
      <w:pPr>
        <w:spacing w:line="540" w:lineRule="exact"/>
        <w:ind w:firstLine="567"/>
        <w:rPr>
          <w:rStyle w:val="26"/>
          <w:rFonts w:eastAsia="楷体"/>
          <w:spacing w:val="-4"/>
          <w:sz w:val="32"/>
          <w:szCs w:val="32"/>
          <w:highlight w:val="none"/>
        </w:rPr>
      </w:pPr>
    </w:p>
    <w:p>
      <w:pPr>
        <w:spacing w:line="540" w:lineRule="exact"/>
        <w:ind w:firstLine="567"/>
        <w:rPr>
          <w:rStyle w:val="26"/>
          <w:rFonts w:eastAsia="仿宋"/>
          <w:b w:val="0"/>
          <w:spacing w:val="-4"/>
          <w:sz w:val="32"/>
          <w:szCs w:val="32"/>
          <w:highlight w:val="none"/>
        </w:rPr>
      </w:pPr>
    </w:p>
    <w:sectPr>
      <w:pgSz w:w="11906" w:h="16838"/>
      <w:pgMar w:top="1440" w:right="1558" w:bottom="1440" w:left="175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0"/>
        <w:ind w:firstLine="0" w:firstLineChars="0"/>
        <w:jc w:val="both"/>
        <w:rPr>
          <w:rFonts w:ascii="仿宋_GB2312"/>
        </w:rPr>
      </w:pPr>
      <w:r>
        <w:rPr>
          <w:rStyle w:val="3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sz w:val="24"/>
        <w:szCs w:val="24"/>
      </w:rPr>
    </w:pPr>
    <w:r>
      <w:rPr>
        <w:rFonts w:hint="eastAsia"/>
        <w:sz w:val="24"/>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E4YmE2MTYzZjE1OTc5Zjg1YWRiNDcxMWVhYTI3MDIifQ=="/>
  </w:docVars>
  <w:rsids>
    <w:rsidRoot w:val="00CA6457"/>
    <w:rsid w:val="00056465"/>
    <w:rsid w:val="00102DFF"/>
    <w:rsid w:val="00121AE4"/>
    <w:rsid w:val="00146AAD"/>
    <w:rsid w:val="001A2DB5"/>
    <w:rsid w:val="001B3A40"/>
    <w:rsid w:val="001F5758"/>
    <w:rsid w:val="00291BC0"/>
    <w:rsid w:val="002B3E24"/>
    <w:rsid w:val="00311DBE"/>
    <w:rsid w:val="003B1FA8"/>
    <w:rsid w:val="004314C3"/>
    <w:rsid w:val="004366A8"/>
    <w:rsid w:val="00502BA7"/>
    <w:rsid w:val="005162F1"/>
    <w:rsid w:val="00535153"/>
    <w:rsid w:val="00542F64"/>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03763"/>
    <w:rsid w:val="00B40063"/>
    <w:rsid w:val="00B41F61"/>
    <w:rsid w:val="00BA46E6"/>
    <w:rsid w:val="00C56C72"/>
    <w:rsid w:val="00CA6457"/>
    <w:rsid w:val="00CE2FD9"/>
    <w:rsid w:val="00D17F2E"/>
    <w:rsid w:val="00D30354"/>
    <w:rsid w:val="00DF42A0"/>
    <w:rsid w:val="00E30E91"/>
    <w:rsid w:val="00E769FE"/>
    <w:rsid w:val="00E9527A"/>
    <w:rsid w:val="00EA2CBE"/>
    <w:rsid w:val="00F32FEE"/>
    <w:rsid w:val="00F64554"/>
    <w:rsid w:val="00FB10BB"/>
    <w:rsid w:val="01BB2FBF"/>
    <w:rsid w:val="01D632F9"/>
    <w:rsid w:val="053F39FA"/>
    <w:rsid w:val="054022C8"/>
    <w:rsid w:val="067601CC"/>
    <w:rsid w:val="06F27547"/>
    <w:rsid w:val="07261865"/>
    <w:rsid w:val="0856517C"/>
    <w:rsid w:val="0ADD0EE3"/>
    <w:rsid w:val="0BFB189F"/>
    <w:rsid w:val="0FD552C5"/>
    <w:rsid w:val="10615FAB"/>
    <w:rsid w:val="10EC0521"/>
    <w:rsid w:val="11BD75F7"/>
    <w:rsid w:val="137C5DCB"/>
    <w:rsid w:val="13BE561A"/>
    <w:rsid w:val="141D3B46"/>
    <w:rsid w:val="15392994"/>
    <w:rsid w:val="15EF02BC"/>
    <w:rsid w:val="18FE139B"/>
    <w:rsid w:val="19116C43"/>
    <w:rsid w:val="1CEC2777"/>
    <w:rsid w:val="1D1E67F3"/>
    <w:rsid w:val="1DBD52E2"/>
    <w:rsid w:val="22A07A3E"/>
    <w:rsid w:val="231E53C8"/>
    <w:rsid w:val="23A67FEC"/>
    <w:rsid w:val="247B6DAA"/>
    <w:rsid w:val="25E80570"/>
    <w:rsid w:val="286D056F"/>
    <w:rsid w:val="2A581C8A"/>
    <w:rsid w:val="2A891760"/>
    <w:rsid w:val="2C356A5D"/>
    <w:rsid w:val="2D9F1DBB"/>
    <w:rsid w:val="301400D5"/>
    <w:rsid w:val="3029612C"/>
    <w:rsid w:val="32A221C5"/>
    <w:rsid w:val="33F20F2A"/>
    <w:rsid w:val="34C44675"/>
    <w:rsid w:val="3566572C"/>
    <w:rsid w:val="36923580"/>
    <w:rsid w:val="39273FF8"/>
    <w:rsid w:val="3A4D2A17"/>
    <w:rsid w:val="3AA34B77"/>
    <w:rsid w:val="3B5B5607"/>
    <w:rsid w:val="3C122E05"/>
    <w:rsid w:val="3CE21B3C"/>
    <w:rsid w:val="3D3E25C4"/>
    <w:rsid w:val="3D9D5F8E"/>
    <w:rsid w:val="3EFF6E0D"/>
    <w:rsid w:val="40BD0C2C"/>
    <w:rsid w:val="41D73B02"/>
    <w:rsid w:val="454A5A23"/>
    <w:rsid w:val="47A26A6D"/>
    <w:rsid w:val="4B0B04B0"/>
    <w:rsid w:val="4BB072A9"/>
    <w:rsid w:val="4D2606A1"/>
    <w:rsid w:val="4DDD53AA"/>
    <w:rsid w:val="4E5B7A4A"/>
    <w:rsid w:val="51830480"/>
    <w:rsid w:val="51AF2528"/>
    <w:rsid w:val="53A616BE"/>
    <w:rsid w:val="53FE7C66"/>
    <w:rsid w:val="54662BFB"/>
    <w:rsid w:val="56377A91"/>
    <w:rsid w:val="569F7349"/>
    <w:rsid w:val="5F1E3089"/>
    <w:rsid w:val="61E13F54"/>
    <w:rsid w:val="62051CA5"/>
    <w:rsid w:val="62F34E6F"/>
    <w:rsid w:val="64737361"/>
    <w:rsid w:val="648D771A"/>
    <w:rsid w:val="64A86918"/>
    <w:rsid w:val="65B20F19"/>
    <w:rsid w:val="672C55DE"/>
    <w:rsid w:val="676626C8"/>
    <w:rsid w:val="69C06325"/>
    <w:rsid w:val="6C3A69EF"/>
    <w:rsid w:val="6CE10C19"/>
    <w:rsid w:val="6E457B98"/>
    <w:rsid w:val="6ECD2434"/>
    <w:rsid w:val="6F1406BF"/>
    <w:rsid w:val="70664564"/>
    <w:rsid w:val="7A686E02"/>
    <w:rsid w:val="7C4453CC"/>
    <w:rsid w:val="7DB12889"/>
    <w:rsid w:val="7E1D0E98"/>
    <w:rsid w:val="7E3C712E"/>
    <w:rsid w:val="7E8F463F"/>
    <w:rsid w:val="7F3743F3"/>
    <w:rsid w:val="7F5672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3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3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3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3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3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5">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before="100" w:beforeAutospacing="1"/>
      <w:ind w:left="0" w:firstLine="420" w:firstLineChars="200"/>
    </w:pPr>
    <w:rPr>
      <w:rFonts w:ascii="Times New Roman"/>
    </w:rPr>
  </w:style>
  <w:style w:type="paragraph" w:styleId="3">
    <w:name w:val="Body Text Indent"/>
    <w:basedOn w:val="1"/>
    <w:qFormat/>
    <w:uiPriority w:val="0"/>
    <w:pPr>
      <w:ind w:left="-105" w:leftChars="-50" w:firstLine="742" w:firstLineChars="232"/>
    </w:pPr>
    <w:rPr>
      <w:rFonts w:ascii="仿宋_GB2312" w:eastAsia="仿宋_GB2312"/>
      <w:sz w:val="32"/>
    </w:rPr>
  </w:style>
  <w:style w:type="paragraph" w:styleId="13">
    <w:name w:val="annotation text"/>
    <w:basedOn w:val="1"/>
    <w:unhideWhenUsed/>
    <w:qFormat/>
    <w:uiPriority w:val="99"/>
    <w:pPr>
      <w:jc w:val="left"/>
    </w:pPr>
  </w:style>
  <w:style w:type="paragraph" w:styleId="14">
    <w:name w:val="toc 3"/>
    <w:basedOn w:val="1"/>
    <w:next w:val="1"/>
    <w:semiHidden/>
    <w:unhideWhenUsed/>
    <w:qFormat/>
    <w:uiPriority w:val="39"/>
    <w:pPr>
      <w:ind w:left="840" w:leftChars="400"/>
    </w:pPr>
  </w:style>
  <w:style w:type="paragraph" w:styleId="15">
    <w:name w:val="Balloon Text"/>
    <w:basedOn w:val="1"/>
    <w:link w:val="56"/>
    <w:semiHidden/>
    <w:unhideWhenUsed/>
    <w:qFormat/>
    <w:uiPriority w:val="99"/>
    <w:rPr>
      <w:sz w:val="18"/>
      <w:szCs w:val="18"/>
    </w:rPr>
  </w:style>
  <w:style w:type="paragraph" w:styleId="16">
    <w:name w:val="footer"/>
    <w:basedOn w:val="1"/>
    <w:link w:val="55"/>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5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toc 1"/>
    <w:basedOn w:val="1"/>
    <w:next w:val="1"/>
    <w:semiHidden/>
    <w:unhideWhenUsed/>
    <w:qFormat/>
    <w:uiPriority w:val="39"/>
  </w:style>
  <w:style w:type="paragraph" w:styleId="19">
    <w:name w:val="Subtitle"/>
    <w:basedOn w:val="1"/>
    <w:next w:val="1"/>
    <w:link w:val="41"/>
    <w:qFormat/>
    <w:uiPriority w:val="11"/>
    <w:pPr>
      <w:widowControl/>
      <w:spacing w:after="60"/>
      <w:jc w:val="center"/>
      <w:outlineLvl w:val="1"/>
    </w:pPr>
    <w:rPr>
      <w:rFonts w:asciiTheme="majorHAnsi" w:hAnsiTheme="majorHAnsi" w:eastAsiaTheme="majorEastAsia"/>
      <w:kern w:val="0"/>
      <w:sz w:val="24"/>
    </w:rPr>
  </w:style>
  <w:style w:type="paragraph" w:styleId="20">
    <w:name w:val="footnote text"/>
    <w:basedOn w:val="1"/>
    <w:semiHidden/>
    <w:unhideWhenUsed/>
    <w:qFormat/>
    <w:uiPriority w:val="99"/>
    <w:pPr>
      <w:snapToGrid w:val="0"/>
      <w:jc w:val="left"/>
    </w:pPr>
    <w:rPr>
      <w:sz w:val="18"/>
      <w:szCs w:val="18"/>
    </w:rPr>
  </w:style>
  <w:style w:type="paragraph" w:styleId="21">
    <w:name w:val="toc 2"/>
    <w:basedOn w:val="1"/>
    <w:next w:val="1"/>
    <w:semiHidden/>
    <w:unhideWhenUsed/>
    <w:qFormat/>
    <w:uiPriority w:val="39"/>
    <w:pPr>
      <w:ind w:left="420" w:leftChars="200"/>
    </w:pPr>
  </w:style>
  <w:style w:type="paragraph" w:styleId="22">
    <w:name w:val="Normal (Web)"/>
    <w:basedOn w:val="1"/>
    <w:qFormat/>
    <w:uiPriority w:val="99"/>
    <w:pPr>
      <w:spacing w:before="100" w:beforeAutospacing="1" w:after="100" w:afterAutospacing="1"/>
      <w:jc w:val="left"/>
    </w:pPr>
    <w:rPr>
      <w:rFonts w:ascii="Calibri" w:hAnsi="Calibri"/>
      <w:color w:val="000000"/>
      <w:kern w:val="0"/>
      <w:sz w:val="24"/>
    </w:rPr>
  </w:style>
  <w:style w:type="paragraph" w:styleId="23">
    <w:name w:val="Title"/>
    <w:basedOn w:val="1"/>
    <w:next w:val="1"/>
    <w:link w:val="4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6">
    <w:name w:val="Strong"/>
    <w:basedOn w:val="25"/>
    <w:qFormat/>
    <w:uiPriority w:val="0"/>
    <w:rPr>
      <w:b/>
      <w:bCs/>
    </w:rPr>
  </w:style>
  <w:style w:type="character" w:styleId="27">
    <w:name w:val="Emphasis"/>
    <w:basedOn w:val="25"/>
    <w:qFormat/>
    <w:uiPriority w:val="20"/>
    <w:rPr>
      <w:rFonts w:asciiTheme="minorHAnsi" w:hAnsiTheme="minorHAnsi"/>
      <w:b/>
      <w:i/>
      <w:iCs/>
    </w:rPr>
  </w:style>
  <w:style w:type="character" w:styleId="28">
    <w:name w:val="Hyperlink"/>
    <w:basedOn w:val="25"/>
    <w:unhideWhenUsed/>
    <w:qFormat/>
    <w:uiPriority w:val="99"/>
    <w:rPr>
      <w:color w:val="0000FF" w:themeColor="hyperlink"/>
      <w:u w:val="single"/>
    </w:rPr>
  </w:style>
  <w:style w:type="character" w:styleId="29">
    <w:name w:val="annotation reference"/>
    <w:basedOn w:val="25"/>
    <w:semiHidden/>
    <w:unhideWhenUsed/>
    <w:qFormat/>
    <w:uiPriority w:val="99"/>
    <w:rPr>
      <w:sz w:val="21"/>
      <w:szCs w:val="21"/>
    </w:rPr>
  </w:style>
  <w:style w:type="character" w:styleId="30">
    <w:name w:val="footnote reference"/>
    <w:basedOn w:val="25"/>
    <w:semiHidden/>
    <w:unhideWhenUsed/>
    <w:qFormat/>
    <w:uiPriority w:val="99"/>
    <w:rPr>
      <w:vertAlign w:val="superscript"/>
    </w:rPr>
  </w:style>
  <w:style w:type="character" w:customStyle="1" w:styleId="31">
    <w:name w:val="标题 1 Char"/>
    <w:basedOn w:val="25"/>
    <w:link w:val="4"/>
    <w:qFormat/>
    <w:uiPriority w:val="9"/>
    <w:rPr>
      <w:rFonts w:asciiTheme="majorHAnsi" w:hAnsiTheme="majorHAnsi" w:eastAsiaTheme="majorEastAsia"/>
      <w:b/>
      <w:bCs/>
      <w:kern w:val="32"/>
      <w:sz w:val="32"/>
      <w:szCs w:val="32"/>
    </w:rPr>
  </w:style>
  <w:style w:type="character" w:customStyle="1" w:styleId="32">
    <w:name w:val="标题 2 Char"/>
    <w:basedOn w:val="25"/>
    <w:link w:val="5"/>
    <w:semiHidden/>
    <w:qFormat/>
    <w:uiPriority w:val="9"/>
    <w:rPr>
      <w:rFonts w:asciiTheme="majorHAnsi" w:hAnsiTheme="majorHAnsi" w:eastAsiaTheme="majorEastAsia"/>
      <w:b/>
      <w:bCs/>
      <w:i/>
      <w:iCs/>
      <w:sz w:val="28"/>
      <w:szCs w:val="28"/>
    </w:rPr>
  </w:style>
  <w:style w:type="character" w:customStyle="1" w:styleId="33">
    <w:name w:val="标题 3 Char"/>
    <w:basedOn w:val="25"/>
    <w:link w:val="6"/>
    <w:semiHidden/>
    <w:qFormat/>
    <w:uiPriority w:val="9"/>
    <w:rPr>
      <w:rFonts w:asciiTheme="majorHAnsi" w:hAnsiTheme="majorHAnsi" w:eastAsiaTheme="majorEastAsia"/>
      <w:b/>
      <w:bCs/>
      <w:sz w:val="26"/>
      <w:szCs w:val="26"/>
    </w:rPr>
  </w:style>
  <w:style w:type="character" w:customStyle="1" w:styleId="34">
    <w:name w:val="标题 4 Char"/>
    <w:basedOn w:val="25"/>
    <w:link w:val="7"/>
    <w:semiHidden/>
    <w:qFormat/>
    <w:uiPriority w:val="9"/>
    <w:rPr>
      <w:b/>
      <w:bCs/>
      <w:sz w:val="28"/>
      <w:szCs w:val="28"/>
    </w:rPr>
  </w:style>
  <w:style w:type="character" w:customStyle="1" w:styleId="35">
    <w:name w:val="标题 5 Char"/>
    <w:basedOn w:val="25"/>
    <w:link w:val="8"/>
    <w:semiHidden/>
    <w:qFormat/>
    <w:uiPriority w:val="9"/>
    <w:rPr>
      <w:b/>
      <w:bCs/>
      <w:i/>
      <w:iCs/>
      <w:sz w:val="26"/>
      <w:szCs w:val="26"/>
    </w:rPr>
  </w:style>
  <w:style w:type="character" w:customStyle="1" w:styleId="36">
    <w:name w:val="标题 6 Char"/>
    <w:basedOn w:val="25"/>
    <w:link w:val="9"/>
    <w:semiHidden/>
    <w:qFormat/>
    <w:uiPriority w:val="9"/>
    <w:rPr>
      <w:b/>
      <w:bCs/>
    </w:rPr>
  </w:style>
  <w:style w:type="character" w:customStyle="1" w:styleId="37">
    <w:name w:val="标题 7 Char"/>
    <w:basedOn w:val="25"/>
    <w:link w:val="10"/>
    <w:semiHidden/>
    <w:qFormat/>
    <w:uiPriority w:val="9"/>
    <w:rPr>
      <w:sz w:val="24"/>
      <w:szCs w:val="24"/>
    </w:rPr>
  </w:style>
  <w:style w:type="character" w:customStyle="1" w:styleId="38">
    <w:name w:val="标题 8 Char"/>
    <w:basedOn w:val="25"/>
    <w:link w:val="11"/>
    <w:semiHidden/>
    <w:qFormat/>
    <w:uiPriority w:val="9"/>
    <w:rPr>
      <w:i/>
      <w:iCs/>
      <w:sz w:val="24"/>
      <w:szCs w:val="24"/>
    </w:rPr>
  </w:style>
  <w:style w:type="character" w:customStyle="1" w:styleId="39">
    <w:name w:val="标题 9 Char"/>
    <w:basedOn w:val="25"/>
    <w:link w:val="12"/>
    <w:semiHidden/>
    <w:qFormat/>
    <w:uiPriority w:val="9"/>
    <w:rPr>
      <w:rFonts w:asciiTheme="majorHAnsi" w:hAnsiTheme="majorHAnsi" w:eastAsiaTheme="majorEastAsia"/>
    </w:rPr>
  </w:style>
  <w:style w:type="character" w:customStyle="1" w:styleId="40">
    <w:name w:val="标题 Char"/>
    <w:basedOn w:val="25"/>
    <w:link w:val="23"/>
    <w:qFormat/>
    <w:uiPriority w:val="10"/>
    <w:rPr>
      <w:rFonts w:asciiTheme="majorHAnsi" w:hAnsiTheme="majorHAnsi" w:eastAsiaTheme="majorEastAsia"/>
      <w:b/>
      <w:bCs/>
      <w:kern w:val="28"/>
      <w:sz w:val="32"/>
      <w:szCs w:val="32"/>
    </w:rPr>
  </w:style>
  <w:style w:type="character" w:customStyle="1" w:styleId="41">
    <w:name w:val="副标题 Char"/>
    <w:basedOn w:val="25"/>
    <w:link w:val="19"/>
    <w:qFormat/>
    <w:uiPriority w:val="11"/>
    <w:rPr>
      <w:rFonts w:asciiTheme="majorHAnsi" w:hAnsiTheme="majorHAnsi" w:eastAsiaTheme="majorEastAsia"/>
      <w:sz w:val="24"/>
      <w:szCs w:val="24"/>
    </w:rPr>
  </w:style>
  <w:style w:type="paragraph" w:styleId="4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4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4">
    <w:name w:val="Quote"/>
    <w:basedOn w:val="1"/>
    <w:next w:val="1"/>
    <w:link w:val="45"/>
    <w:qFormat/>
    <w:uiPriority w:val="29"/>
    <w:pPr>
      <w:widowControl/>
      <w:jc w:val="left"/>
    </w:pPr>
    <w:rPr>
      <w:rFonts w:asciiTheme="minorHAnsi" w:hAnsiTheme="minorHAnsi" w:eastAsiaTheme="minorEastAsia"/>
      <w:i/>
      <w:kern w:val="0"/>
      <w:sz w:val="24"/>
    </w:rPr>
  </w:style>
  <w:style w:type="character" w:customStyle="1" w:styleId="45">
    <w:name w:val="引用 Char"/>
    <w:basedOn w:val="25"/>
    <w:link w:val="44"/>
    <w:qFormat/>
    <w:uiPriority w:val="29"/>
    <w:rPr>
      <w:i/>
      <w:sz w:val="24"/>
      <w:szCs w:val="24"/>
    </w:rPr>
  </w:style>
  <w:style w:type="paragraph" w:styleId="46">
    <w:name w:val="Intense Quote"/>
    <w:basedOn w:val="1"/>
    <w:next w:val="1"/>
    <w:link w:val="47"/>
    <w:qFormat/>
    <w:uiPriority w:val="30"/>
    <w:pPr>
      <w:widowControl/>
      <w:ind w:left="720" w:right="720"/>
      <w:jc w:val="left"/>
    </w:pPr>
    <w:rPr>
      <w:rFonts w:asciiTheme="minorHAnsi" w:hAnsiTheme="minorHAnsi" w:eastAsiaTheme="minorEastAsia"/>
      <w:b/>
      <w:i/>
      <w:kern w:val="0"/>
      <w:sz w:val="24"/>
      <w:szCs w:val="22"/>
    </w:rPr>
  </w:style>
  <w:style w:type="character" w:customStyle="1" w:styleId="47">
    <w:name w:val="明显引用 Char"/>
    <w:basedOn w:val="25"/>
    <w:link w:val="46"/>
    <w:qFormat/>
    <w:uiPriority w:val="30"/>
    <w:rPr>
      <w:b/>
      <w:i/>
      <w:sz w:val="24"/>
    </w:rPr>
  </w:style>
  <w:style w:type="character" w:customStyle="1" w:styleId="48">
    <w:name w:val="不明显强调1"/>
    <w:qFormat/>
    <w:uiPriority w:val="19"/>
    <w:rPr>
      <w:i/>
      <w:color w:val="585858" w:themeColor="text1" w:themeTint="A6"/>
    </w:rPr>
  </w:style>
  <w:style w:type="character" w:customStyle="1" w:styleId="49">
    <w:name w:val="明显强调1"/>
    <w:basedOn w:val="25"/>
    <w:qFormat/>
    <w:uiPriority w:val="21"/>
    <w:rPr>
      <w:b/>
      <w:i/>
      <w:sz w:val="24"/>
      <w:szCs w:val="24"/>
      <w:u w:val="single"/>
    </w:rPr>
  </w:style>
  <w:style w:type="character" w:customStyle="1" w:styleId="50">
    <w:name w:val="不明显参考1"/>
    <w:basedOn w:val="25"/>
    <w:qFormat/>
    <w:uiPriority w:val="31"/>
    <w:rPr>
      <w:sz w:val="24"/>
      <w:szCs w:val="24"/>
      <w:u w:val="single"/>
    </w:rPr>
  </w:style>
  <w:style w:type="character" w:customStyle="1" w:styleId="51">
    <w:name w:val="明显参考1"/>
    <w:basedOn w:val="25"/>
    <w:qFormat/>
    <w:uiPriority w:val="32"/>
    <w:rPr>
      <w:b/>
      <w:sz w:val="24"/>
      <w:u w:val="single"/>
    </w:rPr>
  </w:style>
  <w:style w:type="character" w:customStyle="1" w:styleId="52">
    <w:name w:val="书籍标题1"/>
    <w:basedOn w:val="25"/>
    <w:qFormat/>
    <w:uiPriority w:val="33"/>
    <w:rPr>
      <w:rFonts w:asciiTheme="majorHAnsi" w:hAnsiTheme="majorHAnsi" w:eastAsiaTheme="majorEastAsia"/>
      <w:b/>
      <w:i/>
      <w:sz w:val="24"/>
      <w:szCs w:val="24"/>
    </w:rPr>
  </w:style>
  <w:style w:type="paragraph" w:customStyle="1" w:styleId="53">
    <w:name w:val="TOC 标题1"/>
    <w:basedOn w:val="4"/>
    <w:next w:val="1"/>
    <w:semiHidden/>
    <w:unhideWhenUsed/>
    <w:qFormat/>
    <w:uiPriority w:val="39"/>
    <w:pPr>
      <w:outlineLvl w:val="9"/>
    </w:pPr>
    <w:rPr>
      <w:lang w:eastAsia="en-US" w:bidi="en-US"/>
    </w:rPr>
  </w:style>
  <w:style w:type="character" w:customStyle="1" w:styleId="54">
    <w:name w:val="页眉 Char"/>
    <w:basedOn w:val="25"/>
    <w:link w:val="17"/>
    <w:qFormat/>
    <w:uiPriority w:val="99"/>
    <w:rPr>
      <w:rFonts w:ascii="Calibri" w:hAnsi="Calibri" w:eastAsia="宋体"/>
      <w:kern w:val="2"/>
      <w:sz w:val="18"/>
      <w:szCs w:val="18"/>
    </w:rPr>
  </w:style>
  <w:style w:type="character" w:customStyle="1" w:styleId="55">
    <w:name w:val="页脚 Char"/>
    <w:basedOn w:val="25"/>
    <w:link w:val="16"/>
    <w:qFormat/>
    <w:uiPriority w:val="99"/>
    <w:rPr>
      <w:rFonts w:ascii="Calibri" w:hAnsi="Calibri" w:eastAsia="宋体"/>
      <w:kern w:val="2"/>
      <w:sz w:val="18"/>
      <w:szCs w:val="18"/>
    </w:rPr>
  </w:style>
  <w:style w:type="character" w:customStyle="1" w:styleId="56">
    <w:name w:val="批注框文本 Char"/>
    <w:basedOn w:val="25"/>
    <w:link w:val="15"/>
    <w:semiHidden/>
    <w:qFormat/>
    <w:uiPriority w:val="99"/>
    <w:rPr>
      <w:rFonts w:ascii="Times New Roman" w:hAnsi="Times New Roman" w:eastAsia="宋体"/>
      <w:kern w:val="2"/>
      <w:sz w:val="18"/>
      <w:szCs w:val="18"/>
    </w:rPr>
  </w:style>
  <w:style w:type="table" w:customStyle="1" w:styleId="57">
    <w:name w:val="网格型1"/>
    <w:basedOn w:val="2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8">
    <w:name w:val="闻政正文"/>
    <w:basedOn w:val="1"/>
    <w:qFormat/>
    <w:uiPriority w:val="0"/>
    <w:pPr>
      <w:spacing w:line="500" w:lineRule="exact"/>
      <w:ind w:firstLine="560" w:firstLineChars="200"/>
    </w:pPr>
    <w:rPr>
      <w:rFonts w:eastAsia="仿宋_GB2312"/>
      <w:kern w:val="0"/>
      <w:sz w:val="28"/>
      <w:szCs w:val="28"/>
    </w:rPr>
  </w:style>
  <w:style w:type="paragraph" w:customStyle="1" w:styleId="59">
    <w:name w:val="闻政-正文段落文字"/>
    <w:basedOn w:val="1"/>
    <w:qFormat/>
    <w:uiPriority w:val="3"/>
    <w:pPr>
      <w:widowControl w:val="0"/>
      <w:adjustRightInd/>
      <w:snapToGrid/>
      <w:spacing w:after="0" w:line="500" w:lineRule="exact"/>
      <w:ind w:firstLine="200" w:firstLineChars="200"/>
      <w:jc w:val="both"/>
    </w:pPr>
    <w:rPr>
      <w:rFonts w:ascii="Times New Roman" w:hAnsi="Times New Roman" w:eastAsia="仿宋_GB2312" w:cs="Times New Roman"/>
      <w:sz w:val="28"/>
      <w:szCs w:val="28"/>
    </w:rPr>
  </w:style>
  <w:style w:type="character" w:customStyle="1" w:styleId="60">
    <w:name w:val="font81"/>
    <w:basedOn w:val="25"/>
    <w:qFormat/>
    <w:uiPriority w:val="0"/>
    <w:rPr>
      <w:rFonts w:hint="eastAsia" w:ascii="宋体" w:hAnsi="宋体" w:eastAsia="宋体" w:cs="宋体"/>
      <w:b/>
      <w:bCs/>
      <w:color w:val="000000"/>
      <w:sz w:val="32"/>
      <w:szCs w:val="32"/>
      <w:u w:val="none"/>
    </w:rPr>
  </w:style>
  <w:style w:type="character" w:customStyle="1" w:styleId="61">
    <w:name w:val="font51"/>
    <w:basedOn w:val="25"/>
    <w:qFormat/>
    <w:uiPriority w:val="0"/>
    <w:rPr>
      <w:rFonts w:hint="eastAsia" w:ascii="宋体" w:hAnsi="宋体" w:eastAsia="宋体" w:cs="宋体"/>
      <w:color w:val="000000"/>
      <w:sz w:val="20"/>
      <w:szCs w:val="20"/>
      <w:u w:val="none"/>
    </w:rPr>
  </w:style>
  <w:style w:type="character" w:customStyle="1" w:styleId="62">
    <w:name w:val="font61"/>
    <w:basedOn w:val="25"/>
    <w:qFormat/>
    <w:uiPriority w:val="0"/>
    <w:rPr>
      <w:rFonts w:hint="default" w:ascii="Times New Roman" w:hAnsi="Times New Roman" w:cs="Times New Roman"/>
      <w:color w:val="000000"/>
      <w:sz w:val="20"/>
      <w:szCs w:val="20"/>
      <w:u w:val="none"/>
    </w:rPr>
  </w:style>
  <w:style w:type="character" w:customStyle="1" w:styleId="63">
    <w:name w:val="font91"/>
    <w:basedOn w:val="25"/>
    <w:qFormat/>
    <w:uiPriority w:val="0"/>
    <w:rPr>
      <w:rFonts w:hint="eastAsia" w:ascii="宋体" w:hAnsi="宋体" w:eastAsia="宋体" w:cs="宋体"/>
      <w:color w:val="000000"/>
      <w:sz w:val="24"/>
      <w:szCs w:val="24"/>
      <w:u w:val="none"/>
    </w:rPr>
  </w:style>
  <w:style w:type="character" w:customStyle="1" w:styleId="64">
    <w:name w:val="font71"/>
    <w:basedOn w:val="25"/>
    <w:qFormat/>
    <w:uiPriority w:val="0"/>
    <w:rPr>
      <w:rFonts w:hint="default" w:ascii="Times New Roman" w:hAnsi="Times New Roman" w:cs="Times New Roman"/>
      <w:color w:val="000000"/>
      <w:sz w:val="24"/>
      <w:szCs w:val="24"/>
      <w:u w:val="none"/>
    </w:rPr>
  </w:style>
  <w:style w:type="character" w:customStyle="1" w:styleId="65">
    <w:name w:val="font21"/>
    <w:basedOn w:val="25"/>
    <w:qFormat/>
    <w:uiPriority w:val="0"/>
    <w:rPr>
      <w:rFonts w:hint="eastAsia" w:ascii="宋体" w:hAnsi="宋体" w:eastAsia="宋体" w:cs="宋体"/>
      <w:color w:val="000000"/>
      <w:sz w:val="24"/>
      <w:szCs w:val="24"/>
      <w:u w:val="none"/>
    </w:rPr>
  </w:style>
  <w:style w:type="character" w:customStyle="1" w:styleId="66">
    <w:name w:val="font01"/>
    <w:basedOn w:val="25"/>
    <w:qFormat/>
    <w:uiPriority w:val="0"/>
    <w:rPr>
      <w:rFonts w:hint="eastAsia" w:ascii="宋体" w:hAnsi="宋体" w:eastAsia="宋体" w:cs="宋体"/>
      <w:color w:val="000000"/>
      <w:sz w:val="22"/>
      <w:szCs w:val="22"/>
      <w:u w:val="none"/>
    </w:rPr>
  </w:style>
  <w:style w:type="character" w:customStyle="1" w:styleId="67">
    <w:name w:val="font31"/>
    <w:basedOn w:val="25"/>
    <w:qFormat/>
    <w:uiPriority w:val="0"/>
    <w:rPr>
      <w:rFonts w:hint="default" w:ascii="Times New Roman" w:hAnsi="Times New Roman" w:cs="Times New Roman"/>
      <w:color w:val="000000"/>
      <w:sz w:val="22"/>
      <w:szCs w:val="22"/>
      <w:u w:val="none"/>
    </w:rPr>
  </w:style>
  <w:style w:type="paragraph" w:customStyle="1" w:styleId="68">
    <w:name w:val="TOC Heading"/>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Micsocoft</Company>
  <Pages>25</Pages>
  <Words>10961</Words>
  <Characters>11551</Characters>
  <Lines>83</Lines>
  <Paragraphs>23</Paragraphs>
  <TotalTime>0</TotalTime>
  <ScaleCrop>false</ScaleCrop>
  <LinksUpToDate>false</LinksUpToDate>
  <CharactersWithSpaces>11683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2022-03-28T09:40:00Z</dcterms:created>
  <dc:creator>赵 恺（预算处）</dc:creator>
  <cp:lastModifiedBy>Administrator</cp:lastModifiedBy>
  <cp:lastPrinted>2018-12-31T10:56:00Z</cp:lastPrinted>
  <dcterms:modified xsi:type="dcterms:W3CDTF">2023-11-22T03:59:51Z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C734C92AAAF24344A0E4232D8EB3359B</vt:lpwstr>
  </property>
</Properties>
</file>