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项目名称：县政府总值班室信息化设备采购</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县人民政府办公室（信访局）</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县人民政府办公室（信访局）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29"/>
            <w:ind w:firstLine="560"/>
            <w:jc w:val="center"/>
            <w:rPr>
              <w:rStyle w:val="18"/>
              <w:rFonts w:hint="default" w:ascii="Times New Roman" w:hAnsi="Times New Roman" w:eastAsia="仿宋" w:cs="Times New Roman"/>
              <w:color w:val="auto"/>
              <w:kern w:val="2"/>
              <w:sz w:val="28"/>
              <w:szCs w:val="22"/>
              <w:u w:val="none"/>
              <w:lang w:bidi="en-US"/>
            </w:rPr>
          </w:pPr>
          <w:bookmarkStart w:id="62" w:name="_GoBack"/>
          <w:r>
            <w:rPr>
              <w:rStyle w:val="18"/>
              <w:rFonts w:hint="default" w:ascii="Times New Roman" w:hAnsi="Times New Roman" w:eastAsia="仿宋" w:cs="Times New Roman"/>
              <w:color w:val="auto"/>
              <w:kern w:val="2"/>
              <w:sz w:val="28"/>
              <w:szCs w:val="22"/>
              <w:u w:val="none"/>
              <w:lang w:val="en-US" w:bidi="en-US"/>
            </w:rPr>
            <w:t>目录</w:t>
          </w:r>
        </w:p>
        <w:bookmarkEnd w:id="62"/>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8"/>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8"/>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8"/>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8"/>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8"/>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8"/>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8"/>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8"/>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8"/>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8"/>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8"/>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8"/>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8"/>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8"/>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8"/>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8"/>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8"/>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color w:val="000000" w:themeColor="text1"/>
          <w:highlight w:val="none"/>
          <w:lang w:val="en-US"/>
          <w14:textFill>
            <w14:solidFill>
              <w14:schemeClr w14:val="tx1"/>
            </w14:solidFill>
          </w14:textFill>
        </w:rPr>
      </w:pPr>
      <w:r>
        <w:rPr>
          <w:rFonts w:hint="default" w:ascii="Times New Roman" w:hAnsi="Times New Roman" w:cs="Times New Roman"/>
        </w:rPr>
        <w:t>根据</w:t>
      </w:r>
      <w:r>
        <w:rPr>
          <w:rFonts w:hint="eastAsia" w:ascii="Times New Roman" w:hAnsi="Times New Roman" w:cs="Times New Roman"/>
          <w:color w:val="000000" w:themeColor="text1"/>
          <w:highlight w:val="none"/>
          <w:lang w:eastAsia="zh-CN"/>
          <w14:textFill>
            <w14:solidFill>
              <w14:schemeClr w14:val="tx1"/>
            </w14:solidFill>
          </w14:textFill>
        </w:rPr>
        <w:t>县政办</w:t>
      </w:r>
      <w:r>
        <w:rPr>
          <w:rFonts w:hint="default" w:ascii="Times New Roman" w:hAnsi="Times New Roman" w:cs="Times New Roman"/>
          <w:color w:val="000000" w:themeColor="text1"/>
          <w:highlight w:val="none"/>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2022</w:t>
      </w:r>
      <w:r>
        <w:rPr>
          <w:rFonts w:hint="default" w:ascii="Times New Roman" w:hAnsi="Times New Roman" w:cs="Times New Roman"/>
          <w:color w:val="000000" w:themeColor="text1"/>
          <w:highlight w:val="none"/>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1号文《关于申请乌鲁木齐县政府总值班视频系统建设项目资金的请示》</w:t>
      </w:r>
      <w:r>
        <w:rPr>
          <w:rFonts w:hint="default" w:ascii="Times New Roman" w:hAnsi="Times New Roman" w:cs="Times New Roman"/>
          <w:color w:val="000000" w:themeColor="text1"/>
          <w:highlight w:val="none"/>
          <w14:textFill>
            <w14:solidFill>
              <w14:schemeClr w14:val="tx1"/>
            </w14:solidFill>
          </w14:textFill>
        </w:rPr>
        <w:t>，</w:t>
      </w:r>
      <w:r>
        <w:rPr>
          <w:rFonts w:hint="eastAsia" w:ascii="Times New Roman" w:hAnsi="Times New Roman" w:cs="Times New Roman"/>
          <w:color w:val="000000" w:themeColor="text1"/>
          <w:highlight w:val="none"/>
          <w:lang w:eastAsia="zh-CN"/>
          <w14:textFill>
            <w14:solidFill>
              <w14:schemeClr w14:val="tx1"/>
            </w14:solidFill>
          </w14:textFill>
        </w:rPr>
        <w:t>县政府总值班室信息化设备采购项目，按照乌鲁木齐市人民政府办公室《关于建设政府值班室视频会议系统的工作通知》（乌政办函（</w:t>
      </w:r>
      <w:r>
        <w:rPr>
          <w:rFonts w:hint="eastAsia" w:ascii="Times New Roman" w:hAnsi="Times New Roman" w:cs="Times New Roman"/>
          <w:color w:val="000000" w:themeColor="text1"/>
          <w:highlight w:val="none"/>
          <w:lang w:val="en-US" w:eastAsia="zh-CN"/>
          <w14:textFill>
            <w14:solidFill>
              <w14:schemeClr w14:val="tx1"/>
            </w14:solidFill>
          </w14:textFill>
        </w:rPr>
        <w:t>2021）133号）文件要求，需要统一建设政府总值班室及1号楼疫情指挥部会议室视联网终端设备安装</w:t>
      </w:r>
      <w:r>
        <w:rPr>
          <w:rFonts w:hint="default" w:ascii="Times New Roman" w:hAnsi="Times New Roman" w:cs="Times New Roman"/>
          <w:color w:val="000000" w:themeColor="text1"/>
          <w:highlight w:val="none"/>
          <w14:textFill>
            <w14:solidFill>
              <w14:schemeClr w14:val="tx1"/>
            </w14:solidFill>
          </w14:textFill>
        </w:rPr>
        <w:t>。</w:t>
      </w:r>
      <w:r>
        <w:rPr>
          <w:rFonts w:hint="eastAsia" w:ascii="Times New Roman" w:hAnsi="Times New Roman" w:cs="Times New Roman"/>
          <w:color w:val="000000" w:themeColor="text1"/>
          <w:highlight w:val="none"/>
          <w:lang w:val="en-US" w:eastAsia="zh-CN"/>
          <w14:textFill>
            <w14:solidFill>
              <w14:schemeClr w14:val="tx1"/>
            </w14:solidFill>
          </w14:textFill>
        </w:rPr>
        <w:t>随着社会对进一步提高政府服务效率的要求和政府对提高自身管理水平的需要，视频会议这种利用多媒体信息化手段打破时间和距离障碍的有效方式应运而生。政府总值班室和1号楼疫情指挥部会议室视联网系统建设，可以及时接收到上级部门的工作指示、调度会、培训会以及工作安排等各类视频会议，从而减少了因时间或者距离的问题，没办法及时进行上传下达的任务，因此必须建设此套会议室视联网终端设备。安装此套设备，进一步提升了我单位和疫情指挥部的信息化程度，能够及时进行上传下达，确保工作信息及时准确的传达出去，从而提高工作效率。</w:t>
      </w:r>
    </w:p>
    <w:p>
      <w:pPr>
        <w:spacing w:line="360" w:lineRule="auto"/>
        <w:ind w:firstLine="560"/>
        <w:rPr>
          <w:rFonts w:hint="default" w:ascii="Times New Roman" w:hAnsi="Times New Roman" w:cs="Times New Roman"/>
        </w:rPr>
      </w:pPr>
      <w:r>
        <w:rPr>
          <w:rFonts w:hint="default" w:ascii="Times New Roman" w:hAnsi="Times New Roman" w:cs="Times New Roman"/>
          <w:color w:val="000000" w:themeColor="text1"/>
          <w:highlight w:val="none"/>
          <w14:textFill>
            <w14:solidFill>
              <w14:schemeClr w14:val="tx1"/>
            </w14:solidFill>
          </w14:textFill>
        </w:rPr>
        <w:t>经</w:t>
      </w:r>
      <w:r>
        <w:rPr>
          <w:rFonts w:hint="eastAsia" w:ascii="Times New Roman" w:hAnsi="Times New Roman" w:cs="Times New Roman"/>
          <w:color w:val="000000" w:themeColor="text1"/>
          <w:highlight w:val="none"/>
          <w:lang w:eastAsia="zh-CN"/>
          <w14:textFill>
            <w14:solidFill>
              <w14:schemeClr w14:val="tx1"/>
            </w14:solidFill>
          </w14:textFill>
        </w:rPr>
        <w:t>乌鲁木齐县财政局党组，对</w:t>
      </w:r>
      <w:r>
        <w:rPr>
          <w:rFonts w:hint="eastAsia" w:ascii="Times New Roman" w:hAnsi="Times New Roman" w:cs="Times New Roman"/>
          <w:color w:val="000000" w:themeColor="text1"/>
          <w:highlight w:val="none"/>
          <w:lang w:val="en-US" w:eastAsia="zh-CN"/>
          <w14:textFill>
            <w14:solidFill>
              <w14:schemeClr w14:val="tx1"/>
            </w14:solidFill>
          </w14:textFill>
        </w:rPr>
        <w:t>《关于申请乌鲁木齐县政府总值班视频系统建设项目资金的请示》的意见建议的</w:t>
      </w:r>
      <w:r>
        <w:rPr>
          <w:rFonts w:hint="default" w:ascii="Times New Roman" w:hAnsi="Times New Roman" w:cs="Times New Roman"/>
          <w:color w:val="000000" w:themeColor="text1"/>
          <w:highlight w:val="none"/>
          <w14:textFill>
            <w14:solidFill>
              <w14:schemeClr w14:val="tx1"/>
            </w14:solidFill>
          </w14:textFill>
        </w:rPr>
        <w:t>批准，</w:t>
      </w:r>
      <w:r>
        <w:rPr>
          <w:rFonts w:hint="eastAsia" w:ascii="Times New Roman" w:hAnsi="Times New Roman" w:cs="Times New Roman"/>
          <w:color w:val="000000" w:themeColor="text1"/>
          <w:highlight w:val="none"/>
          <w:lang w:eastAsia="zh-CN"/>
          <w14:textFill>
            <w14:solidFill>
              <w14:schemeClr w14:val="tx1"/>
            </w14:solidFill>
          </w14:textFill>
        </w:rPr>
        <w:t>该</w:t>
      </w:r>
      <w:r>
        <w:rPr>
          <w:rFonts w:hint="default" w:ascii="Times New Roman" w:hAnsi="Times New Roman" w:cs="Times New Roman"/>
          <w:color w:val="000000" w:themeColor="text1"/>
          <w:highlight w:val="none"/>
          <w14:textFill>
            <w14:solidFill>
              <w14:schemeClr w14:val="tx1"/>
            </w14:solidFill>
          </w14:textFill>
        </w:rPr>
        <w:t>项目系2022年</w:t>
      </w:r>
      <w:r>
        <w:rPr>
          <w:rFonts w:hint="eastAsia" w:ascii="Times New Roman" w:hAnsi="Times New Roman" w:cs="Times New Roman"/>
          <w:color w:val="000000" w:themeColor="text1"/>
          <w:highlight w:val="none"/>
          <w:lang w:eastAsia="zh-CN"/>
          <w14:textFill>
            <w14:solidFill>
              <w14:schemeClr w14:val="tx1"/>
            </w14:solidFill>
          </w14:textFill>
        </w:rPr>
        <w:t>年中追加项目</w:t>
      </w:r>
      <w:r>
        <w:rPr>
          <w:rFonts w:hint="default" w:ascii="Times New Roman" w:hAnsi="Times New Roman" w:cs="Times New Roman"/>
          <w:color w:val="000000" w:themeColor="text1"/>
          <w:highlight w:val="none"/>
          <w14:textFill>
            <w14:solidFill>
              <w14:schemeClr w14:val="tx1"/>
            </w14:solidFill>
          </w14:textFill>
        </w:rPr>
        <w:t>，共安排预算</w:t>
      </w:r>
      <w:r>
        <w:rPr>
          <w:rFonts w:hint="eastAsia" w:ascii="Times New Roman" w:hAnsi="Times New Roman" w:cs="Times New Roman"/>
          <w:color w:val="000000" w:themeColor="text1"/>
          <w:highlight w:val="none"/>
          <w:lang w:val="en-US" w:eastAsia="zh-CN"/>
          <w14:textFill>
            <w14:solidFill>
              <w14:schemeClr w14:val="tx1"/>
            </w14:solidFill>
          </w14:textFill>
        </w:rPr>
        <w:t>资金33.7</w:t>
      </w:r>
      <w:r>
        <w:rPr>
          <w:rFonts w:hint="default" w:ascii="Times New Roman" w:hAnsi="Times New Roman" w:cs="Times New Roman"/>
          <w:color w:val="000000" w:themeColor="text1"/>
          <w:highlight w:val="none"/>
          <w14:textFill>
            <w14:solidFill>
              <w14:schemeClr w14:val="tx1"/>
            </w14:solidFill>
          </w14:textFill>
        </w:rPr>
        <w:t>万元，资金</w:t>
      </w:r>
      <w:r>
        <w:rPr>
          <w:rFonts w:hint="eastAsia" w:ascii="Times New Roman" w:hAnsi="Times New Roman" w:cs="Times New Roman"/>
          <w:color w:val="000000" w:themeColor="text1"/>
          <w:highlight w:val="none"/>
          <w:lang w:val="en-US" w:eastAsia="zh-CN"/>
          <w14:textFill>
            <w14:solidFill>
              <w14:schemeClr w14:val="tx1"/>
            </w14:solidFill>
          </w14:textFill>
        </w:rPr>
        <w:t>于2022年4月15日到位，资金</w:t>
      </w:r>
      <w:r>
        <w:rPr>
          <w:rFonts w:hint="eastAsia" w:ascii="Times New Roman" w:hAnsi="Times New Roman" w:cs="Times New Roman"/>
          <w:color w:val="000000" w:themeColor="text1"/>
          <w:highlight w:val="none"/>
          <w:lang w:eastAsia="zh-CN"/>
          <w14:textFill>
            <w14:solidFill>
              <w14:schemeClr w14:val="tx1"/>
            </w14:solidFill>
          </w14:textFill>
        </w:rPr>
        <w:t>已</w:t>
      </w:r>
      <w:r>
        <w:rPr>
          <w:rFonts w:hint="eastAsia" w:ascii="Times New Roman" w:hAnsi="Times New Roman" w:cs="Times New Roman"/>
          <w:color w:val="000000" w:themeColor="text1"/>
          <w:highlight w:val="none"/>
          <w:lang w:val="en-US" w:eastAsia="zh-CN"/>
          <w14:textFill>
            <w14:solidFill>
              <w14:schemeClr w14:val="tx1"/>
            </w14:solidFill>
          </w14:textFill>
        </w:rPr>
        <w:t>100%</w:t>
      </w:r>
      <w:r>
        <w:rPr>
          <w:rFonts w:hint="default" w:ascii="Times New Roman" w:hAnsi="Times New Roman" w:cs="Times New Roman"/>
          <w:color w:val="000000" w:themeColor="text1"/>
          <w:highlight w:val="none"/>
          <w14:textFill>
            <w14:solidFill>
              <w14:schemeClr w14:val="tx1"/>
            </w14:solidFill>
          </w14:textFill>
        </w:rPr>
        <w:t>到位</w:t>
      </w:r>
      <w:r>
        <w:rPr>
          <w:rFonts w:hint="eastAsia" w:ascii="Times New Roman" w:hAnsi="Times New Roman" w:cs="Times New Roman"/>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2022</w:t>
      </w:r>
      <w:r>
        <w:rPr>
          <w:rFonts w:hint="eastAsia"/>
          <w:color w:val="000000" w:themeColor="text1"/>
          <w:highlight w:val="none"/>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21</w:t>
      </w:r>
      <w:r>
        <w:rPr>
          <w:rFonts w:hint="eastAsia"/>
          <w:color w:val="000000" w:themeColor="text1"/>
          <w:highlight w:val="none"/>
          <w14:textFill>
            <w14:solidFill>
              <w14:schemeClr w14:val="tx1"/>
            </w14:solidFill>
          </w14:textFill>
        </w:rPr>
        <w:t>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已</w:t>
      </w:r>
      <w:r>
        <w:rPr>
          <w:rFonts w:hint="eastAsia"/>
          <w:color w:val="000000" w:themeColor="text1"/>
          <w:highlight w:val="none"/>
          <w14:textFill>
            <w14:solidFill>
              <w14:schemeClr w14:val="tx1"/>
            </w14:solidFill>
          </w14:textFill>
        </w:rPr>
        <w:t>将资金</w:t>
      </w:r>
      <w:r>
        <w:rPr>
          <w:rFonts w:hint="eastAsia"/>
          <w:color w:val="000000" w:themeColor="text1"/>
          <w:highlight w:val="none"/>
          <w:lang w:val="en-US" w:eastAsia="zh-CN"/>
          <w14:textFill>
            <w14:solidFill>
              <w14:schemeClr w14:val="tx1"/>
            </w14:solidFill>
          </w14:textFill>
        </w:rPr>
        <w:t>全部</w:t>
      </w:r>
      <w:r>
        <w:rPr>
          <w:rFonts w:hint="eastAsia"/>
          <w:color w:val="000000" w:themeColor="text1"/>
          <w:highlight w:val="none"/>
          <w14:textFill>
            <w14:solidFill>
              <w14:schemeClr w14:val="tx1"/>
            </w14:solidFill>
          </w14:textFill>
        </w:rPr>
        <w:t>支付给</w:t>
      </w:r>
      <w:r>
        <w:rPr>
          <w:rFonts w:hint="eastAsia"/>
          <w:color w:val="000000" w:themeColor="text1"/>
          <w:highlight w:val="none"/>
          <w:lang w:val="en-US" w:eastAsia="zh-CN"/>
          <w14:textFill>
            <w14:solidFill>
              <w14:schemeClr w14:val="tx1"/>
            </w14:solidFill>
          </w14:textFill>
        </w:rPr>
        <w:t>供货商</w:t>
      </w:r>
      <w:r>
        <w:rPr>
          <w:rFonts w:hint="eastAsia"/>
          <w:color w:val="000000" w:themeColor="text1"/>
          <w:highlight w:val="none"/>
          <w:lang w:eastAsia="zh-CN"/>
          <w14:textFill>
            <w14:solidFill>
              <w14:schemeClr w14:val="tx1"/>
            </w14:solidFill>
          </w14:textFill>
        </w:rPr>
        <w:t>新疆四平智联信息科级有限公司，</w:t>
      </w:r>
      <w:r>
        <w:rPr>
          <w:rFonts w:hint="eastAsia" w:ascii="Times New Roman" w:hAnsi="Times New Roman" w:cs="Times New Roman"/>
          <w:color w:val="000000" w:themeColor="text1"/>
          <w:highlight w:val="none"/>
          <w:lang w:eastAsia="zh-CN"/>
          <w14:textFill>
            <w14:solidFill>
              <w14:schemeClr w14:val="tx1"/>
            </w14:solidFill>
          </w14:textFill>
        </w:rPr>
        <w:t>资金</w:t>
      </w:r>
      <w:r>
        <w:rPr>
          <w:rFonts w:hint="default" w:ascii="Times New Roman" w:hAnsi="Times New Roman" w:cs="Times New Roman"/>
          <w:color w:val="000000" w:themeColor="text1"/>
          <w:highlight w:val="none"/>
          <w14:textFill>
            <w14:solidFill>
              <w14:schemeClr w14:val="tx1"/>
            </w14:solidFill>
          </w14:textFill>
        </w:rPr>
        <w:t>支付</w:t>
      </w:r>
      <w:r>
        <w:rPr>
          <w:rFonts w:hint="eastAsia" w:ascii="Times New Roman" w:hAnsi="Times New Roman" w:cs="Times New Roman"/>
          <w:color w:val="000000" w:themeColor="text1"/>
          <w:highlight w:val="none"/>
          <w:lang w:eastAsia="zh-CN"/>
          <w14:textFill>
            <w14:solidFill>
              <w14:schemeClr w14:val="tx1"/>
            </w14:solidFill>
          </w14:textFill>
        </w:rPr>
        <w:t>执行率达</w:t>
      </w:r>
      <w:r>
        <w:rPr>
          <w:rFonts w:hint="eastAsia" w:ascii="Times New Roman" w:hAnsi="Times New Roman" w:cs="Times New Roman"/>
          <w:lang w:eastAsia="zh-CN"/>
        </w:rPr>
        <w:t>到</w:t>
      </w:r>
      <w:r>
        <w:rPr>
          <w:rFonts w:hint="eastAsia" w:ascii="Times New Roman" w:hAnsi="Times New Roman" w:cs="Times New Roman"/>
          <w:lang w:val="en-US" w:eastAsia="zh-CN"/>
        </w:rPr>
        <w:t>100%</w:t>
      </w:r>
      <w:r>
        <w:rPr>
          <w:rFonts w:hint="default" w:ascii="Times New Roman" w:hAnsi="Times New Roman" w:cs="Times New Roma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w:t>
      </w:r>
      <w:r>
        <w:rPr>
          <w:rFonts w:hint="eastAsia" w:ascii="仿宋" w:hAnsi="仿宋" w:eastAsia="仿宋" w:cs="仿宋"/>
          <w:szCs w:val="28"/>
        </w:rPr>
        <w:t>“谁申请资金，谁编制目标”</w:t>
      </w:r>
      <w:r>
        <w:rPr>
          <w:rFonts w:hint="default" w:ascii="Times New Roman" w:hAnsi="Times New Roman" w:cs="Times New Roman"/>
          <w:szCs w:val="28"/>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绩效目标根据乌鲁木齐市人民政府办公室《关于建设政府值班视频会议系统的工作通知》要求需要统一建设政府总值班室及1号楼疫情指挥部会议室视联网终端设备安装，会议室终端设备套数2套，设备验收合格率达95%，</w:t>
      </w:r>
      <w:r>
        <w:rPr>
          <w:rFonts w:hint="eastAsia" w:ascii="Times New Roman" w:hAnsi="Times New Roman" w:cs="Times New Roman"/>
          <w:szCs w:val="28"/>
          <w:lang w:val="en-US" w:eastAsia="zh-CN"/>
        </w:rPr>
        <w:t>设备安装及时率达95%，会议室终端设备75000元，视联网终端30500元，55寸电视机机架5300元，会议桌椅7570元，保密柜4500元，会议室装饰及辅助材料214190元，切实加强会议系统的互联互通完全达到了预期效果，长期持续发挥作用期限也完全达到了预期效果，群众满意度也达85%，项目资金</w:t>
      </w:r>
      <w:r>
        <w:rPr>
          <w:rFonts w:hint="default" w:ascii="Times New Roman" w:hAnsi="Times New Roman" w:cs="Times New Roman"/>
          <w:szCs w:val="28"/>
        </w:rPr>
        <w:t>已全部支付。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rPr>
        <w:t>（1）绩效评价的对象</w:t>
      </w:r>
      <w:r>
        <w:rPr>
          <w:rFonts w:hint="default" w:ascii="Times New Roman" w:hAnsi="Times New Roman" w:cs="Times New Roman"/>
          <w:highlight w:val="none"/>
        </w:rPr>
        <w:t>：</w:t>
      </w:r>
      <w:r>
        <w:rPr>
          <w:rFonts w:hint="eastAsia" w:ascii="Times New Roman" w:hAnsi="Times New Roman" w:cs="Times New Roman"/>
          <w:highlight w:val="none"/>
          <w:lang w:eastAsia="zh-CN"/>
        </w:rPr>
        <w:t>县政府总值班室信息化设备采购项目</w:t>
      </w:r>
      <w:r>
        <w:rPr>
          <w:rFonts w:hint="default" w:ascii="Times New Roman" w:hAnsi="Times New Roman" w:cs="Times New Roman"/>
          <w:highlight w:val="none"/>
        </w:rPr>
        <w:t xml:space="preserve">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eastAsia" w:ascii="Times New Roman" w:hAnsi="Times New Roman" w:eastAsia="仿宋_GB2312" w:cs="Times New Roman"/>
          <w:lang w:val="en-US" w:eastAsia="zh-CN"/>
        </w:rPr>
      </w:pPr>
      <w:r>
        <w:rPr>
          <w:rFonts w:hint="default" w:ascii="Times New Roman" w:hAnsi="Times New Roman" w:cs="Times New Roman"/>
        </w:rPr>
        <w:t>1.项目范围：</w:t>
      </w:r>
      <w:r>
        <w:rPr>
          <w:rFonts w:hint="eastAsia" w:ascii="Times New Roman" w:hAnsi="Times New Roman" w:cs="Times New Roman"/>
          <w:highlight w:val="none"/>
          <w:lang w:eastAsia="zh-CN"/>
        </w:rPr>
        <w:t>县政府总值班室信息化设备采购项目</w:t>
      </w:r>
      <w:r>
        <w:rPr>
          <w:rFonts w:hint="eastAsia" w:ascii="Times New Roman" w:hAnsi="Times New Roman" w:cs="Times New Roman"/>
          <w:lang w:eastAsia="zh-CN"/>
        </w:rPr>
        <w:t>的完成情况、资金投入运行情况、项目实施后产生的绩效及影响效果。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w:t>
      </w:r>
      <w:r>
        <w:rPr>
          <w:rFonts w:hint="eastAsia" w:ascii="Times New Roman" w:hAnsi="Times New Roman" w:cs="Times New Roman"/>
          <w:lang w:val="en-US" w:eastAsia="zh-CN"/>
        </w:rPr>
        <w:t>1</w:t>
      </w:r>
      <w:r>
        <w:rPr>
          <w:rFonts w:hint="default" w:ascii="Times New Roman" w:hAnsi="Times New Roman" w:cs="Times New Roman"/>
        </w:rPr>
        <w:t>月</w:t>
      </w:r>
      <w:r>
        <w:rPr>
          <w:rFonts w:hint="eastAsia" w:ascii="Times New Roman" w:hAnsi="Times New Roman" w:cs="Times New Roman"/>
          <w:lang w:val="en-US" w:eastAsia="zh-CN"/>
        </w:rPr>
        <w:t>12</w:t>
      </w:r>
      <w:r>
        <w:rPr>
          <w:rFonts w:hint="default" w:ascii="Times New Roman" w:hAnsi="Times New Roman" w:cs="Times New Roman"/>
        </w:rPr>
        <w:t>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Change w:id="0">
          <w:tblGrid>
            <w:gridCol w:w="1155"/>
            <w:gridCol w:w="1199"/>
            <w:gridCol w:w="1411"/>
            <w:gridCol w:w="2789"/>
            <w:gridCol w:w="7341"/>
          </w:tblGrid>
        </w:tblGridChange>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r>
              <w:rPr>
                <w:rFonts w:hint="eastAsia" w:ascii="Times New Roman" w:hAnsi="Times New Roman" w:eastAsia="宋体" w:cs="Times New Roman"/>
                <w:color w:val="000000"/>
                <w:kern w:val="0"/>
                <w:sz w:val="22"/>
                <w:highlight w:val="none"/>
                <w:lang w:val="en-US" w:eastAsia="zh-CN"/>
              </w:rPr>
              <w:t>指标</w:t>
            </w: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eastAsia" w:ascii="Times New Roman" w:hAnsi="Times New Roman" w:eastAsia="宋体" w:cs="Times New Roman"/>
                <w:color w:val="000000"/>
                <w:kern w:val="0"/>
                <w:sz w:val="22"/>
                <w:highlight w:val="none"/>
                <w:lang w:val="en-US" w:eastAsia="zh-CN"/>
              </w:rPr>
            </w:pPr>
          </w:p>
        </w:tc>
        <w:tc>
          <w:tcPr>
            <w:tcW w:w="119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数量</w:t>
            </w:r>
            <w:r>
              <w:rPr>
                <w:rFonts w:hint="eastAsia" w:ascii="Times New Roman" w:hAnsi="Times New Roman" w:eastAsia="宋体" w:cs="Times New Roman"/>
                <w:color w:val="000000"/>
                <w:kern w:val="0"/>
                <w:sz w:val="22"/>
                <w:highlight w:val="none"/>
                <w:lang w:eastAsia="zh-CN"/>
              </w:rPr>
              <w:t>指标</w:t>
            </w:r>
          </w:p>
        </w:tc>
        <w:tc>
          <w:tcPr>
            <w:tcW w:w="1411" w:type="dxa"/>
            <w:tcBorders>
              <w:tl2br w:val="nil"/>
              <w:tr2bl w:val="nil"/>
            </w:tcBorders>
            <w:shd w:val="clear" w:color="auto" w:fill="FFFFFF"/>
          </w:tcPr>
          <w:p>
            <w:pPr>
              <w:widowControl/>
              <w:ind w:firstLine="0" w:firstLineChars="0"/>
              <w:jc w:val="center"/>
              <w:rPr>
                <w:rFonts w:hint="eastAsia" w:ascii="Times New Roman" w:hAnsi="Times New Roman" w:eastAsia="宋体" w:cs="Times New Roman"/>
                <w:color w:val="000000"/>
                <w:kern w:val="0"/>
                <w:sz w:val="22"/>
                <w:highlight w:val="none"/>
                <w:lang w:eastAsia="zh-CN"/>
              </w:rPr>
            </w:pPr>
          </w:p>
          <w:p>
            <w:pPr>
              <w:widowControl/>
              <w:ind w:firstLine="0" w:firstLineChars="0"/>
              <w:jc w:val="center"/>
              <w:rPr>
                <w:rFonts w:hint="eastAsia" w:ascii="Times New Roman" w:hAnsi="Times New Roman" w:eastAsia="宋体" w:cs="Times New Roman"/>
                <w:color w:val="000000"/>
                <w:kern w:val="0"/>
                <w:sz w:val="22"/>
                <w:highlight w:val="none"/>
                <w:lang w:eastAsia="zh-CN"/>
              </w:rPr>
            </w:pPr>
          </w:p>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会议室终端设备套数</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质量</w:t>
            </w:r>
            <w:r>
              <w:rPr>
                <w:rFonts w:hint="eastAsia" w:ascii="Times New Roman" w:hAnsi="Times New Roman" w:eastAsia="宋体" w:cs="Times New Roman"/>
                <w:color w:val="000000"/>
                <w:kern w:val="0"/>
                <w:sz w:val="22"/>
                <w:highlight w:val="none"/>
                <w:lang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设备验收</w:t>
            </w:r>
            <w:r>
              <w:rPr>
                <w:rFonts w:hint="eastAsia" w:ascii="Times New Roman" w:hAnsi="Times New Roman" w:eastAsia="宋体" w:cs="Times New Roman"/>
                <w:color w:val="000000"/>
                <w:kern w:val="0"/>
                <w:sz w:val="22"/>
                <w:highlight w:val="none"/>
                <w:lang w:val="en-US" w:eastAsia="zh-CN"/>
              </w:rPr>
              <w:t xml:space="preserve"> </w:t>
            </w:r>
            <w:r>
              <w:rPr>
                <w:rFonts w:hint="eastAsia" w:ascii="Times New Roman" w:hAnsi="Times New Roman" w:eastAsia="宋体" w:cs="Times New Roman"/>
                <w:color w:val="000000"/>
                <w:kern w:val="0"/>
                <w:sz w:val="22"/>
                <w:highlight w:val="none"/>
                <w:lang w:eastAsia="zh-CN"/>
              </w:rPr>
              <w:t>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时效</w:t>
            </w:r>
            <w:r>
              <w:rPr>
                <w:rFonts w:hint="eastAsia" w:ascii="Times New Roman" w:hAnsi="Times New Roman" w:eastAsia="宋体" w:cs="Times New Roman"/>
                <w:color w:val="000000"/>
                <w:kern w:val="0"/>
                <w:sz w:val="22"/>
                <w:highlight w:val="none"/>
                <w:lang w:eastAsia="zh-CN"/>
              </w:rPr>
              <w:t>指标</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设备安装及时率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成本</w:t>
            </w:r>
            <w:r>
              <w:rPr>
                <w:rFonts w:hint="eastAsia" w:ascii="Times New Roman" w:hAnsi="Times New Roman" w:eastAsia="宋体" w:cs="Times New Roman"/>
                <w:color w:val="000000"/>
                <w:kern w:val="0"/>
                <w:sz w:val="22"/>
                <w:highlight w:val="none"/>
                <w:lang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会议室终端设备套数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 w:author="［弧。］" w:date="2023-05-24T15:21:41Z">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blPrExChange>
        </w:tblPrEx>
        <w:trPr>
          <w:trHeight w:val="645" w:hRule="atLeast"/>
          <w:jc w:val="center"/>
          <w:trPrChange w:id="1" w:author="［弧。］" w:date="2023-05-24T15:21:41Z">
            <w:trPr>
              <w:trHeight w:val="839" w:hRule="atLeast"/>
              <w:jc w:val="center"/>
            </w:trPr>
          </w:trPrChange>
        </w:trPr>
        <w:tc>
          <w:tcPr>
            <w:tcW w:w="1155" w:type="dxa"/>
            <w:vMerge w:val="continue"/>
            <w:tcBorders>
              <w:tl2br w:val="nil"/>
              <w:tr2bl w:val="nil"/>
            </w:tcBorders>
            <w:shd w:val="clear" w:color="auto" w:fill="FFFFFF"/>
            <w:vAlign w:val="center"/>
            <w:tcPrChange w:id="2" w:author="［弧。］" w:date="2023-05-24T15:21:41Z">
              <w:tcPr>
                <w:tcW w:w="1155" w:type="dxa"/>
                <w:vMerge w:val="continue"/>
                <w:tcBorders>
                  <w:tl2br w:val="nil"/>
                  <w:tr2bl w:val="nil"/>
                </w:tcBorders>
                <w:shd w:val="clear" w:color="auto" w:fill="FFFFFF"/>
                <w:vAlign w:val="center"/>
                <w:tcPrChange w:id="3" w:author="［弧。］" w:date="2023-05-24T15:21:41Z">
                  <w:tcPr>
                    <w:tcW w:w="1155" w:type="dxa"/>
                    <w:vMerge w:val="continue"/>
                    <w:tcBorders>
                      <w:tl2br w:val="nil"/>
                      <w:tr2bl w:val="nil"/>
                    </w:tcBorders>
                    <w:shd w:val="clear" w:color="auto" w:fill="FFFFFF"/>
                    <w:vAlign w:val="center"/>
                  </w:tcPr>
                </w:tcPrChange>
              </w:tcPr>
            </w:tcPrChange>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Change w:id="4" w:author="［弧。］" w:date="2023-05-24T15:21:41Z">
              <w:tcPr>
                <w:tcW w:w="1199" w:type="dxa"/>
                <w:vMerge w:val="continue"/>
                <w:tcBorders>
                  <w:tl2br w:val="nil"/>
                  <w:tr2bl w:val="nil"/>
                </w:tcBorders>
                <w:shd w:val="clear" w:color="auto" w:fill="FFFFFF"/>
                <w:vAlign w:val="center"/>
                <w:tcPrChange w:id="5" w:author="［弧。］" w:date="2023-05-24T15:21:41Z">
                  <w:tcPr>
                    <w:tcW w:w="1199" w:type="dxa"/>
                    <w:vMerge w:val="continue"/>
                    <w:tcBorders>
                      <w:tl2br w:val="nil"/>
                      <w:tr2bl w:val="nil"/>
                    </w:tcBorders>
                    <w:shd w:val="clear" w:color="auto" w:fill="FFFFFF"/>
                    <w:vAlign w:val="center"/>
                  </w:tcPr>
                </w:tcPrChange>
              </w:tcPr>
            </w:tcPrChange>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Change w:id="6" w:author="［弧。］" w:date="2023-05-24T15:21:41Z">
              <w:tcPr>
                <w:tcW w:w="1411" w:type="dxa"/>
                <w:tcBorders>
                  <w:tl2br w:val="nil"/>
                  <w:tr2bl w:val="nil"/>
                </w:tcBorders>
                <w:shd w:val="clear" w:color="auto" w:fill="FFFFFF"/>
                <w:vAlign w:val="center"/>
                <w:tcPrChange w:id="7" w:author="［弧。］" w:date="2023-05-24T15:21:41Z">
                  <w:tcPr>
                    <w:tcW w:w="1411" w:type="dxa"/>
                    <w:tcBorders>
                      <w:tl2br w:val="nil"/>
                      <w:tr2bl w:val="nil"/>
                    </w:tcBorders>
                    <w:shd w:val="clear" w:color="auto" w:fill="FFFFFF"/>
                    <w:vAlign w:val="center"/>
                  </w:tcPr>
                </w:tcPrChange>
              </w:tcPr>
            </w:tcPrChange>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视联网终端</w:t>
            </w:r>
          </w:p>
        </w:tc>
        <w:tc>
          <w:tcPr>
            <w:tcW w:w="2789" w:type="dxa"/>
            <w:vMerge w:val="continue"/>
            <w:tcBorders>
              <w:tl2br w:val="nil"/>
              <w:tr2bl w:val="nil"/>
            </w:tcBorders>
            <w:shd w:val="clear" w:color="000000" w:fill="FFFFFF"/>
            <w:vAlign w:val="center"/>
            <w:tcPrChange w:id="8" w:author="［弧。］" w:date="2023-05-24T15:21:41Z">
              <w:tcPr>
                <w:tcW w:w="2789" w:type="dxa"/>
                <w:vMerge w:val="continue"/>
                <w:tcBorders>
                  <w:tl2br w:val="nil"/>
                  <w:tr2bl w:val="nil"/>
                </w:tcBorders>
                <w:shd w:val="clear" w:color="000000" w:fill="FFFFFF"/>
                <w:vAlign w:val="center"/>
                <w:tcPrChange w:id="9" w:author="［弧。］" w:date="2023-05-24T15:21:41Z">
                  <w:tcPr>
                    <w:tcW w:w="2789" w:type="dxa"/>
                    <w:vMerge w:val="continue"/>
                    <w:tcBorders>
                      <w:tl2br w:val="nil"/>
                      <w:tr2bl w:val="nil"/>
                    </w:tcBorders>
                    <w:shd w:val="clear" w:color="000000" w:fill="FFFFFF"/>
                    <w:vAlign w:val="center"/>
                  </w:tcPr>
                </w:tcPrChange>
              </w:tcPr>
            </w:tcPrChange>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Change w:id="10" w:author="［弧。］" w:date="2023-05-24T15:21:41Z">
              <w:tcPr>
                <w:tcW w:w="7341" w:type="dxa"/>
                <w:vMerge w:val="continue"/>
                <w:tcBorders>
                  <w:tl2br w:val="nil"/>
                  <w:tr2bl w:val="nil"/>
                </w:tcBorders>
                <w:shd w:val="clear" w:color="000000" w:fill="FFFFFF"/>
                <w:vAlign w:val="center"/>
                <w:tcPrChange w:id="11" w:author="［弧。］" w:date="2023-05-24T15:21:41Z">
                  <w:tcPr>
                    <w:tcW w:w="7341" w:type="dxa"/>
                    <w:vMerge w:val="continue"/>
                    <w:tcBorders>
                      <w:tl2br w:val="nil"/>
                      <w:tr2bl w:val="nil"/>
                    </w:tcBorders>
                    <w:shd w:val="clear" w:color="000000" w:fill="FFFFFF"/>
                    <w:vAlign w:val="center"/>
                  </w:tcPr>
                </w:tcPrChange>
              </w:tcPr>
            </w:tcPrChange>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12" w:author="［弧。］" w:date="2023-05-24T15:21:44Z">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blPrExChange>
        </w:tblPrEx>
        <w:trPr>
          <w:trHeight w:val="836" w:hRule="atLeast"/>
          <w:jc w:val="center"/>
          <w:trPrChange w:id="12" w:author="［弧。］" w:date="2023-05-24T15:21:44Z">
            <w:trPr>
              <w:trHeight w:val="1096" w:hRule="atLeast"/>
              <w:jc w:val="center"/>
            </w:trPr>
          </w:trPrChange>
        </w:trPr>
        <w:tc>
          <w:tcPr>
            <w:tcW w:w="1155" w:type="dxa"/>
            <w:vMerge w:val="continue"/>
            <w:tcBorders>
              <w:tl2br w:val="nil"/>
              <w:tr2bl w:val="nil"/>
            </w:tcBorders>
            <w:shd w:val="clear" w:color="auto" w:fill="FFFFFF"/>
            <w:vAlign w:val="center"/>
            <w:tcPrChange w:id="13" w:author="［弧。］" w:date="2023-05-24T15:21:44Z">
              <w:tcPr>
                <w:tcW w:w="1155" w:type="dxa"/>
                <w:vMerge w:val="continue"/>
                <w:tcBorders>
                  <w:tl2br w:val="nil"/>
                  <w:tr2bl w:val="nil"/>
                </w:tcBorders>
                <w:shd w:val="clear" w:color="auto" w:fill="FFFFFF"/>
                <w:vAlign w:val="center"/>
                <w:tcPrChange w:id="14" w:author="［弧。］" w:date="2023-05-24T15:21:44Z">
                  <w:tcPr>
                    <w:tcW w:w="1155" w:type="dxa"/>
                    <w:vMerge w:val="continue"/>
                    <w:tcBorders>
                      <w:tl2br w:val="nil"/>
                      <w:tr2bl w:val="nil"/>
                    </w:tcBorders>
                    <w:shd w:val="clear" w:color="auto" w:fill="FFFFFF"/>
                    <w:vAlign w:val="center"/>
                  </w:tcPr>
                </w:tcPrChange>
              </w:tcPr>
            </w:tcPrChange>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Change w:id="15" w:author="［弧。］" w:date="2023-05-24T15:21:44Z">
              <w:tcPr>
                <w:tcW w:w="1199" w:type="dxa"/>
                <w:vMerge w:val="continue"/>
                <w:tcBorders>
                  <w:tl2br w:val="nil"/>
                  <w:tr2bl w:val="nil"/>
                </w:tcBorders>
                <w:shd w:val="clear" w:color="auto" w:fill="FFFFFF"/>
                <w:vAlign w:val="center"/>
                <w:tcPrChange w:id="16" w:author="［弧。］" w:date="2023-05-24T15:21:44Z">
                  <w:tcPr>
                    <w:tcW w:w="1199" w:type="dxa"/>
                    <w:vMerge w:val="continue"/>
                    <w:tcBorders>
                      <w:tl2br w:val="nil"/>
                      <w:tr2bl w:val="nil"/>
                    </w:tcBorders>
                    <w:shd w:val="clear" w:color="auto" w:fill="FFFFFF"/>
                    <w:vAlign w:val="center"/>
                  </w:tcPr>
                </w:tcPrChange>
              </w:tcPr>
            </w:tcPrChange>
          </w:tcPr>
          <w:p>
            <w:pPr>
              <w:widowControl/>
              <w:ind w:firstLine="0" w:firstLineChars="0"/>
              <w:jc w:val="center"/>
              <w:rPr>
                <w:rFonts w:hint="eastAsia" w:ascii="Times New Roman" w:hAnsi="Times New Roman" w:eastAsia="宋体" w:cs="Times New Roman"/>
                <w:color w:val="000000"/>
                <w:kern w:val="0"/>
                <w:sz w:val="22"/>
                <w:lang w:eastAsia="zh-CN"/>
              </w:rPr>
            </w:pPr>
          </w:p>
        </w:tc>
        <w:tc>
          <w:tcPr>
            <w:tcW w:w="1411" w:type="dxa"/>
            <w:tcBorders>
              <w:tl2br w:val="nil"/>
              <w:tr2bl w:val="nil"/>
            </w:tcBorders>
            <w:shd w:val="clear" w:color="auto" w:fill="FFFFFF"/>
            <w:vAlign w:val="center"/>
            <w:tcPrChange w:id="17" w:author="［弧。］" w:date="2023-05-24T15:21:44Z">
              <w:tcPr>
                <w:tcW w:w="1411" w:type="dxa"/>
                <w:tcBorders>
                  <w:tl2br w:val="nil"/>
                  <w:tr2bl w:val="nil"/>
                </w:tcBorders>
                <w:shd w:val="clear" w:color="auto" w:fill="FFFFFF"/>
                <w:vAlign w:val="center"/>
                <w:tcPrChange w:id="18" w:author="［弧。］" w:date="2023-05-24T15:21:44Z">
                  <w:tcPr>
                    <w:tcW w:w="1411" w:type="dxa"/>
                    <w:tcBorders>
                      <w:tl2br w:val="nil"/>
                      <w:tr2bl w:val="nil"/>
                    </w:tcBorders>
                    <w:shd w:val="clear" w:color="auto" w:fill="FFFFFF"/>
                    <w:vAlign w:val="center"/>
                  </w:tcPr>
                </w:tcPrChange>
              </w:tcPr>
            </w:tcPrChange>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55寸电视机机架</w:t>
            </w:r>
          </w:p>
        </w:tc>
        <w:tc>
          <w:tcPr>
            <w:tcW w:w="2789" w:type="dxa"/>
            <w:vMerge w:val="continue"/>
            <w:tcBorders>
              <w:tl2br w:val="nil"/>
              <w:tr2bl w:val="nil"/>
            </w:tcBorders>
            <w:shd w:val="clear" w:color="000000" w:fill="FFFFFF"/>
            <w:vAlign w:val="center"/>
            <w:tcPrChange w:id="19" w:author="［弧。］" w:date="2023-05-24T15:21:44Z">
              <w:tcPr>
                <w:tcW w:w="2789" w:type="dxa"/>
                <w:vMerge w:val="continue"/>
                <w:tcBorders>
                  <w:tl2br w:val="nil"/>
                  <w:tr2bl w:val="nil"/>
                </w:tcBorders>
                <w:shd w:val="clear" w:color="000000" w:fill="FFFFFF"/>
                <w:vAlign w:val="center"/>
                <w:tcPrChange w:id="20" w:author="［弧。］" w:date="2023-05-24T15:21:44Z">
                  <w:tcPr>
                    <w:tcW w:w="2789" w:type="dxa"/>
                    <w:vMerge w:val="continue"/>
                    <w:tcBorders>
                      <w:tl2br w:val="nil"/>
                      <w:tr2bl w:val="nil"/>
                    </w:tcBorders>
                    <w:shd w:val="clear" w:color="000000" w:fill="FFFFFF"/>
                    <w:vAlign w:val="center"/>
                  </w:tcPr>
                </w:tcPrChange>
              </w:tcPr>
            </w:tcPrChange>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Change w:id="21" w:author="［弧。］" w:date="2023-05-24T15:21:44Z">
              <w:tcPr>
                <w:tcW w:w="7341" w:type="dxa"/>
                <w:vMerge w:val="continue"/>
                <w:tcBorders>
                  <w:tl2br w:val="nil"/>
                  <w:tr2bl w:val="nil"/>
                </w:tcBorders>
                <w:shd w:val="clear" w:color="000000" w:fill="FFFFFF"/>
                <w:vAlign w:val="center"/>
                <w:tcPrChange w:id="22" w:author="［弧。］" w:date="2023-05-24T15:21:44Z">
                  <w:tcPr>
                    <w:tcW w:w="7341" w:type="dxa"/>
                    <w:vMerge w:val="continue"/>
                    <w:tcBorders>
                      <w:tl2br w:val="nil"/>
                      <w:tr2bl w:val="nil"/>
                    </w:tcBorders>
                    <w:shd w:val="clear" w:color="000000" w:fill="FFFFFF"/>
                    <w:vAlign w:val="center"/>
                  </w:tcPr>
                </w:tcPrChange>
              </w:tcPr>
            </w:tcPrChange>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Change w:id="23" w:author="［弧。］" w:date="2023-05-24T15:21:46Z">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blPrExChange>
        </w:tblPrEx>
        <w:trPr>
          <w:trHeight w:val="698" w:hRule="atLeast"/>
          <w:jc w:val="center"/>
          <w:trPrChange w:id="23" w:author="［弧。］" w:date="2023-05-24T15:21:46Z">
            <w:trPr>
              <w:trHeight w:val="856" w:hRule="atLeast"/>
              <w:jc w:val="center"/>
            </w:trPr>
          </w:trPrChange>
        </w:trPr>
        <w:tc>
          <w:tcPr>
            <w:tcW w:w="1155" w:type="dxa"/>
            <w:vMerge w:val="continue"/>
            <w:tcBorders>
              <w:tl2br w:val="nil"/>
              <w:tr2bl w:val="nil"/>
            </w:tcBorders>
            <w:shd w:val="clear" w:color="auto" w:fill="FFFFFF"/>
            <w:vAlign w:val="center"/>
            <w:tcPrChange w:id="24" w:author="［弧。］" w:date="2023-05-24T15:21:46Z">
              <w:tcPr>
                <w:tcW w:w="1155" w:type="dxa"/>
                <w:vMerge w:val="continue"/>
                <w:tcBorders>
                  <w:tl2br w:val="nil"/>
                  <w:tr2bl w:val="nil"/>
                </w:tcBorders>
                <w:shd w:val="clear" w:color="auto" w:fill="FFFFFF"/>
                <w:vAlign w:val="center"/>
                <w:tcPrChange w:id="25" w:author="［弧。］" w:date="2023-05-24T15:21:46Z">
                  <w:tcPr>
                    <w:tcW w:w="1155" w:type="dxa"/>
                    <w:vMerge w:val="continue"/>
                    <w:tcBorders>
                      <w:tl2br w:val="nil"/>
                      <w:tr2bl w:val="nil"/>
                    </w:tcBorders>
                    <w:shd w:val="clear" w:color="auto" w:fill="FFFFFF"/>
                    <w:vAlign w:val="center"/>
                  </w:tcPr>
                </w:tcPrChange>
              </w:tcPr>
            </w:tcPrChange>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Change w:id="26" w:author="［弧。］" w:date="2023-05-24T15:21:46Z">
              <w:tcPr>
                <w:tcW w:w="1199" w:type="dxa"/>
                <w:vMerge w:val="continue"/>
                <w:tcBorders>
                  <w:tl2br w:val="nil"/>
                  <w:tr2bl w:val="nil"/>
                </w:tcBorders>
                <w:shd w:val="clear" w:color="auto" w:fill="FFFFFF"/>
                <w:vAlign w:val="center"/>
                <w:tcPrChange w:id="27" w:author="［弧。］" w:date="2023-05-24T15:21:46Z">
                  <w:tcPr>
                    <w:tcW w:w="1199" w:type="dxa"/>
                    <w:vMerge w:val="continue"/>
                    <w:tcBorders>
                      <w:tl2br w:val="nil"/>
                      <w:tr2bl w:val="nil"/>
                    </w:tcBorders>
                    <w:shd w:val="clear" w:color="auto" w:fill="FFFFFF"/>
                    <w:vAlign w:val="center"/>
                  </w:tcPr>
                </w:tcPrChange>
              </w:tcPr>
            </w:tcPrChange>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Change w:id="28" w:author="［弧。］" w:date="2023-05-24T15:21:46Z">
              <w:tcPr>
                <w:tcW w:w="1411" w:type="dxa"/>
                <w:tcBorders>
                  <w:tl2br w:val="nil"/>
                  <w:tr2bl w:val="nil"/>
                </w:tcBorders>
                <w:shd w:val="clear" w:color="auto" w:fill="FFFFFF"/>
                <w:vAlign w:val="center"/>
                <w:tcPrChange w:id="29" w:author="［弧。］" w:date="2023-05-24T15:21:46Z">
                  <w:tcPr>
                    <w:tcW w:w="1411" w:type="dxa"/>
                    <w:tcBorders>
                      <w:tl2br w:val="nil"/>
                      <w:tr2bl w:val="nil"/>
                    </w:tcBorders>
                    <w:shd w:val="clear" w:color="auto" w:fill="FFFFFF"/>
                    <w:vAlign w:val="center"/>
                  </w:tcPr>
                </w:tcPrChange>
              </w:tcPr>
            </w:tcPrChange>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会议桌椅</w:t>
            </w:r>
          </w:p>
        </w:tc>
        <w:tc>
          <w:tcPr>
            <w:tcW w:w="2789" w:type="dxa"/>
            <w:vMerge w:val="continue"/>
            <w:tcBorders>
              <w:tl2br w:val="nil"/>
              <w:tr2bl w:val="nil"/>
            </w:tcBorders>
            <w:shd w:val="clear" w:color="000000" w:fill="FFFFFF"/>
            <w:vAlign w:val="center"/>
            <w:tcPrChange w:id="30" w:author="［弧。］" w:date="2023-05-24T15:21:46Z">
              <w:tcPr>
                <w:tcW w:w="2789" w:type="dxa"/>
                <w:vMerge w:val="continue"/>
                <w:tcBorders>
                  <w:tl2br w:val="nil"/>
                  <w:tr2bl w:val="nil"/>
                </w:tcBorders>
                <w:shd w:val="clear" w:color="000000" w:fill="FFFFFF"/>
                <w:vAlign w:val="center"/>
                <w:tcPrChange w:id="31" w:author="［弧。］" w:date="2023-05-24T15:21:46Z">
                  <w:tcPr>
                    <w:tcW w:w="2789" w:type="dxa"/>
                    <w:vMerge w:val="continue"/>
                    <w:tcBorders>
                      <w:tl2br w:val="nil"/>
                      <w:tr2bl w:val="nil"/>
                    </w:tcBorders>
                    <w:shd w:val="clear" w:color="000000" w:fill="FFFFFF"/>
                    <w:vAlign w:val="center"/>
                  </w:tcPr>
                </w:tcPrChange>
              </w:tcPr>
            </w:tcPrChange>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Change w:id="32" w:author="［弧。］" w:date="2023-05-24T15:21:46Z">
              <w:tcPr>
                <w:tcW w:w="7341" w:type="dxa"/>
                <w:vMerge w:val="continue"/>
                <w:tcBorders>
                  <w:tl2br w:val="nil"/>
                  <w:tr2bl w:val="nil"/>
                </w:tcBorders>
                <w:shd w:val="clear" w:color="000000" w:fill="FFFFFF"/>
                <w:vAlign w:val="center"/>
                <w:tcPrChange w:id="33" w:author="［弧。］" w:date="2023-05-24T15:21:46Z">
                  <w:tcPr>
                    <w:tcW w:w="7341" w:type="dxa"/>
                    <w:vMerge w:val="continue"/>
                    <w:tcBorders>
                      <w:tl2br w:val="nil"/>
                      <w:tr2bl w:val="nil"/>
                    </w:tcBorders>
                    <w:shd w:val="clear" w:color="000000" w:fill="FFFFFF"/>
                    <w:vAlign w:val="center"/>
                  </w:tcPr>
                </w:tcPrChange>
              </w:tcPr>
            </w:tcPrChange>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保密柜</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会议室装饰及辅助材料</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效益</w:t>
            </w:r>
            <w:r>
              <w:rPr>
                <w:rFonts w:hint="eastAsia" w:ascii="Times New Roman" w:hAnsi="Times New Roman" w:eastAsia="宋体" w:cs="Times New Roman"/>
                <w:color w:val="000000"/>
                <w:kern w:val="0"/>
                <w:sz w:val="22"/>
                <w:highlight w:val="none"/>
                <w:lang w:val="en-US" w:eastAsia="zh-CN"/>
              </w:rPr>
              <w:t>指标</w:t>
            </w:r>
          </w:p>
        </w:tc>
        <w:tc>
          <w:tcPr>
            <w:tcW w:w="119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社会效益</w:t>
            </w:r>
            <w:r>
              <w:rPr>
                <w:rFonts w:hint="eastAsia" w:ascii="Times New Roman" w:hAnsi="Times New Roman" w:eastAsia="宋体" w:cs="Times New Roman"/>
                <w:color w:val="000000"/>
                <w:kern w:val="0"/>
                <w:sz w:val="22"/>
                <w:highlight w:val="none"/>
                <w:lang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切实加强会议系统互联互通</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持续发挥作用的期限</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default" w:ascii="Times New Roman" w:hAnsi="Times New Roman" w:eastAsia="宋体" w:cs="Times New Roman"/>
                <w:color w:val="000000"/>
                <w:kern w:val="0"/>
                <w:sz w:val="22"/>
                <w:highlight w:val="none"/>
              </w:rPr>
              <w:t>满意度</w:t>
            </w:r>
            <w:r>
              <w:rPr>
                <w:rFonts w:hint="eastAsia" w:ascii="Times New Roman" w:hAnsi="Times New Roman" w:eastAsia="宋体" w:cs="Times New Roman"/>
                <w:color w:val="000000"/>
                <w:kern w:val="0"/>
                <w:sz w:val="22"/>
                <w:highlight w:val="none"/>
                <w:lang w:val="en-US" w:eastAsia="zh-CN"/>
              </w:rPr>
              <w:t xml:space="preserve"> 指标</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群众满意度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（2）比较法。是</w:t>
      </w:r>
      <w:r>
        <w:rPr>
          <w:rFonts w:hint="default" w:ascii="Times New Roman" w:hAnsi="Times New Roman" w:cs="Times New Roman"/>
        </w:rPr>
        <w:t>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（5）公众评判法。是</w:t>
      </w:r>
      <w:r>
        <w:rPr>
          <w:rFonts w:hint="default" w:ascii="Times New Roman" w:hAnsi="Times New Roman" w:cs="Times New Roman"/>
        </w:rPr>
        <w:t>指通过公众问卷及抽样调查等方式进行评判的方法。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（6）标杆管理法。是指</w:t>
      </w:r>
      <w:r>
        <w:rPr>
          <w:rFonts w:hint="default" w:ascii="Times New Roman" w:hAnsi="Times New Roman" w:cs="Times New Roman"/>
        </w:rPr>
        <w:t>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rPr>
        <w:t>根据本项目</w:t>
      </w:r>
      <w:r>
        <w:rPr>
          <w:rFonts w:hint="eastAsia" w:ascii="Times New Roman" w:hAnsi="Times New Roman" w:cs="Times New Roman"/>
          <w:highlight w:val="none"/>
          <w:lang w:eastAsia="zh-CN"/>
        </w:rPr>
        <w:t>县政府总值班室信息化设备采购</w:t>
      </w:r>
      <w:r>
        <w:rPr>
          <w:rFonts w:hint="default" w:ascii="Times New Roman" w:hAnsi="Times New Roman" w:cs="Times New Roman"/>
        </w:rPr>
        <w:t>的特点，本次评价主要采用公众评判法，</w:t>
      </w:r>
      <w:r>
        <w:rPr>
          <w:rFonts w:hint="eastAsia" w:ascii="Times New Roman" w:hAnsi="Times New Roman" w:cs="Times New Roman"/>
          <w:lang w:eastAsia="zh-CN"/>
        </w:rPr>
        <w:t>通过抽样调查</w:t>
      </w:r>
      <w:r>
        <w:rPr>
          <w:rFonts w:hint="default" w:ascii="Times New Roman" w:hAnsi="Times New Roman" w:cs="Times New Roman"/>
        </w:rPr>
        <w:t>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240" w:lineRule="auto"/>
        <w:ind w:firstLine="560"/>
        <w:rPr>
          <w:rFonts w:hint="eastAsia"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eastAsia="黑体" w:cs="Times New Roman"/>
          <w:szCs w:val="28"/>
        </w:rPr>
        <w:t>·</w:t>
      </w:r>
      <w:r>
        <w:rPr>
          <w:rFonts w:hint="default" w:ascii="Times New Roman" w:hAnsi="Times New Roman" w:cs="Times New Roman"/>
          <w:color w:val="000000" w:themeColor="text1"/>
          <w:highlight w:val="none"/>
          <w:lang w:val="en-US" w:eastAsia="zh-CN"/>
          <w14:textFill>
            <w14:solidFill>
              <w14:schemeClr w14:val="tx1"/>
            </w14:solidFill>
          </w14:textFill>
        </w:rPr>
        <w:t>《关于申请乌鲁木齐县政府总值班视频系统建设项目资金的请示》</w:t>
      </w:r>
      <w:r>
        <w:rPr>
          <w:rFonts w:hint="eastAsia" w:ascii="Times New Roman" w:hAnsi="Times New Roman"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eastAsia="zh-CN"/>
          <w14:textFill>
            <w14:solidFill>
              <w14:schemeClr w14:val="tx1"/>
            </w14:solidFill>
          </w14:textFill>
        </w:rPr>
        <w:t>县政办</w:t>
      </w: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2022</w:t>
      </w: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1号</w:t>
      </w:r>
      <w:r>
        <w:rPr>
          <w:rFonts w:hint="eastAsia" w:ascii="Times New Roman" w:hAnsi="Times New Roman" w:cs="Times New Roman"/>
          <w:color w:val="000000" w:themeColor="text1"/>
          <w:highlight w:val="none"/>
          <w:lang w:val="en-US" w:eastAsia="zh-CN"/>
          <w14:textFill>
            <w14:solidFill>
              <w14:schemeClr w14:val="tx1"/>
            </w14:solidFill>
          </w14:textFill>
        </w:rPr>
        <w:t>）</w:t>
      </w:r>
    </w:p>
    <w:p>
      <w:pPr>
        <w:spacing w:line="240" w:lineRule="auto"/>
        <w:ind w:firstLine="560"/>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eastAsia="黑体" w:cs="Times New Roman"/>
          <w:szCs w:val="28"/>
        </w:rPr>
        <w:t>·</w:t>
      </w:r>
      <w:r>
        <w:rPr>
          <w:rFonts w:hint="default" w:ascii="Times New Roman" w:hAnsi="Times New Roman" w:cs="Times New Roman"/>
          <w:color w:val="000000" w:themeColor="text1"/>
          <w:highlight w:val="none"/>
          <w:lang w:eastAsia="zh-CN"/>
          <w14:textFill>
            <w14:solidFill>
              <w14:schemeClr w14:val="tx1"/>
            </w14:solidFill>
          </w14:textFill>
        </w:rPr>
        <w:t>《关于建设政府值班室视频会议系统的工作通知》（乌政办函（</w:t>
      </w:r>
      <w:r>
        <w:rPr>
          <w:rFonts w:hint="default" w:ascii="Times New Roman" w:hAnsi="Times New Roman" w:cs="Times New Roman"/>
          <w:color w:val="000000" w:themeColor="text1"/>
          <w:highlight w:val="none"/>
          <w:lang w:val="en-US" w:eastAsia="zh-CN"/>
          <w14:textFill>
            <w14:solidFill>
              <w14:schemeClr w14:val="tx1"/>
            </w14:solidFill>
          </w14:textFill>
        </w:rPr>
        <w:t>2021）133号）</w:t>
      </w:r>
    </w:p>
    <w:p>
      <w:pPr>
        <w:spacing w:line="360" w:lineRule="auto"/>
        <w:ind w:firstLine="560"/>
        <w:rPr>
          <w:rFonts w:hint="default" w:ascii="Times New Roman" w:hAnsi="Times New Roman" w:eastAsia="仿宋_GB2312" w:cs="Times New Roman"/>
          <w:color w:val="FF0000"/>
          <w:highlight w:val="none"/>
          <w:lang w:val="en-US" w:eastAsia="zh-CN"/>
        </w:rPr>
      </w:pPr>
      <w:r>
        <w:rPr>
          <w:rFonts w:hint="default" w:ascii="Times New Roman" w:hAnsi="Times New Roman" w:eastAsia="黑体" w:cs="Times New Roman"/>
          <w:szCs w:val="28"/>
        </w:rPr>
        <w:t>·</w:t>
      </w:r>
      <w:r>
        <w:rPr>
          <w:rFonts w:hint="default" w:ascii="Times New Roman" w:hAnsi="Times New Roman" w:cs="Times New Roman"/>
          <w:color w:val="000000" w:themeColor="text1"/>
          <w:highlight w:val="none"/>
          <w:lang w:val="en-US" w:eastAsia="zh-CN"/>
          <w14:textFill>
            <w14:solidFill>
              <w14:schemeClr w14:val="tx1"/>
            </w14:solidFill>
          </w14:textFill>
        </w:rPr>
        <w:t>《关于申请乌鲁木齐县政府总值班视频系统建设项目资金的请示》</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rPr>
        <w:t>结合项目特点，制定符合项目实际的绩效评价指标体系及评分标准，通过数据采集、问卷调查及访谈等形式，</w:t>
      </w:r>
      <w:r>
        <w:rPr>
          <w:rFonts w:hint="default" w:ascii="Times New Roman" w:hAnsi="Times New Roman" w:cs="Times New Roman"/>
          <w:szCs w:val="28"/>
          <w:highlight w:val="none"/>
        </w:rPr>
        <w:t>对2022年</w:t>
      </w:r>
      <w:r>
        <w:rPr>
          <w:rFonts w:hint="eastAsia" w:ascii="Times New Roman" w:hAnsi="Times New Roman" w:cs="Times New Roman"/>
          <w:highlight w:val="none"/>
          <w:lang w:eastAsia="zh-CN"/>
        </w:rPr>
        <w:t>县政府总值班室信息化设备采购项目</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eastAsia="zh-CN"/>
        </w:rPr>
        <w:t>优</w:t>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left="0" w:leftChars="0" w:firstLine="240" w:firstLineChars="10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lang w:val="en-US"/>
              </w:rPr>
            </w:pPr>
            <w:r>
              <w:rPr>
                <w:rFonts w:hint="eastAsia" w:ascii="Times New Roman" w:hAnsi="Times New Roman" w:eastAsia="宋体" w:cs="Times New Roman"/>
                <w:color w:val="000000"/>
                <w:kern w:val="0"/>
                <w:sz w:val="22"/>
                <w:highlight w:val="none"/>
                <w:lang w:val="en-US" w:eastAsia="zh-CN"/>
              </w:rPr>
              <w:t>会议室终端设备套数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eastAsia="宋体" w:cs="Times New Roman"/>
                <w:color w:val="000000"/>
                <w:kern w:val="0"/>
                <w:sz w:val="22"/>
                <w:highlight w:val="none"/>
                <w:lang w:eastAsia="zh-CN"/>
              </w:rPr>
              <w:t>设备</w:t>
            </w:r>
            <w:r>
              <w:rPr>
                <w:rFonts w:hint="eastAsia" w:ascii="Times New Roman" w:hAnsi="Times New Roman" w:eastAsia="宋体" w:cs="Times New Roman"/>
                <w:color w:val="000000"/>
                <w:kern w:val="0"/>
                <w:sz w:val="22"/>
                <w:highlight w:val="none"/>
                <w:lang w:val="en-US" w:eastAsia="zh-CN"/>
              </w:rPr>
              <w:t>验收</w:t>
            </w:r>
            <w:r>
              <w:rPr>
                <w:rFonts w:hint="default" w:ascii="Times New Roman" w:hAnsi="Times New Roman" w:eastAsia="宋体" w:cs="Times New Roman"/>
                <w:color w:val="000000"/>
                <w:kern w:val="0"/>
                <w:sz w:val="22"/>
                <w:highlight w:val="none"/>
              </w:rPr>
              <w:t>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eastAsia="宋体" w:cs="Times New Roman"/>
                <w:color w:val="000000"/>
                <w:kern w:val="0"/>
                <w:sz w:val="22"/>
                <w:highlight w:val="none"/>
                <w:lang w:eastAsia="zh-CN"/>
              </w:rPr>
              <w:t>设备安装及时率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会议室终端设备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视联网终端</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55寸电视机机架</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会议桌椅</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保密柜</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eastAsia="宋体" w:cs="Times New Roman"/>
                <w:color w:val="000000"/>
                <w:kern w:val="0"/>
                <w:sz w:val="22"/>
                <w:highlight w:val="none"/>
                <w:lang w:val="en-US" w:eastAsia="zh-CN"/>
              </w:rPr>
              <w:t>会议室装饰及辅助材料</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eastAsia="宋体" w:cs="Times New Roman"/>
                <w:color w:val="000000"/>
                <w:kern w:val="0"/>
                <w:sz w:val="22"/>
              </w:rPr>
              <w:t>可持续影响指标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color w:val="000000" w:themeColor="text1"/>
          <w:szCs w:val="28"/>
          <w:highlight w:val="none"/>
          <w:lang w:val="en-US"/>
          <w14:textFill>
            <w14:solidFill>
              <w14:schemeClr w14:val="tx1"/>
            </w14:solidFill>
          </w14:textFill>
        </w:rPr>
      </w:pPr>
      <w:r>
        <w:rPr>
          <w:rFonts w:hint="eastAsia" w:ascii="Times New Roman" w:hAnsi="Times New Roman" w:cs="Times New Roman"/>
          <w:color w:val="000000" w:themeColor="text1"/>
          <w:highlight w:val="none"/>
          <w:lang w:eastAsia="zh-CN"/>
          <w14:textFill>
            <w14:solidFill>
              <w14:schemeClr w14:val="tx1"/>
            </w14:solidFill>
          </w14:textFill>
        </w:rPr>
        <w:t>县政府总值班室信息化设备采购项目，按照乌鲁木齐市人民政府办公室《关于建设政府值班室视频会议系统的工作通知》（乌政办函（</w:t>
      </w:r>
      <w:r>
        <w:rPr>
          <w:rFonts w:hint="eastAsia" w:ascii="Times New Roman" w:hAnsi="Times New Roman" w:cs="Times New Roman"/>
          <w:color w:val="000000" w:themeColor="text1"/>
          <w:highlight w:val="none"/>
          <w:lang w:val="en-US" w:eastAsia="zh-CN"/>
          <w14:textFill>
            <w14:solidFill>
              <w14:schemeClr w14:val="tx1"/>
            </w14:solidFill>
          </w14:textFill>
        </w:rPr>
        <w:t>2021）133号文件要求，需要统一建设政府总值班室及1号楼疫情指挥部会议室视联网终端设备安装，进一步做好值班各项工作及疫情防控各项会议的顺利召开。根据文件要求，我单位立即开展了建设视联网终端设备的相关工作，并且及时向县财政局进行了资金申请，从而保障了项目实施的资金费用。建成政府总值班室和1号楼疫情指挥部会议室视联网终端设备后，在疫情期间每天开展线上调度会，及时对每日疫情情况进行了上传下达，提高了工作效率，及时传达了信息。政府总值班室的视联网系统的建立，加强了与各区县的调度和联系，从而能够及时上传下达信息，缩短了工作时间，提高了工作效率。</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eastAsia="仿宋" w:cs="Times New Roman"/>
          <w:sz w:val="30"/>
          <w:szCs w:val="30"/>
        </w:rPr>
        <w:t>本单位年</w:t>
      </w:r>
      <w:r>
        <w:rPr>
          <w:rFonts w:hint="default" w:ascii="Times New Roman" w:hAnsi="Times New Roman" w:eastAsia="仿宋" w:cs="Times New Roman"/>
          <w:sz w:val="30"/>
          <w:szCs w:val="30"/>
          <w:lang w:val="en-US"/>
        </w:rPr>
        <w:t>初</w:t>
      </w:r>
      <w:r>
        <w:rPr>
          <w:rFonts w:hint="eastAsia" w:ascii="Times New Roman" w:hAnsi="Times New Roman" w:eastAsia="仿宋" w:cs="Times New Roman"/>
          <w:sz w:val="30"/>
          <w:szCs w:val="30"/>
          <w:lang w:val="en-US" w:eastAsia="zh-CN"/>
        </w:rPr>
        <w:t>中</w:t>
      </w:r>
      <w:r>
        <w:rPr>
          <w:rFonts w:hint="default" w:ascii="Times New Roman" w:hAnsi="Times New Roman" w:eastAsia="仿宋" w:cs="Times New Roman"/>
          <w:sz w:val="30"/>
          <w:szCs w:val="30"/>
        </w:rPr>
        <w:t>编制《绩效目标申报表》</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spacing w:line="360" w:lineRule="auto"/>
        <w:ind w:firstLine="562" w:firstLineChars="0"/>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eastAsia" w:ascii="Times New Roman" w:hAnsi="Times New Roman" w:cs="Times New Roman"/>
          <w:b w:val="0"/>
          <w:kern w:val="2"/>
          <w:szCs w:val="28"/>
          <w:lang w:val="en-US" w:eastAsia="zh-CN"/>
        </w:rPr>
        <w:t>年初申请项目资金，根据需要计划采购</w:t>
      </w:r>
      <w:r>
        <w:rPr>
          <w:rFonts w:hint="eastAsia" w:ascii="Times New Roman" w:hAnsi="Times New Roman" w:cs="Times New Roman"/>
          <w:b w:val="0"/>
          <w:bCs w:val="0"/>
          <w:szCs w:val="28"/>
          <w:lang w:val="en-US" w:eastAsia="zh-CN"/>
        </w:rPr>
        <w:t>会议室终端设备目标值75000元，实际完成值75000元；视联网终端目标值30500元，实际完成值30500元；55寸电视机机架目标值5300元，实际完成值5300元；会议桌椅目标值7570元，实际完成值7570元；保密柜目标值4500元，实际完成值4500元；会议室装饰及辅助材料目标值214190元，实际完成值214190元，</w:t>
      </w:r>
      <w:r>
        <w:rPr>
          <w:rFonts w:hint="default" w:ascii="Times New Roman" w:hAnsi="Times New Roman" w:eastAsia="仿宋" w:cs="Times New Roman"/>
          <w:b w:val="0"/>
          <w:bCs w:val="0"/>
          <w:sz w:val="30"/>
          <w:szCs w:val="30"/>
          <w:lang w:eastAsia="zh-CN"/>
        </w:rPr>
        <w:t>项目绩效目标申报</w:t>
      </w:r>
      <w:r>
        <w:rPr>
          <w:rFonts w:hint="default" w:ascii="Times New Roman" w:hAnsi="Times New Roman" w:eastAsia="仿宋" w:cs="Times New Roman"/>
          <w:b w:val="0"/>
          <w:bCs w:val="0"/>
          <w:sz w:val="30"/>
          <w:szCs w:val="30"/>
        </w:rPr>
        <w:t>编制清晰，有明确标准、预算内容和项目内容相匹配，</w:t>
      </w:r>
      <w:r>
        <w:rPr>
          <w:rFonts w:hint="default" w:ascii="Times New Roman" w:hAnsi="Times New Roman" w:eastAsia="仿宋" w:cs="Times New Roman"/>
          <w:b w:val="0"/>
          <w:bCs w:val="0"/>
          <w:sz w:val="30"/>
          <w:szCs w:val="30"/>
          <w:highlight w:val="none"/>
        </w:rPr>
        <w:t>故预算编制科学性指标得分3分</w:t>
      </w:r>
      <w:r>
        <w:rPr>
          <w:rFonts w:hint="default" w:ascii="Times New Roman" w:hAnsi="Times New Roman" w:cs="Times New Roman"/>
          <w:b/>
          <w:kern w:val="0"/>
          <w:szCs w:val="28"/>
        </w:rPr>
        <w:t>。</w:t>
      </w:r>
    </w:p>
    <w:p>
      <w:pPr>
        <w:spacing w:line="360" w:lineRule="auto"/>
        <w:ind w:firstLine="562" w:firstLineChars="0"/>
        <w:rPr>
          <w:rFonts w:hint="eastAsia" w:ascii="Times New Roman" w:hAnsi="Times New Roman" w:cs="Times New Roman"/>
          <w:b w:val="0"/>
          <w:bCs w:val="0"/>
          <w:szCs w:val="28"/>
          <w:lang w:val="en-US"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default" w:ascii="Times New Roman" w:hAnsi="Times New Roman" w:eastAsia="仿宋" w:cs="Times New Roman"/>
          <w:b w:val="0"/>
          <w:bCs w:val="0"/>
          <w:sz w:val="30"/>
          <w:szCs w:val="30"/>
          <w:lang w:eastAsia="zh-CN"/>
        </w:rPr>
        <w:t>预算资金分配依据充分、合理。总值班室信息化设备采购财政项目严格按照财务制度使用资金，</w:t>
      </w:r>
      <w:r>
        <w:rPr>
          <w:rFonts w:hint="eastAsia" w:ascii="Times New Roman" w:hAnsi="Times New Roman" w:cs="Times New Roman"/>
          <w:b w:val="0"/>
          <w:bCs w:val="0"/>
          <w:szCs w:val="28"/>
          <w:lang w:val="en-US" w:eastAsia="zh-CN"/>
        </w:rPr>
        <w:t>会议室终端设备目标值75000元，实际完成值75000元；视联网终端目标值30500元，实际完成值30500元；55寸电视机机架目标值5300元，实际完成值5300元；会议桌椅目标值7570元，实际完成值7570元；</w:t>
      </w:r>
    </w:p>
    <w:p>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eastAsia="仿宋" w:cs="Times New Roman"/>
          <w:b w:val="0"/>
          <w:bCs w:val="0"/>
          <w:sz w:val="30"/>
          <w:szCs w:val="30"/>
          <w:highlight w:val="none"/>
        </w:rPr>
      </w:pPr>
      <w:r>
        <w:rPr>
          <w:rFonts w:hint="eastAsia" w:ascii="Times New Roman" w:hAnsi="Times New Roman" w:cs="Times New Roman"/>
          <w:b w:val="0"/>
          <w:bCs w:val="0"/>
          <w:szCs w:val="28"/>
          <w:lang w:val="en-US" w:eastAsia="zh-CN"/>
        </w:rPr>
        <w:t>保密柜目标值4500元，实际完成值4500元；会议室装饰及辅助材料目标值214190元，实际完成值214190元。</w:t>
      </w:r>
      <w:r>
        <w:rPr>
          <w:rFonts w:hint="default" w:ascii="Times New Roman" w:hAnsi="Times New Roman" w:eastAsia="仿宋" w:cs="Times New Roman"/>
          <w:b w:val="0"/>
          <w:bCs w:val="0"/>
          <w:sz w:val="30"/>
          <w:szCs w:val="30"/>
          <w:lang w:eastAsia="zh-CN"/>
        </w:rPr>
        <w:t>严格遵守国家财经法规和财务管理制度及相关专项资金管理办法的规定，秉承勤俭节约原则，按照专款专用要求使用项目资金，单位制定相应的财务和业务</w:t>
      </w:r>
      <w:r>
        <w:rPr>
          <w:rFonts w:hint="default" w:ascii="Times New Roman" w:hAnsi="Times New Roman" w:eastAsia="仿宋" w:cs="Times New Roman"/>
          <w:b w:val="0"/>
          <w:bCs w:val="0"/>
          <w:sz w:val="30"/>
          <w:szCs w:val="30"/>
          <w:highlight w:val="none"/>
          <w:lang w:eastAsia="zh-CN"/>
        </w:rPr>
        <w:t>管理制度。不存在截留、挤占、挪用、虚列支出等情况，资金使用正常。</w:t>
      </w:r>
      <w:r>
        <w:rPr>
          <w:rFonts w:hint="default" w:ascii="Times New Roman" w:hAnsi="Times New Roman" w:eastAsia="仿宋" w:cs="Times New Roman"/>
          <w:b w:val="0"/>
          <w:bCs w:val="0"/>
          <w:sz w:val="30"/>
          <w:szCs w:val="30"/>
          <w:highlight w:val="none"/>
        </w:rPr>
        <w:t>故资金分配合理性指标得分3分。</w:t>
      </w:r>
    </w:p>
    <w:p>
      <w:pPr>
        <w:autoSpaceDE w:val="0"/>
        <w:spacing w:line="600" w:lineRule="exact"/>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67911613"/>
      <w:bookmarkStart w:id="37" w:name="_Toc100784604"/>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 w:cs="Times New Roman"/>
          <w:b w:val="0"/>
          <w:bCs w:val="0"/>
          <w:sz w:val="30"/>
          <w:szCs w:val="30"/>
          <w:highlight w:val="none"/>
          <w:lang w:eastAsia="zh-CN"/>
        </w:rPr>
      </w:pPr>
      <w:r>
        <w:rPr>
          <w:rFonts w:hint="default" w:ascii="Times New Roman" w:hAnsi="Times New Roman" w:cs="Times New Roman"/>
          <w:b/>
          <w:bCs/>
          <w:szCs w:val="28"/>
        </w:rPr>
        <w:t>资金到位率：</w:t>
      </w:r>
      <w:r>
        <w:rPr>
          <w:rFonts w:hint="eastAsia" w:ascii="Times New Roman" w:hAnsi="Times New Roman" w:cs="Times New Roman"/>
          <w:b/>
          <w:bCs/>
          <w:szCs w:val="28"/>
          <w:lang w:val="en-US" w:eastAsia="zh-CN"/>
        </w:rPr>
        <w:t>该项目</w:t>
      </w:r>
      <w:r>
        <w:rPr>
          <w:rFonts w:hint="eastAsia" w:ascii="Times New Roman" w:hAnsi="Times New Roman" w:cs="Times New Roman"/>
          <w:lang w:eastAsia="zh-CN"/>
        </w:rPr>
        <w:t>预算资金</w:t>
      </w:r>
      <w:r>
        <w:rPr>
          <w:rFonts w:hint="eastAsia" w:ascii="Times New Roman" w:hAnsi="Times New Roman" w:cs="Times New Roman"/>
          <w:lang w:val="en-US" w:eastAsia="zh-CN"/>
        </w:rPr>
        <w:t>33.7万元，由财政于</w:t>
      </w:r>
      <w:r>
        <w:rPr>
          <w:rFonts w:hint="default" w:ascii="Times New Roman" w:hAnsi="Times New Roman" w:eastAsia="仿宋" w:cs="Times New Roman"/>
          <w:b w:val="0"/>
          <w:bCs w:val="0"/>
          <w:color w:val="000000" w:themeColor="text1"/>
          <w:sz w:val="30"/>
          <w:szCs w:val="30"/>
          <w:highlight w:val="none"/>
          <w:lang w:val="en-US" w:eastAsia="zh-CN"/>
          <w14:textFill>
            <w14:solidFill>
              <w14:schemeClr w14:val="tx1"/>
            </w14:solidFill>
          </w14:textFill>
        </w:rPr>
        <w:t>202</w:t>
      </w:r>
      <w:r>
        <w:rPr>
          <w:rFonts w:hint="eastAsia" w:ascii="Times New Roman" w:hAnsi="Times New Roman" w:eastAsia="仿宋" w:cs="Times New Roman"/>
          <w:b w:val="0"/>
          <w:bCs w:val="0"/>
          <w:color w:val="000000" w:themeColor="text1"/>
          <w:sz w:val="30"/>
          <w:szCs w:val="30"/>
          <w:highlight w:val="none"/>
          <w:lang w:val="en-US" w:eastAsia="zh-CN"/>
          <w14:textFill>
            <w14:solidFill>
              <w14:schemeClr w14:val="tx1"/>
            </w14:solidFill>
          </w14:textFill>
        </w:rPr>
        <w:t>2</w:t>
      </w:r>
      <w:r>
        <w:rPr>
          <w:rFonts w:hint="default" w:ascii="Times New Roman" w:hAnsi="Times New Roman" w:eastAsia="仿宋" w:cs="Times New Roman"/>
          <w:b w:val="0"/>
          <w:bCs w:val="0"/>
          <w:color w:val="000000" w:themeColor="text1"/>
          <w:sz w:val="30"/>
          <w:szCs w:val="30"/>
          <w:highlight w:val="none"/>
          <w:lang w:val="en-US" w:eastAsia="zh-CN"/>
          <w14:textFill>
            <w14:solidFill>
              <w14:schemeClr w14:val="tx1"/>
            </w14:solidFill>
          </w14:textFill>
        </w:rPr>
        <w:t>年</w:t>
      </w:r>
      <w:r>
        <w:rPr>
          <w:rFonts w:hint="eastAsia" w:ascii="Times New Roman" w:hAnsi="Times New Roman" w:eastAsia="仿宋" w:cs="Times New Roman"/>
          <w:b w:val="0"/>
          <w:bCs w:val="0"/>
          <w:color w:val="000000" w:themeColor="text1"/>
          <w:sz w:val="30"/>
          <w:szCs w:val="30"/>
          <w:highlight w:val="none"/>
          <w:lang w:val="en-US" w:eastAsia="zh-CN"/>
          <w14:textFill>
            <w14:solidFill>
              <w14:schemeClr w14:val="tx1"/>
            </w14:solidFill>
          </w14:textFill>
        </w:rPr>
        <w:t>4</w:t>
      </w:r>
      <w:r>
        <w:rPr>
          <w:rFonts w:hint="default" w:ascii="Times New Roman" w:hAnsi="Times New Roman" w:eastAsia="仿宋" w:cs="Times New Roman"/>
          <w:b w:val="0"/>
          <w:bCs w:val="0"/>
          <w:color w:val="000000" w:themeColor="text1"/>
          <w:sz w:val="30"/>
          <w:szCs w:val="30"/>
          <w:highlight w:val="none"/>
          <w:lang w:val="en-US" w:eastAsia="zh-CN"/>
          <w14:textFill>
            <w14:solidFill>
              <w14:schemeClr w14:val="tx1"/>
            </w14:solidFill>
          </w14:textFill>
        </w:rPr>
        <w:t>月</w:t>
      </w:r>
      <w:r>
        <w:rPr>
          <w:rFonts w:hint="eastAsia" w:ascii="Times New Roman" w:hAnsi="Times New Roman" w:eastAsia="仿宋" w:cs="Times New Roman"/>
          <w:b w:val="0"/>
          <w:bCs w:val="0"/>
          <w:color w:val="000000" w:themeColor="text1"/>
          <w:sz w:val="30"/>
          <w:szCs w:val="30"/>
          <w:highlight w:val="none"/>
          <w:lang w:val="en-US" w:eastAsia="zh-CN"/>
          <w14:textFill>
            <w14:solidFill>
              <w14:schemeClr w14:val="tx1"/>
            </w14:solidFill>
          </w14:textFill>
        </w:rPr>
        <w:t>15日</w:t>
      </w:r>
      <w:r>
        <w:rPr>
          <w:rFonts w:hint="default" w:ascii="Times New Roman" w:hAnsi="Times New Roman" w:eastAsia="仿宋" w:cs="Times New Roman"/>
          <w:b w:val="0"/>
          <w:bCs w:val="0"/>
          <w:color w:val="000000" w:themeColor="text1"/>
          <w:sz w:val="30"/>
          <w:szCs w:val="30"/>
          <w:highlight w:val="none"/>
          <w:lang w:eastAsia="zh-CN"/>
          <w14:textFill>
            <w14:solidFill>
              <w14:schemeClr w14:val="tx1"/>
            </w14:solidFill>
          </w14:textFill>
        </w:rPr>
        <w:t>拨</w:t>
      </w:r>
      <w:r>
        <w:rPr>
          <w:rFonts w:hint="default" w:ascii="Times New Roman" w:hAnsi="Times New Roman" w:eastAsia="仿宋" w:cs="Times New Roman"/>
          <w:b w:val="0"/>
          <w:bCs w:val="0"/>
          <w:sz w:val="30"/>
          <w:szCs w:val="30"/>
          <w:highlight w:val="none"/>
          <w:lang w:eastAsia="zh-CN"/>
        </w:rPr>
        <w:t>付资金</w:t>
      </w:r>
      <w:r>
        <w:rPr>
          <w:rFonts w:hint="eastAsia" w:ascii="Times New Roman" w:hAnsi="Times New Roman" w:eastAsia="仿宋" w:cs="Times New Roman"/>
          <w:b w:val="0"/>
          <w:bCs w:val="0"/>
          <w:sz w:val="30"/>
          <w:szCs w:val="30"/>
          <w:highlight w:val="none"/>
          <w:lang w:val="en-US" w:eastAsia="zh-CN"/>
        </w:rPr>
        <w:t>33.7</w:t>
      </w:r>
      <w:r>
        <w:rPr>
          <w:rFonts w:hint="default" w:ascii="Times New Roman" w:hAnsi="Times New Roman" w:eastAsia="仿宋" w:cs="Times New Roman"/>
          <w:b w:val="0"/>
          <w:bCs w:val="0"/>
          <w:sz w:val="30"/>
          <w:szCs w:val="30"/>
          <w:highlight w:val="none"/>
          <w:lang w:eastAsia="zh-CN"/>
        </w:rPr>
        <w:t>万元</w:t>
      </w:r>
      <w:r>
        <w:rPr>
          <w:rFonts w:hint="eastAsia" w:ascii="Times New Roman" w:hAnsi="Times New Roman" w:eastAsia="仿宋" w:cs="Times New Roman"/>
          <w:b w:val="0"/>
          <w:bCs w:val="0"/>
          <w:sz w:val="30"/>
          <w:szCs w:val="30"/>
          <w:highlight w:val="none"/>
          <w:lang w:eastAsia="zh-CN"/>
        </w:rPr>
        <w:t>，</w:t>
      </w:r>
      <w:r>
        <w:rPr>
          <w:rFonts w:hint="eastAsia" w:ascii="Times New Roman" w:hAnsi="Times New Roman" w:eastAsia="仿宋" w:cs="Times New Roman"/>
          <w:b w:val="0"/>
          <w:bCs w:val="0"/>
          <w:sz w:val="30"/>
          <w:szCs w:val="30"/>
          <w:highlight w:val="none"/>
          <w:lang w:val="en-US" w:eastAsia="zh-CN"/>
        </w:rPr>
        <w:t>资金</w:t>
      </w:r>
      <w:r>
        <w:rPr>
          <w:rFonts w:hint="default" w:ascii="Times New Roman" w:hAnsi="Times New Roman" w:eastAsia="仿宋" w:cs="Times New Roman"/>
          <w:b w:val="0"/>
          <w:bCs w:val="0"/>
          <w:sz w:val="30"/>
          <w:szCs w:val="30"/>
          <w:highlight w:val="none"/>
          <w:lang w:eastAsia="zh-CN"/>
        </w:rPr>
        <w:t>及时到位，</w:t>
      </w:r>
      <w:r>
        <w:rPr>
          <w:rFonts w:hint="eastAsia" w:ascii="Times New Roman" w:hAnsi="Times New Roman" w:eastAsia="仿宋" w:cs="Times New Roman"/>
          <w:b w:val="0"/>
          <w:bCs w:val="0"/>
          <w:sz w:val="30"/>
          <w:szCs w:val="30"/>
          <w:highlight w:val="none"/>
          <w:lang w:val="en-US" w:eastAsia="zh-CN"/>
        </w:rPr>
        <w:t>已于2022年4月21日及时拨付于供应商</w:t>
      </w:r>
      <w:r>
        <w:rPr>
          <w:rFonts w:hint="eastAsia"/>
          <w:lang w:eastAsia="zh-CN"/>
        </w:rPr>
        <w:t>新疆四平智联信息科级有限公司，</w:t>
      </w:r>
      <w:r>
        <w:rPr>
          <w:rFonts w:hint="default" w:ascii="Times New Roman" w:hAnsi="Times New Roman" w:eastAsia="仿宋" w:cs="Times New Roman"/>
          <w:b w:val="0"/>
          <w:bCs w:val="0"/>
          <w:sz w:val="30"/>
          <w:szCs w:val="30"/>
          <w:highlight w:val="none"/>
          <w:lang w:eastAsia="zh-CN"/>
        </w:rPr>
        <w:t>资金与实际到位资金相符，资金到位率100%。故资金到位率指标得分</w:t>
      </w:r>
      <w:r>
        <w:rPr>
          <w:rFonts w:hint="default" w:ascii="Times New Roman" w:hAnsi="Times New Roman" w:eastAsia="仿宋" w:cs="Times New Roman"/>
          <w:b w:val="0"/>
          <w:bCs w:val="0"/>
          <w:sz w:val="30"/>
          <w:szCs w:val="30"/>
          <w:highlight w:val="none"/>
          <w:lang w:val="en-US" w:eastAsia="zh-CN"/>
        </w:rPr>
        <w:t>5</w:t>
      </w:r>
      <w:r>
        <w:rPr>
          <w:rFonts w:hint="default" w:ascii="Times New Roman" w:hAnsi="Times New Roman" w:eastAsia="仿宋" w:cs="Times New Roman"/>
          <w:b w:val="0"/>
          <w:bCs w:val="0"/>
          <w:sz w:val="30"/>
          <w:szCs w:val="30"/>
          <w:highlight w:val="none"/>
          <w:lang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 w:cs="Times New Roman"/>
          <w:b w:val="0"/>
          <w:bCs w:val="0"/>
          <w:sz w:val="30"/>
          <w:szCs w:val="30"/>
          <w:highlight w:val="none"/>
          <w:lang w:eastAsia="zh-CN"/>
        </w:rPr>
      </w:pPr>
      <w:r>
        <w:rPr>
          <w:rFonts w:hint="default" w:ascii="Times New Roman" w:hAnsi="Times New Roman" w:cs="Times New Roman"/>
          <w:b/>
          <w:bCs/>
          <w:szCs w:val="28"/>
        </w:rPr>
        <w:t>预算执行率：</w:t>
      </w:r>
      <w:r>
        <w:rPr>
          <w:rFonts w:hint="default" w:ascii="Times New Roman" w:hAnsi="Times New Roman" w:eastAsia="仿宋" w:cs="Times New Roman"/>
          <w:b w:val="0"/>
          <w:bCs w:val="0"/>
          <w:sz w:val="30"/>
          <w:szCs w:val="30"/>
          <w:highlight w:val="none"/>
          <w:lang w:val="en-US" w:eastAsia="zh-CN"/>
        </w:rPr>
        <w:t>项目正常开展，202</w:t>
      </w:r>
      <w:r>
        <w:rPr>
          <w:rFonts w:hint="eastAsia" w:ascii="Times New Roman" w:hAnsi="Times New Roman" w:eastAsia="仿宋" w:cs="Times New Roman"/>
          <w:b w:val="0"/>
          <w:bCs w:val="0"/>
          <w:sz w:val="30"/>
          <w:szCs w:val="30"/>
          <w:highlight w:val="none"/>
          <w:lang w:val="en-US" w:eastAsia="zh-CN"/>
        </w:rPr>
        <w:t>2</w:t>
      </w:r>
      <w:r>
        <w:rPr>
          <w:rFonts w:hint="default" w:ascii="Times New Roman" w:hAnsi="Times New Roman" w:eastAsia="仿宋" w:cs="Times New Roman"/>
          <w:b w:val="0"/>
          <w:bCs w:val="0"/>
          <w:sz w:val="30"/>
          <w:szCs w:val="30"/>
          <w:highlight w:val="none"/>
          <w:lang w:val="en-US" w:eastAsia="zh-CN"/>
        </w:rPr>
        <w:t>年1月1日-202</w:t>
      </w:r>
      <w:r>
        <w:rPr>
          <w:rFonts w:hint="eastAsia" w:ascii="Times New Roman" w:hAnsi="Times New Roman" w:eastAsia="仿宋" w:cs="Times New Roman"/>
          <w:b w:val="0"/>
          <w:bCs w:val="0"/>
          <w:sz w:val="30"/>
          <w:szCs w:val="30"/>
          <w:highlight w:val="none"/>
          <w:lang w:val="en-US" w:eastAsia="zh-CN"/>
        </w:rPr>
        <w:t>2</w:t>
      </w:r>
      <w:r>
        <w:rPr>
          <w:rFonts w:hint="default" w:ascii="Times New Roman" w:hAnsi="Times New Roman" w:eastAsia="仿宋" w:cs="Times New Roman"/>
          <w:b w:val="0"/>
          <w:bCs w:val="0"/>
          <w:sz w:val="30"/>
          <w:szCs w:val="30"/>
          <w:highlight w:val="none"/>
          <w:lang w:val="en-US" w:eastAsia="zh-CN"/>
        </w:rPr>
        <w:t>年12月31日共计支出经费</w:t>
      </w:r>
      <w:r>
        <w:rPr>
          <w:rFonts w:hint="eastAsia" w:ascii="Times New Roman" w:hAnsi="Times New Roman" w:eastAsia="仿宋" w:cs="Times New Roman"/>
          <w:b w:val="0"/>
          <w:bCs w:val="0"/>
          <w:sz w:val="30"/>
          <w:szCs w:val="30"/>
          <w:highlight w:val="none"/>
          <w:lang w:val="en-US" w:eastAsia="zh-CN"/>
        </w:rPr>
        <w:t>33.7</w:t>
      </w:r>
      <w:r>
        <w:rPr>
          <w:rFonts w:hint="default" w:ascii="Times New Roman" w:hAnsi="Times New Roman" w:eastAsia="仿宋" w:cs="Times New Roman"/>
          <w:b w:val="0"/>
          <w:bCs w:val="0"/>
          <w:sz w:val="30"/>
          <w:szCs w:val="30"/>
          <w:highlight w:val="none"/>
          <w:lang w:val="en-US" w:eastAsia="zh-CN"/>
        </w:rPr>
        <w:t>万元，经费主要用于</w:t>
      </w:r>
      <w:r>
        <w:rPr>
          <w:rFonts w:hint="eastAsia" w:ascii="Times New Roman" w:hAnsi="Times New Roman" w:cs="Times New Roman"/>
          <w:highlight w:val="none"/>
          <w:lang w:val="en-US" w:eastAsia="zh-CN"/>
        </w:rPr>
        <w:t>政府总值班室及1号楼疫情指挥部会议室视联网终端设备安装，资金</w:t>
      </w:r>
      <w:r>
        <w:rPr>
          <w:rFonts w:hint="eastAsia" w:ascii="Times New Roman" w:hAnsi="Times New Roman" w:eastAsia="仿宋" w:cs="Times New Roman"/>
          <w:b w:val="0"/>
          <w:bCs w:val="0"/>
          <w:sz w:val="30"/>
          <w:szCs w:val="30"/>
          <w:highlight w:val="none"/>
          <w:lang w:val="en-US" w:eastAsia="zh-CN"/>
        </w:rPr>
        <w:t>已于2022年4月21日及时拨付于供应商</w:t>
      </w:r>
      <w:r>
        <w:rPr>
          <w:rFonts w:hint="eastAsia"/>
          <w:lang w:eastAsia="zh-CN"/>
        </w:rPr>
        <w:t>新疆四平智联信息科级有限公司</w:t>
      </w:r>
      <w:r>
        <w:rPr>
          <w:rFonts w:hint="default" w:ascii="Times New Roman" w:hAnsi="Times New Roman" w:eastAsia="仿宋" w:cs="Times New Roman"/>
          <w:b w:val="0"/>
          <w:bCs w:val="0"/>
          <w:sz w:val="30"/>
          <w:szCs w:val="30"/>
          <w:highlight w:val="none"/>
          <w:lang w:eastAsia="zh-CN"/>
        </w:rPr>
        <w:t>。故预算执行率该指标满分</w:t>
      </w:r>
      <w:r>
        <w:rPr>
          <w:rFonts w:hint="eastAsia" w:eastAsia="仿宋" w:cs="Times New Roman"/>
          <w:b w:val="0"/>
          <w:bCs w:val="0"/>
          <w:sz w:val="30"/>
          <w:szCs w:val="30"/>
          <w:highlight w:val="none"/>
          <w:lang w:val="en-US" w:eastAsia="zh-CN"/>
        </w:rPr>
        <w:t>5</w:t>
      </w:r>
      <w:r>
        <w:rPr>
          <w:rFonts w:hint="default" w:ascii="Times New Roman" w:hAnsi="Times New Roman" w:eastAsia="仿宋" w:cs="Times New Roman"/>
          <w:b w:val="0"/>
          <w:bCs w:val="0"/>
          <w:sz w:val="30"/>
          <w:szCs w:val="30"/>
          <w:highlight w:val="none"/>
          <w:lang w:eastAsia="zh-CN"/>
        </w:rPr>
        <w:t>分，得分为</w:t>
      </w:r>
      <w:r>
        <w:rPr>
          <w:rFonts w:hint="eastAsia" w:ascii="Times New Roman" w:hAnsi="Times New Roman" w:eastAsia="仿宋" w:cs="Times New Roman"/>
          <w:b w:val="0"/>
          <w:bCs w:val="0"/>
          <w:sz w:val="30"/>
          <w:szCs w:val="30"/>
          <w:highlight w:val="none"/>
          <w:lang w:val="en-US" w:eastAsia="zh-CN"/>
        </w:rPr>
        <w:t>5</w:t>
      </w:r>
      <w:r>
        <w:rPr>
          <w:rFonts w:hint="default" w:ascii="Times New Roman" w:hAnsi="Times New Roman" w:eastAsia="仿宋" w:cs="Times New Roman"/>
          <w:b w:val="0"/>
          <w:bCs w:val="0"/>
          <w:sz w:val="30"/>
          <w:szCs w:val="30"/>
          <w:highlight w:val="none"/>
          <w:lang w:eastAsia="zh-CN"/>
        </w:rPr>
        <w:t>分。</w:t>
      </w:r>
    </w:p>
    <w:p>
      <w:pPr>
        <w:spacing w:line="360" w:lineRule="auto"/>
        <w:ind w:left="0" w:leftChars="0" w:firstLine="562" w:firstLineChars="200"/>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县政府办公室（信访局</w:t>
      </w:r>
      <w:r>
        <w:rPr>
          <w:rFonts w:hint="eastAsia" w:ascii="Times New Roman" w:hAnsi="Times New Roman" w:cs="Times New Roman"/>
          <w:szCs w:val="28"/>
          <w:lang w:val="en-US" w:eastAsia="zh-CN"/>
        </w:rPr>
        <w:t>）</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县政府办公室（信访局</w:t>
      </w:r>
      <w:r>
        <w:rPr>
          <w:rFonts w:hint="eastAsia" w:ascii="Times New Roman" w:hAnsi="Times New Roman" w:cs="Times New Roman"/>
          <w:szCs w:val="28"/>
          <w:lang w:val="en-US" w:eastAsia="zh-CN"/>
        </w:rPr>
        <w:t>）</w:t>
      </w:r>
      <w:r>
        <w:rPr>
          <w:rFonts w:hint="default" w:ascii="Times New Roman" w:hAnsi="Times New Roman" w:cs="Times New Roman"/>
          <w:szCs w:val="28"/>
        </w:rPr>
        <w:t>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9</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default" w:ascii="Times New Roman" w:hAnsi="Times New Roman"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会议室终端设备套数</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2</w:t>
      </w:r>
      <w:r>
        <w:rPr>
          <w:rFonts w:hint="eastAsia" w:ascii="Times New Roman" w:hAnsi="Times New Roman" w:cs="Times New Roman"/>
          <w:bCs/>
          <w:szCs w:val="28"/>
          <w:lang w:eastAsia="zh-CN"/>
        </w:rPr>
        <w:t>套</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2</w:t>
      </w:r>
      <w:r>
        <w:rPr>
          <w:rFonts w:hint="eastAsia" w:ascii="Times New Roman" w:hAnsi="Times New Roman" w:cs="Times New Roman"/>
          <w:bCs/>
          <w:szCs w:val="28"/>
          <w:lang w:eastAsia="zh-CN"/>
        </w:rPr>
        <w:t>套。</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2"/>
        <w:rPr>
          <w:rFonts w:hint="default" w:ascii="Times New Roman" w:hAnsi="Times New Roman" w:cs="Times New Roman"/>
          <w:szCs w:val="28"/>
        </w:rPr>
      </w:pPr>
      <w:r>
        <w:rPr>
          <w:rFonts w:hint="eastAsia" w:ascii="Times New Roman" w:hAnsi="Times New Roman" w:cs="Times New Roman"/>
          <w:bCs/>
          <w:szCs w:val="28"/>
          <w:lang w:eastAsia="zh-CN"/>
        </w:rPr>
        <w:t>质量指标</w:t>
      </w:r>
      <w:r>
        <w:rPr>
          <w:rFonts w:hint="default" w:ascii="Times New Roman" w:hAnsi="Times New Roman" w:cs="Times New Roman"/>
          <w:b/>
          <w:bCs/>
          <w:szCs w:val="28"/>
        </w:rPr>
        <w:t>率：</w:t>
      </w:r>
      <w:r>
        <w:rPr>
          <w:rFonts w:hint="eastAsia"/>
        </w:rPr>
        <w:t>“</w:t>
      </w:r>
      <w:r>
        <w:rPr>
          <w:rFonts w:hint="eastAsia"/>
          <w:lang w:val="en-US" w:eastAsia="zh-CN"/>
        </w:rPr>
        <w:t>设备验收合格率</w:t>
      </w:r>
      <w:r>
        <w:rPr>
          <w:rFonts w:hint="eastAsia"/>
        </w:rPr>
        <w:t>”的目标值为&gt;=95%。</w:t>
      </w:r>
      <w:r>
        <w:rPr>
          <w:rFonts w:hint="eastAsia"/>
          <w:lang w:val="en-US" w:eastAsia="zh-CN"/>
        </w:rPr>
        <w:t>根据设备到位后进行验收，设备验收合格率</w:t>
      </w:r>
      <w:r>
        <w:rPr>
          <w:rFonts w:hint="default" w:ascii="Times New Roman" w:hAnsi="Times New Roman" w:cs="Times New Roman"/>
          <w:szCs w:val="28"/>
        </w:rPr>
        <w:t>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eastAsia="仿宋_GB2312" w:cs="Times New Roman"/>
          <w:b/>
          <w:bCs/>
          <w:szCs w:val="28"/>
          <w:lang w:val="en-US" w:eastAsia="zh-CN"/>
        </w:rPr>
      </w:pPr>
      <w:r>
        <w:rPr>
          <w:rStyle w:val="17"/>
          <w:rFonts w:hint="eastAsia" w:ascii="Times New Roman" w:hAnsi="Times New Roman" w:cs="Times New Roman"/>
          <w:bCs/>
          <w:szCs w:val="28"/>
          <w:lang w:val="en-US" w:eastAsia="zh-CN"/>
        </w:rPr>
        <w:t>设备安装及时率</w:t>
      </w:r>
      <w:r>
        <w:rPr>
          <w:rFonts w:hint="eastAsia" w:ascii="Times New Roman" w:hAnsi="Times New Roman" w:cs="Times New Roman"/>
          <w:b w:val="0"/>
          <w:bCs/>
          <w:szCs w:val="28"/>
        </w:rPr>
        <w:t>：</w:t>
      </w:r>
    </w:p>
    <w:p>
      <w:pPr>
        <w:spacing w:line="360" w:lineRule="auto"/>
        <w:ind w:firstLine="562"/>
        <w:rPr>
          <w:rFonts w:hint="default" w:ascii="Times New Roman" w:hAnsi="Times New Roman" w:eastAsia="仿宋_GB2312" w:cs="Times New Roman"/>
          <w:b/>
          <w:bCs/>
          <w:szCs w:val="28"/>
          <w:lang w:val="en-US" w:eastAsia="zh-CN"/>
        </w:rPr>
      </w:pPr>
      <w:r>
        <w:rPr>
          <w:rFonts w:hint="default" w:ascii="Times New Roman" w:hAnsi="Times New Roman" w:cs="Times New Roman"/>
          <w:b/>
          <w:bCs/>
          <w:szCs w:val="28"/>
        </w:rPr>
        <w:t>其中，</w:t>
      </w:r>
      <w:r>
        <w:rPr>
          <w:rFonts w:hint="eastAsia" w:ascii="Times New Roman" w:hAnsi="Times New Roman" w:cs="Times New Roman"/>
          <w:b/>
          <w:bCs/>
          <w:szCs w:val="28"/>
          <w:lang w:val="en-US" w:eastAsia="zh-CN"/>
        </w:rPr>
        <w:t>设备安装</w:t>
      </w:r>
      <w:r>
        <w:rPr>
          <w:rFonts w:hint="default" w:ascii="Times New Roman" w:hAnsi="Times New Roman" w:cs="Times New Roman"/>
          <w:b/>
          <w:bCs/>
          <w:szCs w:val="28"/>
        </w:rPr>
        <w:t>及时率：</w:t>
      </w:r>
      <w:r>
        <w:rPr>
          <w:rFonts w:hint="eastAsia" w:ascii="Times New Roman" w:hAnsi="Times New Roman" w:cs="Times New Roman"/>
          <w:b/>
          <w:bCs/>
          <w:szCs w:val="28"/>
          <w:lang w:eastAsia="zh-CN"/>
        </w:rPr>
        <w:t>根据合同内容，</w:t>
      </w:r>
      <w:r>
        <w:rPr>
          <w:rFonts w:hint="eastAsia"/>
          <w:lang w:eastAsia="zh-CN"/>
        </w:rPr>
        <w:t>新疆四平智联信息科级有限公司按时完成我单位该项目建设，</w:t>
      </w:r>
      <w:r>
        <w:rPr>
          <w:rFonts w:hint="eastAsia"/>
          <w:lang w:val="en-US" w:eastAsia="zh-CN"/>
        </w:rPr>
        <w:t>设备安装</w:t>
      </w:r>
      <w:r>
        <w:rPr>
          <w:rFonts w:hint="eastAsia"/>
          <w:lang w:eastAsia="zh-CN"/>
        </w:rPr>
        <w:t>及时率为</w:t>
      </w:r>
      <w:r>
        <w:rPr>
          <w:rFonts w:hint="eastAsia"/>
          <w:lang w:val="en-US" w:eastAsia="zh-CN"/>
        </w:rPr>
        <w:t>100%。</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spacing w:before="192" w:beforeLines="50" w:after="192" w:afterLines="50" w:line="300" w:lineRule="auto"/>
        <w:ind w:firstLine="643" w:firstLineChars="200"/>
        <w:jc w:val="left"/>
        <w:rPr>
          <w:rFonts w:hint="default" w:ascii="Times New Roman" w:hAnsi="Times New Roman" w:cs="Times New Roman"/>
          <w:b/>
          <w:bCs/>
          <w:szCs w:val="28"/>
        </w:rPr>
      </w:pPr>
      <w:bookmarkStart w:id="46" w:name="_Toc100784611"/>
      <w:r>
        <w:rPr>
          <w:rFonts w:hint="default" w:ascii="Times New Roman" w:hAnsi="Times New Roman" w:eastAsia="仿宋" w:cs="Times New Roman"/>
          <w:sz w:val="32"/>
          <w:szCs w:val="32"/>
          <w:lang w:bidi="en-US"/>
        </w:rPr>
        <w:t>4.产出成本</w:t>
      </w:r>
      <w:bookmarkEnd w:id="46"/>
    </w:p>
    <w:p>
      <w:pPr>
        <w:spacing w:before="192" w:beforeLines="50" w:after="192" w:afterLines="50" w:line="300" w:lineRule="auto"/>
        <w:ind w:firstLine="562"/>
        <w:rPr>
          <w:rFonts w:hint="eastAsia" w:ascii="Times New Roman" w:hAnsi="Times New Roman" w:cs="Times New Roman"/>
          <w:b w:val="0"/>
          <w:bCs w:val="0"/>
          <w:szCs w:val="28"/>
          <w:lang w:val="en-US" w:eastAsia="zh-CN"/>
        </w:rPr>
      </w:pPr>
      <w:r>
        <w:rPr>
          <w:rFonts w:hint="eastAsia" w:ascii="Times New Roman" w:hAnsi="Times New Roman" w:cs="Times New Roman"/>
          <w:b w:val="0"/>
          <w:bCs w:val="0"/>
          <w:szCs w:val="28"/>
        </w:rPr>
        <w:t>成本节约率：</w:t>
      </w:r>
      <w:r>
        <w:rPr>
          <w:rFonts w:hint="eastAsia" w:ascii="Times New Roman" w:hAnsi="Times New Roman" w:cs="Times New Roman"/>
          <w:b w:val="0"/>
          <w:bCs w:val="0"/>
          <w:szCs w:val="28"/>
          <w:lang w:val="en-US" w:eastAsia="zh-CN"/>
        </w:rPr>
        <w:t>会议室终端设备目标值75000元，实际完成值75000元；</w:t>
      </w:r>
    </w:p>
    <w:p>
      <w:pPr>
        <w:spacing w:line="360" w:lineRule="auto"/>
        <w:ind w:firstLine="562"/>
        <w:rPr>
          <w:rFonts w:hint="eastAsia" w:ascii="Times New Roman" w:hAnsi="Times New Roman" w:cs="Times New Roman"/>
          <w:b w:val="0"/>
          <w:bCs w:val="0"/>
          <w:szCs w:val="28"/>
          <w:lang w:val="en-US" w:eastAsia="zh-CN"/>
        </w:rPr>
      </w:pPr>
      <w:r>
        <w:rPr>
          <w:rFonts w:hint="eastAsia" w:ascii="Times New Roman" w:hAnsi="Times New Roman" w:cs="Times New Roman"/>
          <w:b w:val="0"/>
          <w:bCs w:val="0"/>
          <w:szCs w:val="28"/>
          <w:lang w:val="en-US" w:eastAsia="zh-CN"/>
        </w:rPr>
        <w:t>视联网终端目标值30500元，实际完成值30500元；</w:t>
      </w:r>
    </w:p>
    <w:p>
      <w:pPr>
        <w:spacing w:line="360" w:lineRule="auto"/>
        <w:ind w:firstLine="562"/>
        <w:rPr>
          <w:rFonts w:hint="eastAsia" w:ascii="Times New Roman" w:hAnsi="Times New Roman" w:cs="Times New Roman"/>
          <w:b w:val="0"/>
          <w:bCs w:val="0"/>
          <w:szCs w:val="28"/>
          <w:lang w:val="en-US" w:eastAsia="zh-CN"/>
        </w:rPr>
      </w:pPr>
      <w:r>
        <w:rPr>
          <w:rFonts w:hint="eastAsia" w:ascii="Times New Roman" w:hAnsi="Times New Roman" w:cs="Times New Roman"/>
          <w:b w:val="0"/>
          <w:bCs w:val="0"/>
          <w:szCs w:val="28"/>
          <w:lang w:val="en-US" w:eastAsia="zh-CN"/>
        </w:rPr>
        <w:t>55寸电视机机架目标值5300元，实际完成值5300元；</w:t>
      </w:r>
    </w:p>
    <w:p>
      <w:pPr>
        <w:spacing w:line="360" w:lineRule="auto"/>
        <w:ind w:firstLine="562"/>
        <w:rPr>
          <w:rFonts w:hint="eastAsia" w:ascii="Times New Roman" w:hAnsi="Times New Roman" w:cs="Times New Roman"/>
          <w:b w:val="0"/>
          <w:bCs w:val="0"/>
          <w:szCs w:val="28"/>
          <w:lang w:val="en-US" w:eastAsia="zh-CN"/>
        </w:rPr>
      </w:pPr>
      <w:r>
        <w:rPr>
          <w:rFonts w:hint="eastAsia" w:ascii="Times New Roman" w:hAnsi="Times New Roman" w:cs="Times New Roman"/>
          <w:b w:val="0"/>
          <w:bCs w:val="0"/>
          <w:szCs w:val="28"/>
          <w:lang w:val="en-US" w:eastAsia="zh-CN"/>
        </w:rPr>
        <w:t>会议桌椅目标值7570元，实际完成值7570元；</w:t>
      </w:r>
    </w:p>
    <w:p>
      <w:pPr>
        <w:spacing w:line="360" w:lineRule="auto"/>
        <w:ind w:firstLine="562"/>
        <w:rPr>
          <w:rFonts w:hint="eastAsia" w:ascii="Times New Roman" w:hAnsi="Times New Roman" w:cs="Times New Roman"/>
          <w:b w:val="0"/>
          <w:bCs w:val="0"/>
          <w:szCs w:val="28"/>
          <w:lang w:val="en-US" w:eastAsia="zh-CN"/>
        </w:rPr>
      </w:pPr>
      <w:r>
        <w:rPr>
          <w:rFonts w:hint="eastAsia" w:ascii="Times New Roman" w:hAnsi="Times New Roman" w:cs="Times New Roman"/>
          <w:b w:val="0"/>
          <w:bCs w:val="0"/>
          <w:szCs w:val="28"/>
          <w:lang w:val="en-US" w:eastAsia="zh-CN"/>
        </w:rPr>
        <w:t>保密柜目标值4500元，实际完成值4500元；</w:t>
      </w:r>
    </w:p>
    <w:p>
      <w:pPr>
        <w:spacing w:line="360" w:lineRule="auto"/>
        <w:ind w:firstLine="562"/>
        <w:rPr>
          <w:rFonts w:hint="default" w:ascii="Times New Roman" w:hAnsi="Times New Roman" w:eastAsia="仿宋_GB2312" w:cs="Times New Roman"/>
          <w:b w:val="0"/>
          <w:bCs w:val="0"/>
          <w:szCs w:val="28"/>
          <w:lang w:val="en-US" w:eastAsia="zh-CN"/>
        </w:rPr>
      </w:pPr>
      <w:r>
        <w:rPr>
          <w:rFonts w:hint="eastAsia" w:ascii="Times New Roman" w:hAnsi="Times New Roman" w:cs="Times New Roman"/>
          <w:b w:val="0"/>
          <w:bCs w:val="0"/>
          <w:szCs w:val="28"/>
          <w:lang w:val="en-US" w:eastAsia="zh-CN"/>
        </w:rPr>
        <w:t>会议室装饰及辅助材料目标值214190元，实际完成值214190元，</w:t>
      </w:r>
      <w:r>
        <w:rPr>
          <w:rFonts w:hint="eastAsia" w:ascii="Times New Roman" w:hAnsi="Times New Roman" w:cs="Times New Roman"/>
          <w:b w:val="0"/>
          <w:bCs w:val="0"/>
          <w:szCs w:val="28"/>
          <w:lang w:eastAsia="zh-CN"/>
        </w:rPr>
        <w:t>本项目</w:t>
      </w:r>
      <w:r>
        <w:rPr>
          <w:rFonts w:hint="eastAsia" w:ascii="Times New Roman" w:hAnsi="Times New Roman" w:cs="Times New Roman"/>
          <w:b w:val="0"/>
          <w:bCs w:val="0"/>
          <w:szCs w:val="28"/>
          <w:lang w:val="en-US" w:eastAsia="zh-CN"/>
        </w:rPr>
        <w:t>预算资金33.7万元，</w:t>
      </w:r>
      <w:r>
        <w:rPr>
          <w:rFonts w:hint="eastAsia" w:ascii="Times New Roman" w:hAnsi="Times New Roman" w:cs="Times New Roman"/>
          <w:b w:val="0"/>
          <w:bCs w:val="0"/>
          <w:szCs w:val="28"/>
          <w:lang w:eastAsia="zh-CN"/>
        </w:rPr>
        <w:t>实际支出</w:t>
      </w:r>
      <w:r>
        <w:rPr>
          <w:rFonts w:hint="eastAsia" w:ascii="Times New Roman" w:hAnsi="Times New Roman" w:cs="Times New Roman"/>
          <w:b w:val="0"/>
          <w:bCs w:val="0"/>
          <w:szCs w:val="28"/>
          <w:lang w:val="en-US" w:eastAsia="zh-CN"/>
        </w:rPr>
        <w:t>33.7万元，无超支情况，项目资金全部完成。</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项目预算控制率，</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r>
        <w:rPr>
          <w:rFonts w:hint="eastAsia"/>
        </w:rPr>
        <w:t>我单位在项目完工后，根据合同约定，及时向主管单位和财政局申请相关款项，并于</w:t>
      </w:r>
      <w:r>
        <w:rPr>
          <w:rFonts w:hint="eastAsia"/>
          <w:lang w:val="en-US" w:eastAsia="zh-CN"/>
        </w:rPr>
        <w:t>2023</w:t>
      </w:r>
      <w:r>
        <w:rPr>
          <w:rFonts w:hint="eastAsia"/>
        </w:rPr>
        <w:t>年</w:t>
      </w:r>
      <w:r>
        <w:rPr>
          <w:rFonts w:hint="eastAsia"/>
          <w:lang w:val="en-US" w:eastAsia="zh-CN"/>
        </w:rPr>
        <w:t>4</w:t>
      </w:r>
      <w:r>
        <w:rPr>
          <w:rFonts w:hint="eastAsia"/>
        </w:rPr>
        <w:t>月</w:t>
      </w:r>
      <w:r>
        <w:rPr>
          <w:rFonts w:hint="eastAsia"/>
          <w:lang w:val="en-US" w:eastAsia="zh-CN"/>
        </w:rPr>
        <w:t>21</w:t>
      </w:r>
      <w:r>
        <w:rPr>
          <w:rFonts w:hint="eastAsia"/>
        </w:rPr>
        <w:t>日将资金支付给</w:t>
      </w:r>
      <w:r>
        <w:rPr>
          <w:rFonts w:hint="eastAsia"/>
          <w:lang w:eastAsia="zh-CN"/>
        </w:rPr>
        <w:t>新疆四平智联信息科级有限公司</w:t>
      </w:r>
      <w:r>
        <w:rPr>
          <w:rFonts w:hint="eastAsia"/>
        </w:rPr>
        <w:t>单位。</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项目效益指标由1个二级指标和2个三级指标构成，权重为20分，实际得分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51" w:firstLineChars="196"/>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Times New Roman" w:hAnsi="Times New Roman" w:cs="Times New Roman"/>
          <w:szCs w:val="28"/>
          <w:lang w:eastAsia="zh-CN"/>
        </w:rPr>
        <w:t>切实加强会议系统互联互通</w:t>
      </w:r>
      <w:r>
        <w:rPr>
          <w:rFonts w:hint="default" w:ascii="Times New Roman" w:hAnsi="Times New Roman" w:cs="Times New Roman"/>
          <w:szCs w:val="28"/>
        </w:rPr>
        <w:t>”，指标值：</w:t>
      </w:r>
      <w:r>
        <w:rPr>
          <w:rFonts w:hint="eastAsia" w:ascii="Times New Roman" w:hAnsi="Times New Roman" w:cs="Times New Roman"/>
          <w:szCs w:val="28"/>
          <w:lang w:eastAsia="zh-CN"/>
        </w:rPr>
        <w:t>有所提升</w:t>
      </w:r>
      <w:r>
        <w:rPr>
          <w:rFonts w:hint="default" w:ascii="Times New Roman" w:hAnsi="Times New Roman" w:cs="Times New Roman"/>
          <w:szCs w:val="28"/>
        </w:rPr>
        <w:t>，实际完成值：</w:t>
      </w:r>
      <w:r>
        <w:rPr>
          <w:rFonts w:hint="eastAsia" w:ascii="Times New Roman" w:hAnsi="Times New Roman" w:cs="Times New Roman"/>
          <w:szCs w:val="28"/>
          <w:lang w:eastAsia="zh-CN"/>
        </w:rPr>
        <w:t>完全</w:t>
      </w:r>
      <w:r>
        <w:rPr>
          <w:rFonts w:hint="default" w:ascii="Times New Roman" w:hAnsi="Times New Roman" w:cs="Times New Roman"/>
          <w:szCs w:val="28"/>
        </w:rPr>
        <w:t>达成年度指标。本项目的实施</w:t>
      </w:r>
      <w:r>
        <w:rPr>
          <w:rFonts w:hint="eastAsia" w:ascii="Times New Roman" w:hAnsi="Times New Roman" w:cs="Times New Roman"/>
          <w:szCs w:val="28"/>
          <w:lang w:eastAsia="zh-CN"/>
        </w:rPr>
        <w:t>通过建立</w:t>
      </w:r>
      <w:r>
        <w:rPr>
          <w:rFonts w:hint="eastAsia" w:ascii="Times New Roman" w:hAnsi="Times New Roman" w:cs="Times New Roman"/>
          <w:highlight w:val="none"/>
          <w:lang w:val="en-US" w:eastAsia="zh-CN"/>
        </w:rPr>
        <w:t>统一建设政府总值班室及1号楼疫情指挥部会议室视联网终端设备安装，进一步做好值班各项工作及疫情防控各项会议的顺利召开。</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lang w:val="en-US"/>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w:t>
      </w:r>
      <w:r>
        <w:rPr>
          <w:rFonts w:hint="eastAsia" w:ascii="Times New Roman" w:hAnsi="Times New Roman" w:cs="Times New Roman"/>
          <w:szCs w:val="28"/>
          <w:lang w:eastAsia="zh-CN"/>
        </w:rPr>
        <w:t>持续发挥作用的期限</w:t>
      </w:r>
      <w:r>
        <w:rPr>
          <w:rFonts w:hint="default" w:ascii="Times New Roman" w:hAnsi="Times New Roman" w:cs="Times New Roman"/>
          <w:szCs w:val="28"/>
        </w:rPr>
        <w:t>”，指标值：</w:t>
      </w:r>
      <w:r>
        <w:rPr>
          <w:rFonts w:hint="eastAsia" w:ascii="Times New Roman" w:hAnsi="Times New Roman" w:cs="Times New Roman"/>
          <w:szCs w:val="28"/>
          <w:lang w:eastAsia="zh-CN"/>
        </w:rPr>
        <w:t>长期</w:t>
      </w:r>
      <w:r>
        <w:rPr>
          <w:rFonts w:hint="default" w:ascii="Times New Roman" w:hAnsi="Times New Roman" w:cs="Times New Roman"/>
          <w:szCs w:val="28"/>
        </w:rPr>
        <w:t>，实际完成值：</w:t>
      </w:r>
      <w:r>
        <w:rPr>
          <w:rFonts w:hint="eastAsia" w:ascii="Times New Roman" w:hAnsi="Times New Roman" w:cs="Times New Roman"/>
          <w:szCs w:val="28"/>
          <w:lang w:eastAsia="zh-CN"/>
        </w:rPr>
        <w:t>完全</w:t>
      </w:r>
      <w:r>
        <w:rPr>
          <w:rFonts w:hint="default" w:ascii="Times New Roman" w:hAnsi="Times New Roman" w:cs="Times New Roman"/>
          <w:szCs w:val="28"/>
        </w:rPr>
        <w:t>达成年度指标。</w:t>
      </w:r>
      <w:r>
        <w:rPr>
          <w:rFonts w:hint="eastAsia" w:ascii="Times New Roman" w:hAnsi="Times New Roman" w:cs="Times New Roman"/>
          <w:szCs w:val="28"/>
          <w:lang w:eastAsia="zh-CN"/>
        </w:rPr>
        <w:t>通过建立统一的政府总值班室及</w:t>
      </w:r>
      <w:r>
        <w:rPr>
          <w:rFonts w:hint="eastAsia" w:ascii="Times New Roman" w:hAnsi="Times New Roman" w:cs="Times New Roman"/>
          <w:szCs w:val="28"/>
          <w:lang w:val="en-US" w:eastAsia="zh-CN"/>
        </w:rPr>
        <w:t>1号楼疫情指挥部会议室视联网终端设备，从而使疫情工作开展顺利，提高了工作效率。加强了与各区县的互联互通，及时有效的进行上传下达，从而缩短了工作周转时间，大大提高了效率。</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Times New Roman" w:hAnsi="Times New Roman" w:cs="Times New Roman"/>
          <w:szCs w:val="28"/>
          <w:lang w:eastAsia="zh-CN"/>
        </w:rPr>
        <w:t>群众满意度</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85</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85</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17</w:t>
      </w:r>
      <w:r>
        <w:rPr>
          <w:rFonts w:hint="default" w:ascii="Times New Roman" w:hAnsi="Times New Roman" w:cs="Times New Roman"/>
          <w:szCs w:val="28"/>
        </w:rPr>
        <w:t>份。其中，统计“</w:t>
      </w:r>
      <w:r>
        <w:rPr>
          <w:rFonts w:hint="eastAsia" w:ascii="Times New Roman" w:hAnsi="Times New Roman" w:cs="Times New Roman"/>
          <w:szCs w:val="28"/>
          <w:lang w:eastAsia="zh-CN"/>
        </w:rPr>
        <w:t>群众满意度</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100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keepNext w:val="0"/>
        <w:keepLines w:val="0"/>
        <w:pageBreakBefore w:val="0"/>
        <w:widowControl w:val="0"/>
        <w:kinsoku/>
        <w:wordWrap/>
        <w:overflowPunct/>
        <w:topLinePunct w:val="0"/>
        <w:autoSpaceDE/>
        <w:autoSpaceDN/>
        <w:bidi w:val="0"/>
        <w:adjustRightInd/>
        <w:snapToGrid/>
        <w:spacing w:before="0" w:after="0" w:line="300" w:lineRule="auto"/>
        <w:ind w:left="0" w:leftChars="0" w:firstLine="56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hint="default" w:ascii="Times New Roman" w:hAnsi="Times New Roman" w:cs="Times New Roman"/>
          <w:szCs w:val="28"/>
        </w:rPr>
        <w:t>%，小于20%。因此，本项目较好地完成了年度总体目标，财政资金使用效益和效率较高。</w:t>
      </w: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lang w:val="en-US" w:eastAsia="zh-CN" w:bidi="ar-SA"/>
        </w:rPr>
      </w:pPr>
      <w:bookmarkStart w:id="57" w:name="_Toc100784618"/>
      <w:r>
        <w:rPr>
          <w:rFonts w:hint="default" w:ascii="Times New Roman" w:hAnsi="Times New Roman" w:eastAsia="仿宋_GB2312" w:cs="Times New Roman"/>
          <w:b w:val="0"/>
          <w:bCs w:val="0"/>
          <w:kern w:val="2"/>
          <w:sz w:val="28"/>
          <w:szCs w:val="28"/>
          <w:lang w:val="en-US" w:eastAsia="zh-CN" w:bidi="ar-SA"/>
        </w:rPr>
        <w:t>该项目绩效目标根据乌鲁木齐市人民政府办公室《关于建设政府值班视频会议系统的工作通知》要求需要统一建设政府总值班室及1号楼疫情指挥部会议室视联网终端设备安装，</w:t>
      </w:r>
      <w:r>
        <w:rPr>
          <w:rFonts w:hint="eastAsia" w:ascii="Times New Roman" w:hAnsi="Times New Roman" w:cs="Times New Roman"/>
          <w:b w:val="0"/>
          <w:bCs w:val="0"/>
          <w:kern w:val="2"/>
          <w:sz w:val="28"/>
          <w:szCs w:val="28"/>
          <w:lang w:val="en-US" w:eastAsia="zh-CN" w:bidi="ar-SA"/>
        </w:rPr>
        <w:t>当初追加资金33.7万元，财政拨款33.7万元，执行33.7万元，资金拨付率达到100%，执行率达到100%，资金的充分保障，更好的使项目顺利开展，从而提高了工作效率</w:t>
      </w:r>
      <w:r>
        <w:rPr>
          <w:rFonts w:hint="default" w:ascii="Times New Roman" w:hAnsi="Times New Roman" w:eastAsia="仿宋_GB2312" w:cs="Times New Roman"/>
          <w:b w:val="0"/>
          <w:bCs w:val="0"/>
          <w:kern w:val="2"/>
          <w:sz w:val="28"/>
          <w:szCs w:val="28"/>
          <w:lang w:val="en-US" w:eastAsia="zh-CN" w:bidi="ar-SA"/>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7"/>
    </w:p>
    <w:p>
      <w:pPr>
        <w:keepNext/>
        <w:keepLines/>
        <w:pageBreakBefore w:val="0"/>
        <w:widowControl w:val="0"/>
        <w:kinsoku/>
        <w:wordWrap/>
        <w:overflowPunct/>
        <w:topLinePunct w:val="0"/>
        <w:autoSpaceDE/>
        <w:autoSpaceDN/>
        <w:bidi w:val="0"/>
        <w:adjustRightInd/>
        <w:snapToGrid/>
        <w:spacing w:before="0" w:after="0" w:line="360" w:lineRule="auto"/>
        <w:ind w:left="0" w:leftChars="0" w:firstLine="562" w:firstLineChars="0"/>
        <w:jc w:val="left"/>
        <w:textAlignment w:val="auto"/>
        <w:rPr>
          <w:rFonts w:hint="default" w:ascii="Times New Roman" w:hAnsi="Times New Roman" w:eastAsia="仿宋" w:cs="Times New Roman"/>
          <w:sz w:val="36"/>
          <w:szCs w:val="36"/>
          <w:lang w:bidi="en-US"/>
        </w:rPr>
      </w:pPr>
      <w:bookmarkStart w:id="58" w:name="_Toc67911619"/>
      <w:bookmarkStart w:id="59" w:name="_Toc100784619"/>
      <w:r>
        <w:rPr>
          <w:rFonts w:hint="eastAsia" w:ascii="Times New Roman" w:hAnsi="Times New Roman" w:eastAsia="仿宋" w:cs="Times New Roman"/>
          <w:b w:val="0"/>
          <w:bCs w:val="0"/>
          <w:color w:val="auto"/>
          <w:kern w:val="2"/>
          <w:sz w:val="30"/>
          <w:szCs w:val="30"/>
          <w:lang w:val="en-US" w:eastAsia="zh-CN" w:bidi="ar-SA"/>
        </w:rPr>
        <w:t>1、项目建成后，系统维护是今后该项目管理的重点，按照和乙方签订的合同规定，显示在合同期限内可以免费维护、调试升级系统，一旦超过合同期限，将会按照规定收取调试和维护费用，周期越长，设备耗费越大，随着信息化的发展，软件升级调试的成本也会相应增加，这是该项目后期会面临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bookmarkEnd w:id="60"/>
    </w:p>
    <w:bookmarkEnd w:id="61"/>
    <w:p>
      <w:pPr>
        <w:spacing w:line="360" w:lineRule="auto"/>
        <w:ind w:firstLine="562"/>
        <w:rPr>
          <w:rFonts w:hint="eastAsia" w:ascii="Times New Roman" w:hAnsi="Times New Roman" w:eastAsia="仿宋" w:cs="Times New Roman"/>
          <w:b w:val="0"/>
          <w:bCs w:val="0"/>
          <w:color w:val="auto"/>
          <w:kern w:val="2"/>
          <w:sz w:val="30"/>
          <w:szCs w:val="30"/>
          <w:lang w:val="en-US" w:eastAsia="zh-CN" w:bidi="ar-SA"/>
        </w:rPr>
      </w:pPr>
      <w:r>
        <w:rPr>
          <w:rFonts w:hint="eastAsia" w:ascii="Times New Roman" w:hAnsi="Times New Roman" w:eastAsia="仿宋" w:cs="Times New Roman"/>
          <w:b w:val="0"/>
          <w:bCs w:val="0"/>
          <w:color w:val="auto"/>
          <w:kern w:val="2"/>
          <w:sz w:val="30"/>
          <w:szCs w:val="30"/>
          <w:lang w:val="en-US" w:eastAsia="zh-CN" w:bidi="ar-SA"/>
        </w:rPr>
        <w:t>1.在预算编制中做到结合部门主要履职目标，依据文件要求，详细供测算标准，预算项目的执行做到按计划支出，跟进序时进度，预算项目实施规范合理，项目完成接受审计监督，反馈结果及时整改，实现预算绩效管理与预算编制、执行、监督的有机结合。</w:t>
      </w:r>
    </w:p>
    <w:p>
      <w:pPr>
        <w:spacing w:line="360" w:lineRule="auto"/>
        <w:ind w:firstLine="562"/>
        <w:rPr>
          <w:rFonts w:hint="eastAsia" w:ascii="Times New Roman" w:hAnsi="Times New Roman" w:eastAsia="仿宋" w:cs="Times New Roman"/>
          <w:b w:val="0"/>
          <w:bCs w:val="0"/>
          <w:color w:val="auto"/>
          <w:kern w:val="2"/>
          <w:sz w:val="30"/>
          <w:szCs w:val="30"/>
          <w:lang w:val="en-US" w:eastAsia="zh-CN" w:bidi="ar-SA"/>
        </w:rPr>
      </w:pPr>
      <w:r>
        <w:rPr>
          <w:rFonts w:hint="eastAsia" w:ascii="Times New Roman" w:hAnsi="Times New Roman" w:eastAsia="仿宋" w:cs="Times New Roman"/>
          <w:b w:val="0"/>
          <w:bCs w:val="0"/>
          <w:color w:val="auto"/>
          <w:kern w:val="2"/>
          <w:sz w:val="30"/>
          <w:szCs w:val="30"/>
          <w:lang w:val="en-US" w:eastAsia="zh-CN" w:bidi="ar-SA"/>
        </w:rPr>
        <w:t>2.依法依规做好绩效管理的公开工作，进一步配合上级要求对部门整体绩效工作的监督工作的力度，按时向社会公开了预决算，保障公民知情权，让财政资金和预算项目置于公众的监督之下，有利于降低行政事业单位廉政风险。</w:t>
      </w:r>
    </w:p>
    <w:p>
      <w:pPr>
        <w:snapToGrid w:val="0"/>
        <w:spacing w:line="540" w:lineRule="exact"/>
        <w:ind w:firstLine="596" w:firstLineChars="213"/>
        <w:rPr>
          <w:rFonts w:ascii="仿宋_GB2312"/>
          <w:szCs w:val="28"/>
        </w:rPr>
      </w:pPr>
    </w:p>
    <w:p>
      <w:pPr>
        <w:pStyle w:val="2"/>
        <w:ind w:firstLine="0" w:firstLineChars="0"/>
        <w:jc w:val="left"/>
        <w:rPr>
          <w:rFonts w:hint="default" w:ascii="Times New Roman" w:hAnsi="Times New Roman" w:eastAsia="仿宋" w:cs="Times New Roman"/>
          <w:sz w:val="36"/>
          <w:szCs w:val="36"/>
          <w:lang w:bidi="en-US"/>
        </w:rPr>
      </w:pP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u w:val="none"/>
      </w:rPr>
    </w:pPr>
    <w:r>
      <w:rPr>
        <w:rFonts w:hint="eastAsia"/>
        <w:color w:val="000000" w:themeColor="text1"/>
        <w:u w:val="none"/>
        <w:lang w:val="en-US" w:eastAsia="zh-CN"/>
        <w14:textFill>
          <w14:solidFill>
            <w14:schemeClr w14:val="tx1"/>
          </w14:solidFill>
        </w14:textFill>
      </w:rPr>
      <w:t>财政项目支出绩效评价报告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hint="eastAsia" w:ascii="仿宋_GB2312" w:eastAsia="仿宋_GB2312"/>
        <w:sz w:val="21"/>
        <w:szCs w:val="21"/>
        <w:lang w:eastAsia="zh-CN"/>
      </w:rPr>
    </w:pPr>
    <w:r>
      <w:rPr>
        <w:rFonts w:hint="eastAsia" w:ascii="仿宋_GB2312" w:eastAsia="仿宋_GB2312"/>
        <w:sz w:val="21"/>
        <w:szCs w:val="21"/>
        <w:lang w:eastAsia="zh-CN"/>
      </w:rPr>
      <w:t>财政项目支出绩效评价报告</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弧。］">
    <w15:presenceInfo w15:providerId="WPS Office" w15:userId="8786051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trackRevisions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YjQyNTMyYTI1MDc3ZDQ2NzI0MjY4ZjA0NDliMzY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03F39"/>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55B39"/>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07885"/>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8C4E6D"/>
    <w:rsid w:val="01AA2DFB"/>
    <w:rsid w:val="03BD4E2D"/>
    <w:rsid w:val="045D44B6"/>
    <w:rsid w:val="04CA223B"/>
    <w:rsid w:val="04D41020"/>
    <w:rsid w:val="04ED1E31"/>
    <w:rsid w:val="0504213F"/>
    <w:rsid w:val="05C76051"/>
    <w:rsid w:val="05C93349"/>
    <w:rsid w:val="0631706F"/>
    <w:rsid w:val="06D84E6C"/>
    <w:rsid w:val="07E10301"/>
    <w:rsid w:val="08A44D27"/>
    <w:rsid w:val="08B237DF"/>
    <w:rsid w:val="08C33F26"/>
    <w:rsid w:val="09355312"/>
    <w:rsid w:val="09980CD7"/>
    <w:rsid w:val="0AF23647"/>
    <w:rsid w:val="0B070B96"/>
    <w:rsid w:val="0B835C15"/>
    <w:rsid w:val="0D1E2E99"/>
    <w:rsid w:val="0EE447D6"/>
    <w:rsid w:val="0F2F2403"/>
    <w:rsid w:val="0F344BCF"/>
    <w:rsid w:val="0FCE0B27"/>
    <w:rsid w:val="0FE41DE2"/>
    <w:rsid w:val="10B45CB8"/>
    <w:rsid w:val="11FD227A"/>
    <w:rsid w:val="126B57F5"/>
    <w:rsid w:val="128679E9"/>
    <w:rsid w:val="12EE34C7"/>
    <w:rsid w:val="1452113D"/>
    <w:rsid w:val="14532CB7"/>
    <w:rsid w:val="14F83C62"/>
    <w:rsid w:val="152269C2"/>
    <w:rsid w:val="16064645"/>
    <w:rsid w:val="161331F3"/>
    <w:rsid w:val="16800C97"/>
    <w:rsid w:val="16967FBC"/>
    <w:rsid w:val="17F202D1"/>
    <w:rsid w:val="18050B96"/>
    <w:rsid w:val="190E21E0"/>
    <w:rsid w:val="197C38F4"/>
    <w:rsid w:val="1ACF2206"/>
    <w:rsid w:val="1B114E4A"/>
    <w:rsid w:val="1B606AF3"/>
    <w:rsid w:val="1C0F21C7"/>
    <w:rsid w:val="1C13535E"/>
    <w:rsid w:val="1C68200D"/>
    <w:rsid w:val="1CBA24F8"/>
    <w:rsid w:val="1DEC2A3D"/>
    <w:rsid w:val="1E3361A0"/>
    <w:rsid w:val="1F553CA3"/>
    <w:rsid w:val="1F981CA1"/>
    <w:rsid w:val="1FB8347D"/>
    <w:rsid w:val="20397909"/>
    <w:rsid w:val="20A013D6"/>
    <w:rsid w:val="20E463FA"/>
    <w:rsid w:val="219517FD"/>
    <w:rsid w:val="21D221FF"/>
    <w:rsid w:val="22071178"/>
    <w:rsid w:val="222742D7"/>
    <w:rsid w:val="23280773"/>
    <w:rsid w:val="23294AB0"/>
    <w:rsid w:val="24442BAB"/>
    <w:rsid w:val="25433327"/>
    <w:rsid w:val="26BB6AD4"/>
    <w:rsid w:val="27045BC7"/>
    <w:rsid w:val="27077D77"/>
    <w:rsid w:val="27444561"/>
    <w:rsid w:val="28E35839"/>
    <w:rsid w:val="291012EB"/>
    <w:rsid w:val="293A77D7"/>
    <w:rsid w:val="29455F04"/>
    <w:rsid w:val="2C1A2C3B"/>
    <w:rsid w:val="2C445C71"/>
    <w:rsid w:val="2C48180F"/>
    <w:rsid w:val="2D5911F4"/>
    <w:rsid w:val="2E651A2A"/>
    <w:rsid w:val="2F7402D0"/>
    <w:rsid w:val="31284FA4"/>
    <w:rsid w:val="31322CED"/>
    <w:rsid w:val="319C03A8"/>
    <w:rsid w:val="32DA7CDF"/>
    <w:rsid w:val="33237270"/>
    <w:rsid w:val="34391A8B"/>
    <w:rsid w:val="34485B93"/>
    <w:rsid w:val="34B62022"/>
    <w:rsid w:val="34DA559D"/>
    <w:rsid w:val="3578630C"/>
    <w:rsid w:val="35EE43A7"/>
    <w:rsid w:val="360E0772"/>
    <w:rsid w:val="361D1FA4"/>
    <w:rsid w:val="37437825"/>
    <w:rsid w:val="37BF3026"/>
    <w:rsid w:val="38301930"/>
    <w:rsid w:val="39094D4C"/>
    <w:rsid w:val="39BE4E4E"/>
    <w:rsid w:val="39C96289"/>
    <w:rsid w:val="3A5F6E77"/>
    <w:rsid w:val="3AA82901"/>
    <w:rsid w:val="3B0A1353"/>
    <w:rsid w:val="3BFF7912"/>
    <w:rsid w:val="3C6B06D5"/>
    <w:rsid w:val="3E00602E"/>
    <w:rsid w:val="3E3826CF"/>
    <w:rsid w:val="3FBE129D"/>
    <w:rsid w:val="3FD02580"/>
    <w:rsid w:val="40AB223B"/>
    <w:rsid w:val="4168237E"/>
    <w:rsid w:val="41B82E6B"/>
    <w:rsid w:val="41BB5ED2"/>
    <w:rsid w:val="42FD43AC"/>
    <w:rsid w:val="44266510"/>
    <w:rsid w:val="4472694D"/>
    <w:rsid w:val="44FD328B"/>
    <w:rsid w:val="45991B17"/>
    <w:rsid w:val="473F7B8B"/>
    <w:rsid w:val="474976E5"/>
    <w:rsid w:val="47FA19CB"/>
    <w:rsid w:val="482B0783"/>
    <w:rsid w:val="48FB5D0B"/>
    <w:rsid w:val="4961679F"/>
    <w:rsid w:val="49993B25"/>
    <w:rsid w:val="4A9D1E36"/>
    <w:rsid w:val="4AB5131C"/>
    <w:rsid w:val="4B111E5D"/>
    <w:rsid w:val="4D594BE8"/>
    <w:rsid w:val="4E890440"/>
    <w:rsid w:val="4FA65B03"/>
    <w:rsid w:val="51B41252"/>
    <w:rsid w:val="51BB0076"/>
    <w:rsid w:val="51F51F04"/>
    <w:rsid w:val="51F837D1"/>
    <w:rsid w:val="526B621C"/>
    <w:rsid w:val="52CA4B7D"/>
    <w:rsid w:val="52FD0447"/>
    <w:rsid w:val="53546C62"/>
    <w:rsid w:val="54905C82"/>
    <w:rsid w:val="553E0D59"/>
    <w:rsid w:val="5545305F"/>
    <w:rsid w:val="5585175D"/>
    <w:rsid w:val="55BF25B3"/>
    <w:rsid w:val="56B27BC5"/>
    <w:rsid w:val="571E5A0F"/>
    <w:rsid w:val="578A5F90"/>
    <w:rsid w:val="58305B3F"/>
    <w:rsid w:val="58376CEB"/>
    <w:rsid w:val="592B489F"/>
    <w:rsid w:val="5AE15D4D"/>
    <w:rsid w:val="5BBB3658"/>
    <w:rsid w:val="5CAA0979"/>
    <w:rsid w:val="5D4C181E"/>
    <w:rsid w:val="5DB1138B"/>
    <w:rsid w:val="5DEB36D6"/>
    <w:rsid w:val="5E023304"/>
    <w:rsid w:val="5EE329F1"/>
    <w:rsid w:val="5EF05083"/>
    <w:rsid w:val="5F2200F7"/>
    <w:rsid w:val="5FC93FEB"/>
    <w:rsid w:val="5FFC08B7"/>
    <w:rsid w:val="60857FD9"/>
    <w:rsid w:val="608C147A"/>
    <w:rsid w:val="60C14270"/>
    <w:rsid w:val="61B33A52"/>
    <w:rsid w:val="61B9255B"/>
    <w:rsid w:val="625873D2"/>
    <w:rsid w:val="629B248C"/>
    <w:rsid w:val="63280492"/>
    <w:rsid w:val="63F87D5C"/>
    <w:rsid w:val="65C76341"/>
    <w:rsid w:val="66441FBE"/>
    <w:rsid w:val="67385D5E"/>
    <w:rsid w:val="67E4235D"/>
    <w:rsid w:val="681B08BF"/>
    <w:rsid w:val="687C4C11"/>
    <w:rsid w:val="688926ED"/>
    <w:rsid w:val="6CD8744F"/>
    <w:rsid w:val="6F121F0D"/>
    <w:rsid w:val="6FBF15BF"/>
    <w:rsid w:val="707A7D72"/>
    <w:rsid w:val="70806472"/>
    <w:rsid w:val="70F43F08"/>
    <w:rsid w:val="7207057D"/>
    <w:rsid w:val="72241437"/>
    <w:rsid w:val="72455063"/>
    <w:rsid w:val="7277195B"/>
    <w:rsid w:val="72C267E0"/>
    <w:rsid w:val="738E305E"/>
    <w:rsid w:val="753B4B31"/>
    <w:rsid w:val="7594282E"/>
    <w:rsid w:val="768C3105"/>
    <w:rsid w:val="76BD21B0"/>
    <w:rsid w:val="77046A48"/>
    <w:rsid w:val="77702469"/>
    <w:rsid w:val="7831255D"/>
    <w:rsid w:val="787C3EEC"/>
    <w:rsid w:val="78931E22"/>
    <w:rsid w:val="7CA12F42"/>
    <w:rsid w:val="7D553350"/>
    <w:rsid w:val="7D8248F0"/>
    <w:rsid w:val="7EFD4715"/>
    <w:rsid w:val="7F5867C0"/>
    <w:rsid w:val="7F592D88"/>
    <w:rsid w:val="7FF43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26</Pages>
  <Words>10187</Words>
  <Characters>10740</Characters>
  <Lines>79</Lines>
  <Paragraphs>22</Paragraphs>
  <TotalTime>8</TotalTime>
  <ScaleCrop>false</ScaleCrop>
  <LinksUpToDate>false</LinksUpToDate>
  <CharactersWithSpaces>10872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［弧。］</cp:lastModifiedBy>
  <cp:lastPrinted>2023-04-11T02:57:00Z</cp:lastPrinted>
  <dcterms:modified xsi:type="dcterms:W3CDTF">2023-05-24T07:27:13Z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31D0C94C9EFF4098A139BA41E0F742A5_13</vt:lpwstr>
  </property>
</Properties>
</file>