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jc w:val="center"/>
        <w:textAlignment w:val="auto"/>
        <w:rPr>
          <w:rFonts w:hint="default" w:ascii="Times New Roman" w:hAnsi="Times New Roman" w:eastAsia="仿宋_GB2312" w:cs="Times New Roman"/>
          <w:b/>
          <w:color w:val="auto"/>
          <w:sz w:val="44"/>
          <w:szCs w:val="44"/>
          <w:highlight w:val="none"/>
          <w:lang w:val="en-US" w:eastAsia="zh-CN"/>
        </w:rPr>
      </w:pPr>
      <w:bookmarkStart w:id="62" w:name="_GoBack"/>
      <w:r>
        <w:rPr>
          <w:rFonts w:hint="eastAsia" w:ascii="Times New Roman" w:hAnsi="Times New Roman" w:cs="Times New Roman"/>
          <w:b/>
          <w:color w:val="auto"/>
          <w:sz w:val="44"/>
          <w:szCs w:val="4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jc w:val="center"/>
        <w:textAlignment w:val="auto"/>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财政项目支出绩效评价报告</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auto"/>
          <w:kern w:val="0"/>
          <w:sz w:val="30"/>
          <w:szCs w:val="30"/>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1411" w:firstLineChars="441"/>
        <w:jc w:val="both"/>
        <w:textAlignment w:val="auto"/>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项目名称：</w:t>
      </w:r>
      <w:r>
        <w:rPr>
          <w:rFonts w:hint="eastAsia" w:ascii="Times New Roman" w:hAnsi="Times New Roman" w:cs="Times New Roman"/>
          <w:color w:val="auto"/>
          <w:kern w:val="0"/>
          <w:sz w:val="32"/>
          <w:szCs w:val="32"/>
          <w:highlight w:val="none"/>
          <w:lang w:val="en-US" w:eastAsia="zh-CN" w:bidi="en-US"/>
        </w:rPr>
        <w:t>白建沟村新居绿化装饰及文化长廊项目</w:t>
      </w:r>
    </w:p>
    <w:p>
      <w:pPr>
        <w:keepNext w:val="0"/>
        <w:keepLines w:val="0"/>
        <w:pageBreakBefore w:val="0"/>
        <w:widowControl w:val="0"/>
        <w:kinsoku/>
        <w:wordWrap/>
        <w:overflowPunct/>
        <w:topLinePunct w:val="0"/>
        <w:autoSpaceDE/>
        <w:autoSpaceDN/>
        <w:bidi w:val="0"/>
        <w:adjustRightInd/>
        <w:snapToGrid/>
        <w:spacing w:line="360" w:lineRule="auto"/>
        <w:ind w:left="280" w:leftChars="100" w:firstLine="1091" w:firstLineChars="341"/>
        <w:jc w:val="both"/>
        <w:textAlignment w:val="auto"/>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项目单位：</w:t>
      </w:r>
      <w:r>
        <w:rPr>
          <w:rFonts w:hint="eastAsia" w:ascii="Times New Roman" w:hAnsi="Times New Roman" w:cs="Times New Roman"/>
          <w:color w:val="auto"/>
          <w:kern w:val="0"/>
          <w:sz w:val="32"/>
          <w:szCs w:val="32"/>
          <w:highlight w:val="none"/>
          <w:lang w:val="en-US" w:eastAsia="zh-CN" w:bidi="en-US"/>
        </w:rPr>
        <w:t>乌鲁木齐县托里乡人民政府</w:t>
      </w:r>
    </w:p>
    <w:p>
      <w:pPr>
        <w:keepNext w:val="0"/>
        <w:keepLines w:val="0"/>
        <w:pageBreakBefore w:val="0"/>
        <w:widowControl w:val="0"/>
        <w:kinsoku/>
        <w:wordWrap/>
        <w:overflowPunct/>
        <w:topLinePunct w:val="0"/>
        <w:autoSpaceDE/>
        <w:autoSpaceDN/>
        <w:bidi w:val="0"/>
        <w:adjustRightInd/>
        <w:snapToGrid/>
        <w:spacing w:line="360" w:lineRule="auto"/>
        <w:ind w:left="280" w:leftChars="100" w:firstLine="1091" w:firstLineChars="341"/>
        <w:jc w:val="both"/>
        <w:textAlignment w:val="auto"/>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val="en-US" w:eastAsia="zh-CN" w:bidi="en-US"/>
        </w:rPr>
        <w:t>乌鲁木齐县托里乡人民政府</w:t>
      </w:r>
    </w:p>
    <w:p>
      <w:pPr>
        <w:keepNext w:val="0"/>
        <w:keepLines w:val="0"/>
        <w:pageBreakBefore w:val="0"/>
        <w:widowControl w:val="0"/>
        <w:kinsoku/>
        <w:wordWrap/>
        <w:overflowPunct/>
        <w:topLinePunct w:val="0"/>
        <w:autoSpaceDE/>
        <w:autoSpaceDN/>
        <w:bidi w:val="0"/>
        <w:adjustRightInd/>
        <w:snapToGrid/>
        <w:spacing w:line="360" w:lineRule="auto"/>
        <w:ind w:firstLine="1411" w:firstLineChars="441"/>
        <w:jc w:val="both"/>
        <w:textAlignment w:val="auto"/>
        <w:rPr>
          <w:rFonts w:hint="default" w:ascii="Times New Roman" w:hAnsi="Times New Roman" w:cs="Times New Roman"/>
          <w:color w:val="auto"/>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黑体" w:cs="Times New Roman"/>
          <w:b/>
          <w:color w:val="auto"/>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2023年04月</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auto"/>
          <w:kern w:val="0"/>
          <w:sz w:val="32"/>
          <w:szCs w:val="32"/>
          <w:highlight w:val="none"/>
          <w:lang w:bidi="en-US"/>
        </w:rPr>
      </w:pPr>
    </w:p>
    <w:p>
      <w:pPr>
        <w:keepNext w:val="0"/>
        <w:keepLines w:val="0"/>
        <w:pageBreakBefore w:val="0"/>
        <w:widowControl w:val="0"/>
        <w:tabs>
          <w:tab w:val="left" w:pos="3324"/>
        </w:tabs>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cs="Times New Roman"/>
          <w:color w:val="auto"/>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cs="Times New Roman"/>
          <w:color w:val="auto"/>
          <w:kern w:val="0"/>
          <w:sz w:val="32"/>
          <w:szCs w:val="32"/>
          <w:highlight w:val="none"/>
          <w:lang w:bidi="en-US"/>
        </w:rPr>
      </w:pP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cs="Times New Roman"/>
          <w:color w:val="auto"/>
          <w:kern w:val="0"/>
          <w:sz w:val="32"/>
          <w:szCs w:val="32"/>
          <w:highlight w:val="none"/>
          <w:lang w:bidi="en-US"/>
        </w:rPr>
      </w:pPr>
    </w:p>
    <w:sdt>
      <w:sdtPr>
        <w:rPr>
          <w:rFonts w:hint="eastAsia" w:ascii="黑体" w:hAnsi="黑体" w:eastAsia="黑体" w:cs="黑体"/>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16"/>
            <w:ind w:firstLine="560"/>
            <w:jc w:val="center"/>
            <w:rPr>
              <w:rFonts w:hint="eastAsia" w:ascii="黑体" w:hAnsi="黑体" w:eastAsia="黑体" w:cs="黑体"/>
              <w:color w:val="auto"/>
              <w:highlight w:val="none"/>
            </w:rPr>
          </w:pPr>
          <w:r>
            <w:rPr>
              <w:rFonts w:hint="eastAsia" w:ascii="黑体" w:hAnsi="黑体" w:eastAsia="黑体" w:cs="黑体"/>
              <w:color w:val="auto"/>
              <w:highlight w:val="none"/>
              <w:lang w:val="zh-CN"/>
            </w:rPr>
            <w:t>目录</w:t>
          </w:r>
        </w:p>
        <w:p>
          <w:pPr>
            <w:pStyle w:val="8"/>
            <w:tabs>
              <w:tab w:val="right" w:leader="dot" w:pos="8296"/>
            </w:tabs>
            <w:ind w:firstLine="560"/>
            <w:jc w:val="both"/>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"_Toc100784583"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"_Toc100784584"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"_Toc100784585"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"_Toc100784586"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"_Toc100784588"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1.评价目的</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"_Toc100784589"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2.评价对象和范围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"_Toc100784590"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"_Toc100784591"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1.评价原则</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"_Toc100784592"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2.评价指标体系</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"_Toc100784593"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3.评价方法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"_Toc100784594"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4.评价标准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"_Toc100784595"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"_Toc100784596"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"_Toc100784598"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（二）主要绩效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"_Toc100784599"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"_Toc100784600"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"_Toc100784601"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1.项目立项</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"_Toc100784602"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"_Toc100784603"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3.资金投入</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"_Toc100784604"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"_Toc100784605"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1.资金管理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"_Toc100784606"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2.组织实施</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"_Toc100784608"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1.产出数量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"_Toc100784609"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2.产出质量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"_Toc100784610"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3.产出时效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"_Toc100784611"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4.产出成本</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"_Toc100784612"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"_Toc100784613"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1.项目效益</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5"/>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"_Toc100784614" </w:instrText>
          </w:r>
          <w:r>
            <w:rPr>
              <w:rFonts w:hint="default" w:ascii="Times New Roman" w:hAnsi="Times New Roman" w:cs="Times New Roman"/>
              <w:color w:val="auto"/>
              <w:highlight w:val="none"/>
            </w:rPr>
            <w:fldChar w:fldCharType="separate"/>
          </w:r>
          <w:r>
            <w:rPr>
              <w:rStyle w:val="13"/>
              <w:rFonts w:hint="default" w:ascii="Times New Roman" w:hAnsi="Times New Roman" w:cs="Times New Roman"/>
              <w:color w:val="auto"/>
              <w:highlight w:val="none"/>
            </w:rPr>
            <w:t>2. 满意度指标完成情况分析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"_Toc100784615"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五、预算执行进度与绩效指标偏差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"_Toc100784616"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六、主要经验及做法、存在的问题及原因分析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"_Toc100784617"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0"/>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"_Toc100784618"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"_Toc100784619"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8"/>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"_Toc100784620" </w:instrText>
          </w:r>
          <w:r>
            <w:rPr>
              <w:rFonts w:hint="default" w:ascii="Times New Roman" w:hAnsi="Times New Roman" w:cs="Times New Roman"/>
              <w:color w:val="auto"/>
              <w:highlight w:val="none"/>
            </w:rPr>
            <w:fldChar w:fldCharType="separate"/>
          </w:r>
          <w:r>
            <w:rPr>
              <w:rStyle w:val="13"/>
              <w:rFonts w:hint="default" w:ascii="Times New Roman" w:hAnsi="Times New Roman" w:eastAsia="仿宋" w:cs="Times New Roman"/>
              <w:color w:val="auto"/>
              <w:highlight w:val="none"/>
              <w:lang w:bidi="en-US"/>
            </w:rPr>
            <w:t>八、有关建议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0" w:num="1"/>
          <w:rtlGutter w:val="0"/>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0" w:name="_Toc67911601"/>
      <w:bookmarkStart w:id="1" w:name="_Toc100784583"/>
      <w:r>
        <w:rPr>
          <w:rFonts w:hint="default" w:ascii="Times New Roman" w:hAnsi="Times New Roman" w:eastAsia="仿宋" w:cs="Times New Roman"/>
          <w:color w:val="auto"/>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color w:val="auto"/>
          <w:sz w:val="32"/>
          <w:szCs w:val="32"/>
          <w:highlight w:val="none"/>
          <w:lang w:val="en-US" w:eastAsia="zh-CN" w:bidi="en-US"/>
        </w:rPr>
        <w:t>（一）项目概况</w:t>
      </w:r>
      <w:bookmarkEnd w:id="2"/>
      <w:bookmarkEnd w:id="3"/>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w:t>
      </w:r>
      <w:r>
        <w:rPr>
          <w:rFonts w:hint="eastAsia" w:ascii="Times New Roman" w:hAnsi="Times New Roman" w:cs="Times New Roman"/>
          <w:color w:val="auto"/>
          <w:highlight w:val="none"/>
          <w:lang w:val="en-US" w:eastAsia="zh-CN"/>
        </w:rPr>
        <w:t>市财政局下发《2022年自治区农村综合改革转移支付预算资金的通知》乌财农【2021】</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128号</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关于下达2022年自治区农村综合改革转移支付预算资金的通知</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乌财农【2022】80号、县财政下发《关于下达2022年自治区农村综合改革转移支付预算资金的通知》（县财综发【2022】7号），《关于调整2022年自治区农村综合改革转移支付预算资金（项目部分）的通知》（县财综发【2022】161号），下达2022年自治区农村综合改革转移支付预算资金100万元，用于托里乡白建沟村新居绿化装饰及文化长廊）</w:t>
      </w:r>
      <w:r>
        <w:rPr>
          <w:rFonts w:hint="default" w:ascii="Times New Roman" w:hAnsi="Times New Roman" w:cs="Times New Roman"/>
          <w:color w:val="auto"/>
          <w:highlight w:val="none"/>
        </w:rPr>
        <w:t>项目</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基本情况：新居绿化带围栏覆盖巷道数8条，塑胶跑道长度1公里，新居LED宣传电子屏5*7米。本工程均已完成</w:t>
      </w:r>
      <w:r>
        <w:rPr>
          <w:rFonts w:hint="default" w:ascii="Times New Roman" w:hAnsi="Times New Roman" w:cs="Times New Roman"/>
          <w:color w:val="auto"/>
          <w:highlight w:val="none"/>
        </w:rPr>
        <w:t>。</w:t>
      </w:r>
    </w:p>
    <w:p>
      <w:pPr>
        <w:spacing w:line="360" w:lineRule="auto"/>
        <w:ind w:firstLine="560"/>
        <w:jc w:val="both"/>
        <w:rPr>
          <w:rFonts w:hint="default" w:ascii="Times New Roman" w:hAnsi="Times New Roman" w:cs="Times New Roman"/>
          <w:color w:val="auto"/>
          <w:highlight w:val="none"/>
        </w:rPr>
      </w:pPr>
      <w:r>
        <w:rPr>
          <w:rFonts w:hint="default" w:ascii="Times New Roman" w:hAnsi="Times New Roman" w:cs="Times New Roman"/>
          <w:color w:val="auto"/>
          <w:highlight w:val="none"/>
        </w:rPr>
        <w:t>经</w:t>
      </w:r>
      <w:r>
        <w:rPr>
          <w:rFonts w:hint="default" w:ascii="Times New Roman" w:hAnsi="Times New Roman" w:cs="Times New Roman"/>
          <w:color w:val="auto"/>
          <w:highlight w:val="none"/>
          <w:lang w:val="en-US" w:eastAsia="zh-CN"/>
        </w:rPr>
        <w:t>乌财农【2021】</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128号</w:t>
      </w:r>
      <w:r>
        <w:rPr>
          <w:rFonts w:hint="default" w:ascii="Times New Roman" w:hAnsi="Times New Roman" w:cs="Times New Roman"/>
          <w:color w:val="auto"/>
          <w:highlight w:val="none"/>
        </w:rPr>
        <w:t>）号文件批准，项目系2022自治区资金，共安排预算</w:t>
      </w:r>
      <w:r>
        <w:rPr>
          <w:rFonts w:hint="default" w:ascii="Times New Roman" w:hAnsi="Times New Roman" w:cs="Times New Roman"/>
          <w:color w:val="auto"/>
          <w:highlight w:val="none"/>
          <w:lang w:val="en-US" w:eastAsia="zh-CN"/>
        </w:rPr>
        <w:t>100</w:t>
      </w:r>
      <w:r>
        <w:rPr>
          <w:rFonts w:hint="default" w:ascii="Times New Roman" w:hAnsi="Times New Roman" w:cs="Times New Roman"/>
          <w:color w:val="auto"/>
          <w:highlight w:val="none"/>
        </w:rPr>
        <w:t>万元，于2022年年中追加项目，</w:t>
      </w:r>
      <w:r>
        <w:rPr>
          <w:rFonts w:hint="default" w:ascii="Times New Roman" w:hAnsi="Times New Roman" w:cs="Times New Roman"/>
          <w:color w:val="auto"/>
          <w:highlight w:val="none"/>
          <w:lang w:val="en-US" w:eastAsia="zh-CN"/>
        </w:rPr>
        <w:t>下达2022年自治区农村综合改革转移支付预算资金100万元，白建沟村新居绿化装饰及长廊项目总预算资金为100万元，资金到位75.26517万元，资金到位及时，截至</w:t>
      </w:r>
      <w:r>
        <w:rPr>
          <w:rFonts w:hint="default" w:ascii="Times New Roman" w:hAnsi="Times New Roman" w:cs="Times New Roman"/>
          <w:color w:val="auto"/>
          <w:highlight w:val="none"/>
        </w:rPr>
        <w:t>年中</w:t>
      </w:r>
      <w:r>
        <w:rPr>
          <w:rFonts w:hint="eastAsia" w:ascii="Times New Roman" w:hAnsi="Times New Roman" w:cs="Times New Roman"/>
          <w:color w:val="auto"/>
          <w:highlight w:val="none"/>
          <w:lang w:val="en-US" w:eastAsia="zh-CN"/>
        </w:rPr>
        <w:t>未</w:t>
      </w:r>
      <w:r>
        <w:rPr>
          <w:rFonts w:hint="default" w:ascii="Times New Roman" w:hAnsi="Times New Roman" w:cs="Times New Roman"/>
          <w:color w:val="auto"/>
          <w:highlight w:val="none"/>
        </w:rPr>
        <w:t>对资金进行调减</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调减</w:t>
      </w:r>
      <w:r>
        <w:rPr>
          <w:rFonts w:hint="default" w:ascii="Times New Roman" w:hAnsi="Times New Roman" w:cs="Times New Roman"/>
          <w:color w:val="auto"/>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4" w:name="_Toc100784585"/>
      <w:bookmarkStart w:id="5" w:name="_Toc67911603"/>
      <w:r>
        <w:rPr>
          <w:rFonts w:hint="default" w:ascii="Times New Roman" w:hAnsi="Times New Roman" w:eastAsia="仿宋" w:cs="Times New Roman"/>
          <w:color w:val="auto"/>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color w:val="auto"/>
          <w:szCs w:val="28"/>
          <w:highlight w:val="none"/>
        </w:rPr>
        <w:t>〔2018〕56号</w:t>
      </w:r>
      <w:bookmarkEnd w:id="6"/>
      <w:r>
        <w:rPr>
          <w:rFonts w:hint="default"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szCs w:val="28"/>
          <w:highlight w:val="none"/>
        </w:rPr>
        <w:t>该项目绩效目标为</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新居绿化带围栏覆盖巷道数8条，新居LED宣传电子屏5*7米，塑胶跑道长度1公里，农村公益设施建设数量4个。</w:t>
      </w:r>
      <w:bookmarkStart w:id="7" w:name="_Toc67911604"/>
      <w:bookmarkStart w:id="8" w:name="_Toc10078458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color w:val="auto"/>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1" w:name="_Toc100784588"/>
      <w:r>
        <w:rPr>
          <w:rFonts w:hint="default" w:ascii="Times New Roman" w:hAnsi="Times New Roman" w:eastAsia="仿宋" w:cs="Times New Roman"/>
          <w:color w:val="auto"/>
          <w:sz w:val="32"/>
          <w:szCs w:val="32"/>
          <w:highlight w:val="none"/>
          <w:lang w:bidi="en-US"/>
        </w:rPr>
        <w:t>1.评价目的</w:t>
      </w:r>
      <w:bookmarkEnd w:id="11"/>
    </w:p>
    <w:p>
      <w:pPr>
        <w:spacing w:line="360" w:lineRule="auto"/>
        <w:ind w:firstLine="560"/>
        <w:rPr>
          <w:rFonts w:hint="default" w:ascii="Times New Roman" w:hAnsi="Times New Roman" w:cs="Times New Roman"/>
          <w:b/>
          <w:bCs/>
          <w:color w:val="auto"/>
          <w:highlight w:val="none"/>
        </w:rPr>
      </w:pPr>
      <w:r>
        <w:rPr>
          <w:rFonts w:hint="default"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2" w:name="_Toc100784589"/>
      <w:r>
        <w:rPr>
          <w:rFonts w:hint="default" w:ascii="Times New Roman" w:hAnsi="Times New Roman" w:eastAsia="仿宋" w:cs="Times New Roman"/>
          <w:color w:val="auto"/>
          <w:sz w:val="32"/>
          <w:szCs w:val="32"/>
          <w:highlight w:val="none"/>
          <w:lang w:bidi="en-US"/>
        </w:rPr>
        <w:t>2.评价对象和范围</w:t>
      </w:r>
      <w:bookmarkEnd w:id="1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（1）绩效评价的对象：</w:t>
      </w:r>
      <w:r>
        <w:rPr>
          <w:rFonts w:hint="eastAsia" w:ascii="Times New Roman" w:hAnsi="Times New Roman" w:cs="Times New Roman"/>
          <w:color w:val="auto"/>
          <w:highlight w:val="none"/>
          <w:lang w:val="en-US" w:eastAsia="zh-CN"/>
        </w:rPr>
        <w:t>乌鲁木齐县两居工程配套项目托里乡白建沟村基础设施一标段</w:t>
      </w:r>
      <w:r>
        <w:rPr>
          <w:rFonts w:hint="default" w:ascii="Times New Roman" w:hAnsi="Times New Roman" w:cs="Times New Roman"/>
          <w:color w:val="auto"/>
          <w:highlight w:val="none"/>
        </w:rPr>
        <w:t xml:space="preserve">项目 </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（2）绩效评价范围：</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1.项目范围：</w:t>
      </w:r>
      <w:r>
        <w:rPr>
          <w:rFonts w:hint="eastAsia" w:ascii="Times New Roman" w:hAnsi="Times New Roman" w:cs="Times New Roman"/>
          <w:color w:val="auto"/>
          <w:highlight w:val="none"/>
          <w:lang w:val="en-US" w:eastAsia="zh-CN"/>
        </w:rPr>
        <w:t>乌鲁木齐县两居工程配套项目托里乡白建沟村基础设施一标段</w:t>
      </w:r>
      <w:r>
        <w:rPr>
          <w:rFonts w:hint="default" w:ascii="Times New Roman" w:hAnsi="Times New Roman" w:cs="Times New Roman"/>
          <w:color w:val="auto"/>
          <w:highlight w:val="none"/>
        </w:rPr>
        <w:t>的完成情况、资金投入的运行情况、项目实施后产生的绩效及影响效果。</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13" w:name="_Toc100784590"/>
      <w:bookmarkStart w:id="14" w:name="_Toc67911606"/>
      <w:bookmarkStart w:id="15" w:name="_Hlk67586765"/>
      <w:r>
        <w:rPr>
          <w:rFonts w:hint="default" w:ascii="Times New Roman" w:hAnsi="Times New Roman" w:eastAsia="仿宋" w:cs="Times New Roman"/>
          <w:color w:val="auto"/>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6" w:name="_Toc100784591"/>
      <w:r>
        <w:rPr>
          <w:rFonts w:hint="default" w:ascii="Times New Roman" w:hAnsi="Times New Roman" w:eastAsia="仿宋" w:cs="Times New Roman"/>
          <w:color w:val="auto"/>
          <w:sz w:val="32"/>
          <w:szCs w:val="32"/>
          <w:highlight w:val="none"/>
          <w:lang w:bidi="en-US"/>
        </w:rPr>
        <w:t>1.评价原则</w:t>
      </w:r>
      <w:bookmarkEnd w:id="16"/>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（3）分级分类原则：根据评价对象特点分类组织实施。</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根据以上原则，绩效评价应遵循如下要求：</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（2）保证评价结果的真实性、公正性，提高评价报告的公信力。</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7" w:name="_Toc100784592"/>
      <w:r>
        <w:rPr>
          <w:rFonts w:hint="default" w:ascii="Times New Roman" w:hAnsi="Times New Roman" w:eastAsia="仿宋" w:cs="Times New Roman"/>
          <w:color w:val="auto"/>
          <w:sz w:val="32"/>
          <w:szCs w:val="32"/>
          <w:highlight w:val="none"/>
          <w:lang w:bidi="en-US"/>
        </w:rPr>
        <w:t>2.评价指标体系</w:t>
      </w:r>
      <w:bookmarkEnd w:id="17"/>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本项目的评价指标体系建立如附件所示。</w:t>
      </w: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 xml:space="preserve">  项目支出绩效评价指标体系</w:t>
      </w:r>
    </w:p>
    <w:tbl>
      <w:tblPr>
        <w:tblStyle w:val="11"/>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①项目立项是否符合国家法律法规、国民经济发展规划和相关政策；</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②项目立项是否符合行业发展规划和政策要求；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③项目立项是否与部门职责范围相符，属于部门履职所需；</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①项目是否按照规定的程序申请设立；</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②审批文件、材料是否符合相关要求；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（如未设定预算绩效目标，也可考核其他工作任务目标）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①项目是否有绩效目标；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②项目绩效目标与实际工作内容是否具有相关性；</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①是否将项目绩效目标细化分解为具体的绩效指标；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②是否通过清晰、可衡量的指标值予以体现；</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③是否与项目目标任务数或计划数相对应。</w:t>
            </w:r>
            <w:r>
              <w:rPr>
                <w:rFonts w:hint="default" w:ascii="Times New Roman" w:hAnsi="Times New Roman" w:eastAsia="宋体" w:cs="Times New Roman"/>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①预算编制是否经过科学论证；</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②预算内容与项目内容是否匹配；</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③预算额度测算依据是否充分，是否按照标准编制；</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①预算资金分配依据是否充分；</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预算执行率=（实际支出资金/实际到位资金）×100%。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②资金的拨付是否有完整的审批程序和手续；</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③是否符合项目预算批复或合同规定的用途；</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①是否已制定或具有相应的财务和业务管理制度；</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①是否遵守相关法律法规和相关管理规定；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②项目调整及支出调整手续是否完备；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③项目合同书、验收报告、技术鉴定等资料是否齐全并及时归档；</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塑胶跑道长度</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实际完成率=（实际产出数/计划产出数）×100%。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绿化围栏巷道数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LED宣传电子屏</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工程验收合格率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支付资金执行率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实际完成时间：项目实施单位完成该项目实际所耗用的时间。</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村民代表研究讨论工作方案及时率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成本节约率=[（计划成本-实际成本）/计划成本]×100%。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实际成本：项目实施单位如期、保质、保量完成既定工作目标实际所耗费的支出。</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项目收益人数</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生态效益指标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新居人居环境</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收益农牧民满意度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8" w:name="_Toc100784593"/>
      <w:bookmarkStart w:id="19" w:name="_Hlk67586038"/>
      <w:r>
        <w:rPr>
          <w:rFonts w:hint="default" w:ascii="Times New Roman" w:hAnsi="Times New Roman" w:eastAsia="仿宋" w:cs="Times New Roman"/>
          <w:color w:val="auto"/>
          <w:sz w:val="32"/>
          <w:szCs w:val="32"/>
          <w:highlight w:val="none"/>
          <w:lang w:bidi="en-US"/>
        </w:rPr>
        <w:t>3.评价方法</w:t>
      </w:r>
      <w:bookmarkEnd w:id="18"/>
    </w:p>
    <w:bookmarkEnd w:id="19"/>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（1）成本效益分析法。是指将投入与产出、效益进行关联性分析的方法。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（4）最低成本法。是指在绩效目标确定的前提下，成本最小者为优的方法。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（7）其他评价方法。</w:t>
      </w:r>
    </w:p>
    <w:p>
      <w:pPr>
        <w:spacing w:line="360" w:lineRule="auto"/>
        <w:ind w:firstLine="560"/>
        <w:rPr>
          <w:rFonts w:hint="default" w:ascii="Times New Roman" w:hAnsi="Times New Roman" w:cs="Times New Roman"/>
          <w:color w:val="auto"/>
          <w:highlight w:val="none"/>
          <w:lang w:val="en-US"/>
        </w:rPr>
      </w:pPr>
      <w:r>
        <w:rPr>
          <w:rFonts w:hint="default" w:ascii="Times New Roman" w:hAnsi="Times New Roman" w:cs="Times New Roman"/>
          <w:color w:val="auto"/>
          <w:highlight w:val="none"/>
        </w:rPr>
        <w:t>根据本项目（</w:t>
      </w:r>
      <w:r>
        <w:rPr>
          <w:rFonts w:hint="eastAsia" w:ascii="Times New Roman" w:hAnsi="Times New Roman" w:cs="Times New Roman"/>
          <w:color w:val="auto"/>
          <w:highlight w:val="none"/>
          <w:lang w:val="en-US" w:eastAsia="zh-CN"/>
        </w:rPr>
        <w:t>乌鲁木齐县两居工程配套项目托里乡白建沟村基础设施一标段</w:t>
      </w:r>
      <w:r>
        <w:rPr>
          <w:rFonts w:hint="default" w:ascii="Times New Roman" w:hAnsi="Times New Roman" w:cs="Times New Roman"/>
          <w:color w:val="auto"/>
          <w:highlight w:val="none"/>
        </w:rPr>
        <w:t>）的特点，本次评价主要采用公众评判法，</w:t>
      </w:r>
      <w:r>
        <w:rPr>
          <w:rFonts w:hint="eastAsia" w:ascii="Times New Roman" w:hAnsi="Times New Roman" w:cs="Times New Roman"/>
          <w:color w:val="auto"/>
          <w:highlight w:val="none"/>
          <w:lang w:val="en-US" w:eastAsia="zh-CN"/>
        </w:rPr>
        <w:t>我单位采用公众评判法，通过发放回访表的形式，对该项目进行一个抽样调查，通过调查反应，本项目</w:t>
      </w:r>
      <w:r>
        <w:rPr>
          <w:rFonts w:hint="default" w:ascii="Times New Roman" w:hAnsi="Times New Roman" w:cs="Times New Roman"/>
          <w:bCs/>
          <w:color w:val="auto"/>
          <w:szCs w:val="28"/>
          <w:highlight w:val="none"/>
        </w:rPr>
        <w:t>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增强村集体经济实力，增加村集体经济收入，改善村民们的生活。</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20" w:name="_Toc100784594"/>
      <w:r>
        <w:rPr>
          <w:rFonts w:hint="default" w:ascii="Times New Roman" w:hAnsi="Times New Roman" w:eastAsia="仿宋" w:cs="Times New Roman"/>
          <w:color w:val="auto"/>
          <w:sz w:val="32"/>
          <w:szCs w:val="32"/>
          <w:highlight w:val="none"/>
          <w:lang w:bidi="en-US"/>
        </w:rPr>
        <w:t>4.评价标准</w:t>
      </w:r>
      <w:bookmarkEnd w:id="20"/>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在上述评价标准的基础上，本次评价依据以下文件为重要指导和准绳：</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《中共中央国务院关于全面实施预算绩效管理的意见》（中发〔2018〕34号）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pPr>
        <w:spacing w:line="360" w:lineRule="auto"/>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eastAsia" w:ascii="Times New Roman" w:hAnsi="Times New Roman" w:cs="Times New Roman"/>
          <w:color w:val="auto"/>
          <w:highlight w:val="none"/>
          <w:lang w:val="en-US" w:eastAsia="zh-CN"/>
        </w:rPr>
        <w:t>《2022年自治区农村综合改革转移支付预算资金的通知》</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乌财农</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128号</w:t>
      </w:r>
      <w:r>
        <w:rPr>
          <w:rFonts w:hint="default" w:ascii="Times New Roman" w:hAnsi="Times New Roman" w:cs="Times New Roman"/>
          <w:color w:val="auto"/>
          <w:highlight w:val="none"/>
        </w:rPr>
        <w:t>）</w:t>
      </w:r>
    </w:p>
    <w:p>
      <w:pPr>
        <w:spacing w:line="360" w:lineRule="auto"/>
        <w:rPr>
          <w:rFonts w:hint="eastAsia" w:ascii="Times New Roman" w:hAnsi="Times New Roman" w:cs="Times New Roman"/>
          <w:color w:val="auto"/>
          <w:highlight w:val="none"/>
          <w:lang w:val="en-US" w:eastAsia="zh-CN"/>
        </w:rPr>
      </w:pPr>
      <w:r>
        <w:rPr>
          <w:rFonts w:hint="default" w:ascii="Times New Roman" w:hAnsi="Times New Roman" w:eastAsia="黑体" w:cs="Times New Roman"/>
          <w:color w:val="auto"/>
          <w:szCs w:val="28"/>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关于下达2022年自治区农村综合改革转移支付预算资金的通知</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乌财农</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80号</w:t>
      </w:r>
      <w:r>
        <w:rPr>
          <w:rFonts w:hint="eastAsia" w:ascii="Times New Roman" w:hAnsi="Times New Roman" w:cs="Times New Roman"/>
          <w:color w:val="auto"/>
          <w:highlight w:val="none"/>
          <w:lang w:eastAsia="zh-CN"/>
        </w:rPr>
        <w:t>）</w:t>
      </w:r>
    </w:p>
    <w:p>
      <w:pPr>
        <w:spacing w:line="360" w:lineRule="auto"/>
        <w:ind w:firstLine="560"/>
        <w:rPr>
          <w:rFonts w:hint="eastAsia" w:ascii="Times New Roman" w:hAnsi="Times New Roman" w:cs="Times New Roman"/>
          <w:color w:val="auto"/>
          <w:highlight w:val="none"/>
          <w:lang w:val="en-US" w:eastAsia="zh-CN"/>
        </w:rPr>
      </w:pPr>
      <w:r>
        <w:rPr>
          <w:rFonts w:hint="default" w:ascii="Times New Roman" w:hAnsi="Times New Roman" w:eastAsia="黑体" w:cs="Times New Roman"/>
          <w:color w:val="auto"/>
          <w:szCs w:val="28"/>
          <w:highlight w:val="none"/>
        </w:rPr>
        <w:t>·</w:t>
      </w:r>
      <w:r>
        <w:rPr>
          <w:rFonts w:hint="eastAsia" w:ascii="Times New Roman" w:hAnsi="Times New Roman" w:cs="Times New Roman"/>
          <w:color w:val="auto"/>
          <w:highlight w:val="none"/>
          <w:lang w:val="en-US" w:eastAsia="zh-CN"/>
        </w:rPr>
        <w:t>县财政下发《关于下达2022年自治区农村综合改革转移支付预算资金的通知》（县财综发</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7号）</w:t>
      </w:r>
    </w:p>
    <w:p>
      <w:pPr>
        <w:spacing w:line="360" w:lineRule="auto"/>
        <w:ind w:firstLine="56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《关于调整2022年自治区农村综合改革转移支付预算资金（项目部分）的通知》（县财综发</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161号）</w:t>
      </w:r>
      <w:r>
        <w:rPr>
          <w:rFonts w:hint="default" w:ascii="Times New Roman" w:hAnsi="Times New Roman" w:cs="Times New Roman"/>
          <w:color w:val="auto"/>
          <w:highlight w:val="none"/>
          <w:lang w:val="en-US" w:eastAsia="zh-CN"/>
        </w:rPr>
        <w:t xml:space="preserve"> </w:t>
      </w:r>
      <w:bookmarkStart w:id="21" w:name="_Toc100784595"/>
      <w:bookmarkStart w:id="22" w:name="_Toc6791160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643" w:firstLineChars="20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5"/>
          <w:rFonts w:hint="default" w:ascii="Times New Roman" w:hAnsi="Times New Roman" w:cs="Times New Roman"/>
          <w:color w:val="auto"/>
          <w:highlight w:val="none"/>
        </w:rPr>
        <w:footnoteReference w:id="0"/>
      </w:r>
      <w:r>
        <w:rPr>
          <w:rFonts w:hint="default" w:ascii="Times New Roman" w:hAnsi="Times New Roman" w:cs="Times New Roman"/>
          <w:color w:val="auto"/>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color w:val="auto"/>
          <w:sz w:val="36"/>
          <w:szCs w:val="36"/>
          <w:highlight w:val="none"/>
          <w:lang w:bidi="en-US"/>
        </w:rPr>
      </w:pP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color w:val="auto"/>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结合项目特点，制定符合项目实际的绩效评价指标体系及评分标准，通过数据采集、问卷调查及访谈等形式，对2022年</w:t>
      </w:r>
      <w:r>
        <w:rPr>
          <w:rFonts w:hint="eastAsia" w:ascii="Times New Roman" w:hAnsi="Times New Roman" w:cs="Times New Roman"/>
          <w:color w:val="auto"/>
          <w:szCs w:val="28"/>
          <w:highlight w:val="none"/>
          <w:lang w:val="en-US" w:eastAsia="zh-CN"/>
        </w:rPr>
        <w:t>白建沟村新居绿化装饰及文化长廊</w:t>
      </w:r>
      <w:r>
        <w:rPr>
          <w:rFonts w:hint="default" w:ascii="Times New Roman" w:hAnsi="Times New Roman" w:cs="Times New Roman"/>
          <w:color w:val="auto"/>
          <w:szCs w:val="28"/>
          <w:highlight w:val="none"/>
        </w:rPr>
        <w:t>项目进行客观评价，最终评分结果为：总分为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分，绩效评级为</w:t>
      </w:r>
      <w:r>
        <w:rPr>
          <w:rFonts w:hint="eastAsia" w:ascii="Times New Roman" w:hAnsi="Times New Roman" w:cs="Times New Roman"/>
          <w:color w:val="auto"/>
          <w:szCs w:val="28"/>
          <w:highlight w:val="none"/>
          <w:lang w:val="en-US" w:eastAsia="zh-CN"/>
        </w:rPr>
        <w:t>“优”</w:t>
      </w:r>
      <w:r>
        <w:rPr>
          <w:rFonts w:hint="default" w:ascii="Times New Roman" w:hAnsi="Times New Roman" w:cs="Times New Roman"/>
          <w:color w:val="auto"/>
          <w:szCs w:val="28"/>
          <w:highlight w:val="none"/>
        </w:rPr>
        <w:t>。</w:t>
      </w:r>
    </w:p>
    <w:p>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color w:val="auto"/>
          <w:szCs w:val="28"/>
          <w:highlight w:val="none"/>
          <w:lang w:val="en-US" w:eastAsia="zh-CN"/>
        </w:rPr>
        <w:t>白建沟村新居绿化装饰及文化长廊</w:t>
      </w:r>
      <w:r>
        <w:rPr>
          <w:rFonts w:hint="default" w:ascii="Times New Roman" w:hAnsi="Times New Roman" w:cs="Times New Roman"/>
          <w:color w:val="auto"/>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1"/>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塑胶跑道长度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绿化带围栏巷道数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LED电子屏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工程验收合格率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支付资金执行率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eastAsia="宋体" w:cs="Times New Roman"/>
                <w:color w:val="auto"/>
                <w:kern w:val="0"/>
                <w:sz w:val="22"/>
                <w:highlight w:val="none"/>
                <w:lang w:val="en-US" w:eastAsia="zh-CN"/>
              </w:rPr>
              <w:t>村民代表研究讨论工作方案及时率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可持续影响指标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收益农牧民满意度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bookmarkStart w:id="27" w:name="_Toc100784598"/>
            <w:bookmarkStart w:id="28" w:name="_Toc67911610"/>
            <w:r>
              <w:rPr>
                <w:rFonts w:hint="eastAsia" w:ascii="Times New Roman" w:hAnsi="Times New Roman" w:cs="Times New Roman"/>
                <w:b/>
                <w:bCs/>
                <w:color w:val="auto"/>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（二）主要绩效</w:t>
      </w:r>
      <w:bookmarkEnd w:id="27"/>
      <w:bookmarkEnd w:id="28"/>
    </w:p>
    <w:p>
      <w:pPr>
        <w:spacing w:line="360" w:lineRule="auto"/>
        <w:ind w:firstLine="548" w:firstLineChars="196"/>
        <w:rPr>
          <w:rFonts w:hint="default"/>
          <w:color w:val="auto"/>
          <w:highlight w:val="none"/>
          <w:lang w:val="en-US" w:eastAsia="zh-CN"/>
        </w:rPr>
      </w:pPr>
      <w:bookmarkStart w:id="29" w:name="_Toc100784599"/>
      <w:bookmarkStart w:id="30" w:name="_Toc67911611"/>
      <w:r>
        <w:rPr>
          <w:rFonts w:hint="default" w:ascii="Times New Roman" w:hAnsi="Times New Roman" w:cs="Times New Roman"/>
          <w:bCs/>
          <w:color w:val="auto"/>
          <w:szCs w:val="28"/>
          <w:highlight w:val="none"/>
        </w:rPr>
        <w:t>该项目资金区财政及时拨付，单位在此次评价期间内，有序完成设定目标的部分工作任务，</w:t>
      </w:r>
      <w:r>
        <w:rPr>
          <w:rFonts w:hint="eastAsia" w:ascii="Times New Roman" w:hAnsi="Times New Roman" w:cs="Times New Roman"/>
          <w:bCs/>
          <w:color w:val="auto"/>
          <w:szCs w:val="28"/>
          <w:highlight w:val="none"/>
          <w:lang w:val="en-US" w:eastAsia="zh-CN"/>
        </w:rPr>
        <w:t>塑胶跑道3.1公里、LED显示屏1个，</w:t>
      </w:r>
      <w:r>
        <w:rPr>
          <w:rFonts w:hint="default" w:ascii="Times New Roman" w:hAnsi="Times New Roman" w:cs="Times New Roman"/>
          <w:bCs/>
          <w:color w:val="auto"/>
          <w:szCs w:val="28"/>
          <w:highlight w:val="none"/>
        </w:rPr>
        <w:t>并配备有相应的设施，以确保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1" w:name="_Toc67911612"/>
      <w:bookmarkStart w:id="32" w:name="_Toc100784600"/>
      <w:r>
        <w:rPr>
          <w:rFonts w:hint="default" w:ascii="Times New Roman" w:hAnsi="Times New Roman" w:eastAsia="仿宋" w:cs="Times New Roman"/>
          <w:color w:val="auto"/>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项目决算指标由3个二级指标和6个三级指标构成，权重为20分，实际得分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3" w:name="_Toc100784601"/>
      <w:r>
        <w:rPr>
          <w:rFonts w:hint="default" w:ascii="Times New Roman" w:hAnsi="Times New Roman" w:eastAsia="仿宋" w:cs="Times New Roman"/>
          <w:color w:val="auto"/>
          <w:sz w:val="32"/>
          <w:szCs w:val="32"/>
          <w:highlight w:val="none"/>
          <w:lang w:bidi="en-US"/>
        </w:rPr>
        <w:t>1.项目立项</w:t>
      </w:r>
      <w:bookmarkEnd w:id="33"/>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立项依据充分性：</w:t>
      </w:r>
      <w:r>
        <w:rPr>
          <w:rFonts w:hint="default" w:ascii="Times New Roman" w:hAnsi="Times New Roman" w:cs="Times New Roman"/>
          <w:color w:val="auto"/>
          <w:highlight w:val="none"/>
        </w:rPr>
        <w:t>根据</w:t>
      </w:r>
      <w:r>
        <w:rPr>
          <w:rFonts w:hint="eastAsia" w:ascii="Times New Roman" w:hAnsi="Times New Roman" w:cs="Times New Roman"/>
          <w:color w:val="auto"/>
          <w:highlight w:val="none"/>
          <w:lang w:val="en-US" w:eastAsia="zh-CN"/>
        </w:rPr>
        <w:t>市财政局下发《2022年自治区农村综合改革转移支付预算资金的通知》乌财农【2021】</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128号</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关于下达2022年自治区农村综合改革转移支付预算资金的通知</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乌财农【2022】80号、县财政下发《关于下达2022年自治区农村综合改革转移支付预算资金的通知》（县财综发【2022】7号），《关于调整2022年自治区农村综合改革转移支付预算资金（项目部分）的通知》（县财综发【2022】161号），下达2022年自治区农村综合改革转移支付预算资金100万元，用于托里乡白建沟村新居绿化装饰及文化长廊）</w:t>
      </w:r>
      <w:r>
        <w:rPr>
          <w:rFonts w:hint="default" w:ascii="Times New Roman" w:hAnsi="Times New Roman" w:cs="Times New Roman"/>
          <w:color w:val="auto"/>
          <w:highlight w:val="none"/>
        </w:rPr>
        <w:t>项目</w:t>
      </w:r>
      <w:r>
        <w:rPr>
          <w:rFonts w:hint="eastAsia" w:ascii="Times New Roman" w:hAnsi="Times New Roman" w:cs="Times New Roman"/>
          <w:color w:val="auto"/>
          <w:highlight w:val="none"/>
          <w:lang w:eastAsia="zh-CN"/>
        </w:rPr>
        <w:t>。</w:t>
      </w:r>
      <w:r>
        <w:rPr>
          <w:rFonts w:hint="default" w:ascii="Times New Roman" w:hAnsi="Times New Roman" w:cs="Times New Roman"/>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立项程序规范性:</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项目按照规定的程序申请设立，审批文件、材料符合相关要求，故立项程序规范，得</w:t>
      </w:r>
      <w:r>
        <w:rPr>
          <w:rFonts w:hint="eastAsia" w:ascii="Times New Roman" w:hAnsi="Times New Roman" w:cs="Times New Roman"/>
          <w:color w:val="auto"/>
          <w:szCs w:val="28"/>
          <w:highlight w:val="none"/>
          <w:lang w:val="en-US" w:eastAsia="zh-CN"/>
        </w:rPr>
        <w:t>4</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综上，该指标满分8分，得分</w:t>
      </w:r>
      <w:r>
        <w:rPr>
          <w:rFonts w:hint="eastAsia" w:ascii="Times New Roman" w:hAnsi="Times New Roman" w:cs="Times New Roman"/>
          <w:b/>
          <w:color w:val="auto"/>
          <w:kern w:val="0"/>
          <w:szCs w:val="28"/>
          <w:highlight w:val="none"/>
          <w:lang w:val="en-US" w:eastAsia="zh-CN"/>
        </w:rPr>
        <w:t>8</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4" w:name="_Toc100784602"/>
      <w:r>
        <w:rPr>
          <w:rFonts w:hint="default" w:ascii="Times New Roman" w:hAnsi="Times New Roman" w:eastAsia="仿宋" w:cs="Times New Roman"/>
          <w:color w:val="auto"/>
          <w:sz w:val="32"/>
          <w:szCs w:val="32"/>
          <w:highlight w:val="none"/>
          <w:lang w:bidi="en-US"/>
        </w:rPr>
        <w:t>2.绩效目标</w:t>
      </w:r>
      <w:bookmarkEnd w:id="3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绩效目标合理性：</w:t>
      </w:r>
      <w:r>
        <w:rPr>
          <w:rFonts w:hint="default" w:ascii="Times New Roman" w:hAnsi="Times New Roman" w:cs="Times New Roman"/>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spacing w:line="360" w:lineRule="auto"/>
        <w:ind w:firstLine="551" w:firstLineChars="196"/>
        <w:jc w:val="left"/>
        <w:rPr>
          <w:rFonts w:hint="default" w:ascii="Times New Roman" w:hAnsi="Times New Roman" w:cs="Times New Roman"/>
          <w:color w:val="auto"/>
          <w:kern w:val="0"/>
          <w:szCs w:val="28"/>
          <w:highlight w:val="none"/>
        </w:rPr>
      </w:pPr>
      <w:r>
        <w:rPr>
          <w:rFonts w:hint="default" w:ascii="Times New Roman" w:hAnsi="Times New Roman" w:cs="Times New Roman"/>
          <w:b/>
          <w:color w:val="auto"/>
          <w:kern w:val="0"/>
          <w:szCs w:val="28"/>
          <w:highlight w:val="none"/>
        </w:rPr>
        <w:t>绩效目标明确性：</w:t>
      </w:r>
      <w:r>
        <w:rPr>
          <w:rFonts w:hint="default" w:ascii="Times New Roman" w:hAnsi="Times New Roman" w:cs="Times New Roman"/>
          <w:color w:val="auto"/>
          <w:kern w:val="0"/>
          <w:szCs w:val="28"/>
          <w:highlight w:val="none"/>
          <w:lang w:val="en-US" w:eastAsia="zh-CN"/>
        </w:rPr>
        <w:t>托</w:t>
      </w:r>
      <w:r>
        <w:rPr>
          <w:rFonts w:hint="eastAsia" w:ascii="Times New Roman" w:hAnsi="Times New Roman" w:cs="Times New Roman"/>
          <w:color w:val="auto"/>
          <w:kern w:val="0"/>
          <w:szCs w:val="28"/>
          <w:highlight w:val="none"/>
          <w:lang w:val="en-US" w:eastAsia="zh-CN"/>
        </w:rPr>
        <w:t>里乡白建沟村新居绿化装饰及文化长廊项目，项目将完成</w:t>
      </w:r>
      <w:r>
        <w:rPr>
          <w:rFonts w:hint="eastAsia" w:ascii="Times New Roman" w:hAnsi="Times New Roman" w:cs="Times New Roman"/>
          <w:bCs/>
          <w:color w:val="auto"/>
          <w:szCs w:val="28"/>
          <w:highlight w:val="none"/>
          <w:lang w:val="en-US" w:eastAsia="zh-CN"/>
        </w:rPr>
        <w:t>塑胶跑道3.1公里、LED显示屏1个，</w:t>
      </w:r>
      <w:r>
        <w:rPr>
          <w:rFonts w:hint="default" w:ascii="Times New Roman" w:hAnsi="Times New Roman" w:cs="Times New Roman"/>
          <w:bCs/>
          <w:color w:val="auto"/>
          <w:szCs w:val="28"/>
          <w:highlight w:val="none"/>
        </w:rPr>
        <w:t>并配备有相应的设施，以确保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w:t>
      </w:r>
      <w:r>
        <w:rPr>
          <w:rFonts w:hint="eastAsia" w:ascii="Times New Roman" w:hAnsi="Times New Roman" w:cs="Times New Roman"/>
          <w:color w:val="auto"/>
          <w:kern w:val="0"/>
          <w:szCs w:val="28"/>
          <w:highlight w:val="none"/>
          <w:lang w:val="en-US" w:eastAsia="zh-CN"/>
        </w:rPr>
        <w:t>其中，</w:t>
      </w:r>
      <w:r>
        <w:rPr>
          <w:rFonts w:hint="default" w:ascii="Times New Roman" w:hAnsi="Times New Roman" w:cs="Times New Roman"/>
          <w:color w:val="auto"/>
          <w:kern w:val="0"/>
          <w:szCs w:val="28"/>
          <w:highlight w:val="none"/>
        </w:rPr>
        <w:t>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5" w:name="_Toc100784603"/>
      <w:r>
        <w:rPr>
          <w:rFonts w:hint="default" w:ascii="Times New Roman" w:hAnsi="Times New Roman" w:eastAsia="仿宋" w:cs="Times New Roman"/>
          <w:color w:val="auto"/>
          <w:sz w:val="32"/>
          <w:szCs w:val="32"/>
          <w:highlight w:val="none"/>
          <w:lang w:bidi="en-US"/>
        </w:rPr>
        <w:t>3.资金投入</w:t>
      </w:r>
      <w:bookmarkEnd w:id="35"/>
    </w:p>
    <w:p>
      <w:pPr>
        <w:autoSpaceDE w:val="0"/>
        <w:spacing w:line="600" w:lineRule="exact"/>
        <w:ind w:firstLine="562"/>
        <w:jc w:val="left"/>
        <w:rPr>
          <w:rFonts w:hint="default" w:ascii="Times New Roman" w:hAnsi="Times New Roman" w:cs="Times New Roman"/>
          <w:bCs/>
          <w:color w:val="auto"/>
          <w:kern w:val="0"/>
          <w:szCs w:val="28"/>
          <w:highlight w:val="none"/>
        </w:rPr>
      </w:pPr>
      <w:r>
        <w:rPr>
          <w:rFonts w:hint="default" w:ascii="Times New Roman" w:hAnsi="Times New Roman" w:cs="Times New Roman"/>
          <w:b/>
          <w:color w:val="auto"/>
          <w:kern w:val="0"/>
          <w:szCs w:val="28"/>
          <w:highlight w:val="none"/>
        </w:rPr>
        <w:t>预算编制科学性：</w:t>
      </w:r>
      <w:r>
        <w:rPr>
          <w:rFonts w:hint="default" w:ascii="Times New Roman" w:hAnsi="Times New Roman" w:cs="Times New Roman"/>
          <w:color w:val="auto"/>
          <w:highlight w:val="none"/>
          <w:lang w:val="en-US" w:eastAsia="zh-CN"/>
        </w:rPr>
        <w:t>白建沟村新居绿化装饰及长廊项目总预算资金为100万元</w:t>
      </w:r>
      <w:r>
        <w:rPr>
          <w:rFonts w:hint="eastAsia" w:ascii="Times New Roman" w:hAnsi="Times New Roman" w:cs="Times New Roman"/>
          <w:color w:val="auto"/>
          <w:highlight w:val="none"/>
          <w:lang w:val="en-US" w:eastAsia="zh-CN"/>
        </w:rPr>
        <w:t>。改造绿化带边铁艺围栏1公里预计5.5万元、室外LED大屏预计67万元、塑胶跑道1000平方米预计20万元，树木装饰彩灯4座、哈萨克特色景观小品1组及相关配套设施设计费3万元，项目施工图设计4.5万元。我单位</w:t>
      </w:r>
      <w:r>
        <w:rPr>
          <w:rFonts w:hint="default" w:ascii="Times New Roman" w:hAnsi="Times New Roman" w:cs="Times New Roman"/>
          <w:color w:val="auto"/>
          <w:kern w:val="0"/>
          <w:szCs w:val="28"/>
          <w:highlight w:val="none"/>
          <w:lang w:val="en-US" w:eastAsia="zh-CN"/>
        </w:rPr>
        <w:t>加强对预算</w:t>
      </w:r>
      <w:r>
        <w:rPr>
          <w:rFonts w:hint="eastAsia" w:ascii="Times New Roman" w:hAnsi="Times New Roman" w:cs="Times New Roman"/>
          <w:color w:val="auto"/>
          <w:kern w:val="0"/>
          <w:szCs w:val="28"/>
          <w:highlight w:val="none"/>
          <w:lang w:val="en-US" w:eastAsia="zh-CN"/>
        </w:rPr>
        <w:t>编制工作的重视程度，争取多人参与，做好对本项目的决算的财务分析，结合当前经济发展的实际情况，做好形式预判。结合现有项目的工期，建设进度细化预算指标，为下一步预算编制打好基础</w:t>
      </w:r>
      <w:r>
        <w:rPr>
          <w:rFonts w:hint="default" w:ascii="Times New Roman" w:hAnsi="Times New Roman" w:cs="Times New Roman"/>
          <w:b/>
          <w:color w:val="auto"/>
          <w:kern w:val="0"/>
          <w:szCs w:val="28"/>
          <w:highlight w:val="none"/>
        </w:rPr>
        <w:t>。</w:t>
      </w:r>
      <w:r>
        <w:rPr>
          <w:rFonts w:hint="eastAsia" w:ascii="Times New Roman" w:hAnsi="Times New Roman" w:eastAsia="仿宋_GB2312" w:cs="Times New Roman"/>
          <w:i w:val="0"/>
          <w:iCs w:val="0"/>
          <w:caps w:val="0"/>
          <w:color w:val="auto"/>
          <w:spacing w:val="0"/>
          <w:kern w:val="0"/>
          <w:sz w:val="28"/>
          <w:szCs w:val="28"/>
          <w:highlight w:val="none"/>
          <w:shd w:val="clear"/>
        </w:rPr>
        <w:t>要及早启动，积极推进预算编制趋于严密。为了使年度财政预算更科学、合理，要及时督促财政部门提前着手预算编制</w:t>
      </w:r>
      <w:r>
        <w:rPr>
          <w:rFonts w:hint="eastAsia" w:ascii="Times New Roman" w:hAnsi="Times New Roman" w:cs="Times New Roman"/>
          <w:i w:val="0"/>
          <w:iCs w:val="0"/>
          <w:caps w:val="0"/>
          <w:color w:val="auto"/>
          <w:spacing w:val="0"/>
          <w:kern w:val="0"/>
          <w:sz w:val="28"/>
          <w:szCs w:val="28"/>
          <w:highlight w:val="none"/>
          <w:shd w:val="clear"/>
          <w:lang w:eastAsia="zh-CN"/>
        </w:rPr>
        <w:t>。</w:t>
      </w:r>
      <w:r>
        <w:rPr>
          <w:rFonts w:hint="default" w:ascii="Times New Roman" w:hAnsi="Times New Roman" w:cs="Times New Roman"/>
          <w:color w:val="auto"/>
          <w:kern w:val="0"/>
          <w:szCs w:val="28"/>
          <w:highlight w:val="none"/>
        </w:rPr>
        <w:t>故预算编制科学性指标得分3分。</w:t>
      </w:r>
    </w:p>
    <w:p>
      <w:pPr>
        <w:spacing w:line="360" w:lineRule="auto"/>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资金分配合理性</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该</w:t>
      </w:r>
      <w:r>
        <w:rPr>
          <w:rFonts w:hint="eastAsia" w:ascii="Times New Roman" w:hAnsi="Times New Roman" w:cs="Times New Roman"/>
          <w:color w:val="auto"/>
          <w:highlight w:val="none"/>
          <w:lang w:val="en-US" w:eastAsia="zh-CN"/>
        </w:rPr>
        <w:t>资金社会使用白建沟村两居工程，本项目</w:t>
      </w:r>
      <w:r>
        <w:rPr>
          <w:rFonts w:hint="default" w:ascii="Times New Roman" w:hAnsi="Times New Roman" w:cs="Times New Roman"/>
          <w:color w:val="auto"/>
          <w:highlight w:val="none"/>
          <w:lang w:val="en-US" w:eastAsia="zh-CN"/>
        </w:rPr>
        <w:t>资金到位75.26517万元</w:t>
      </w:r>
      <w:r>
        <w:rPr>
          <w:rFonts w:hint="eastAsia" w:ascii="Times New Roman" w:hAnsi="Times New Roman" w:cs="Times New Roman"/>
          <w:color w:val="auto"/>
          <w:highlight w:val="none"/>
          <w:lang w:val="en-US" w:eastAsia="zh-CN"/>
        </w:rPr>
        <w:t>，改造绿化带边铁艺围栏1公里、室外LED大屏、塑胶跑道1000平方米，树木装饰彩灯4座、哈萨克特色景观小品1组及相关配套设施等设计费3万元，项目施工图设计4.5万元，本项目工程款67.76517万元。具体发行总额依据2022年度白建沟村新居绿化装饰及文化长廊项目来测算，在项目运行后可以完全覆盖融资成本。严格项目、资金审批，财政专项资金项目分配方案应由主管部门报同级政府批准后，由财政部门据以拨付资金，确保专项资金分配真正落到优势、优质项目上。</w:t>
      </w:r>
      <w:r>
        <w:rPr>
          <w:rFonts w:hint="default" w:ascii="Times New Roman" w:hAnsi="Times New Roman" w:cs="Times New Roman"/>
          <w:color w:val="auto"/>
          <w:kern w:val="0"/>
          <w:szCs w:val="28"/>
          <w:highlight w:val="none"/>
        </w:rPr>
        <w:t>故资金分配合理性指标得分3分。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6</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6" w:name="_Toc100784604"/>
      <w:bookmarkStart w:id="37" w:name="_Toc67911613"/>
      <w:r>
        <w:rPr>
          <w:rFonts w:hint="default" w:ascii="Times New Roman" w:hAnsi="Times New Roman" w:eastAsia="仿宋" w:cs="Times New Roman"/>
          <w:color w:val="auto"/>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8" w:name="_Toc100784605"/>
      <w:r>
        <w:rPr>
          <w:rFonts w:hint="default" w:ascii="Times New Roman" w:hAnsi="Times New Roman" w:eastAsia="仿宋" w:cs="Times New Roman"/>
          <w:color w:val="auto"/>
          <w:sz w:val="32"/>
          <w:szCs w:val="32"/>
          <w:highlight w:val="none"/>
          <w:lang w:bidi="en-US"/>
        </w:rPr>
        <w:t>1.资金管理</w:t>
      </w:r>
      <w:bookmarkEnd w:id="38"/>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资金到位率：</w:t>
      </w:r>
      <w:r>
        <w:rPr>
          <w:rFonts w:hint="default" w:ascii="Times New Roman" w:hAnsi="Times New Roman" w:cs="Times New Roman"/>
          <w:color w:val="auto"/>
          <w:highlight w:val="none"/>
        </w:rPr>
        <w:t xml:space="preserve"> </w:t>
      </w:r>
      <w:r>
        <w:rPr>
          <w:rFonts w:hint="default" w:ascii="Times New Roman" w:hAnsi="Times New Roman" w:cs="Times New Roman"/>
          <w:color w:val="auto"/>
          <w:highlight w:val="none"/>
          <w:lang w:val="en-US" w:eastAsia="zh-CN"/>
        </w:rPr>
        <w:t>白建沟村新居绿化装饰及长廊项目总预算资金为100万元，资金到位75.26517万元</w:t>
      </w:r>
      <w:r>
        <w:rPr>
          <w:rFonts w:hint="eastAsia" w:ascii="Times New Roman" w:hAnsi="Times New Roman" w:cs="Times New Roman"/>
          <w:color w:val="auto"/>
          <w:highlight w:val="none"/>
          <w:lang w:val="en-US" w:eastAsia="zh-CN"/>
        </w:rPr>
        <w:t>。改造绿化带边铁艺围栏1公里、室外LED大屏、塑胶跑道1000平方米，树木装饰彩灯4座、哈萨克特色景观小品1组及相关配套设施设计费3万元，2022年7月14日支付给北山工程设计有限公司新疆第二分行。项目施工图设计4.5万元，2022年7月14日支付给北山工程设计有限公司新疆第二分行，本项目工程款677651.7元，2022年8月24日支付给四川天恒建业建设工程有限公司。</w:t>
      </w:r>
      <w:r>
        <w:rPr>
          <w:rFonts w:hint="default" w:ascii="Times New Roman" w:hAnsi="Times New Roman" w:cs="Times New Roman"/>
          <w:color w:val="auto"/>
          <w:kern w:val="0"/>
          <w:szCs w:val="28"/>
          <w:highlight w:val="none"/>
        </w:rPr>
        <w:t>故资金到位率指标得分</w:t>
      </w:r>
      <w:r>
        <w:rPr>
          <w:rFonts w:hint="eastAsia" w:ascii="Times New Roman" w:hAnsi="Times New Roman" w:cs="Times New Roman"/>
          <w:color w:val="auto"/>
          <w:kern w:val="0"/>
          <w:szCs w:val="28"/>
          <w:highlight w:val="none"/>
          <w:lang w:val="en-US" w:eastAsia="zh-CN"/>
        </w:rPr>
        <w:t>5</w:t>
      </w:r>
      <w:r>
        <w:rPr>
          <w:rFonts w:hint="default" w:ascii="Times New Roman" w:hAnsi="Times New Roman" w:cs="Times New Roman"/>
          <w:color w:val="auto"/>
          <w:kern w:val="0"/>
          <w:szCs w:val="28"/>
          <w:highlight w:val="none"/>
        </w:rPr>
        <w:t>分。</w:t>
      </w:r>
    </w:p>
    <w:p>
      <w:pPr>
        <w:spacing w:line="360" w:lineRule="auto"/>
        <w:ind w:firstLine="562"/>
        <w:rPr>
          <w:rFonts w:hint="default" w:ascii="Times New Roman" w:hAnsi="Times New Roman" w:cs="Times New Roman"/>
          <w:color w:val="auto"/>
          <w:kern w:val="0"/>
          <w:szCs w:val="28"/>
          <w:highlight w:val="none"/>
        </w:rPr>
      </w:pPr>
      <w:r>
        <w:rPr>
          <w:rFonts w:hint="default" w:ascii="Times New Roman" w:hAnsi="Times New Roman" w:cs="Times New Roman"/>
          <w:b/>
          <w:bCs/>
          <w:color w:val="auto"/>
          <w:szCs w:val="28"/>
          <w:highlight w:val="none"/>
        </w:rPr>
        <w:t>预算执行率：</w:t>
      </w:r>
      <w:r>
        <w:rPr>
          <w:rFonts w:hint="default" w:ascii="Times New Roman" w:hAnsi="Times New Roman" w:cs="Times New Roman"/>
          <w:color w:val="auto"/>
          <w:highlight w:val="none"/>
        </w:rPr>
        <w:t xml:space="preserve"> </w:t>
      </w:r>
      <w:r>
        <w:rPr>
          <w:rFonts w:hint="default" w:ascii="Times New Roman" w:hAnsi="Times New Roman" w:cs="Times New Roman"/>
          <w:color w:val="auto"/>
          <w:highlight w:val="none"/>
          <w:lang w:val="en-US" w:eastAsia="zh-CN"/>
        </w:rPr>
        <w:t>白建沟村新居绿化装饰及长廊项目总预算资金为100万元，资金到位75.26517万元</w:t>
      </w:r>
      <w:r>
        <w:rPr>
          <w:rFonts w:hint="eastAsia" w:ascii="Times New Roman" w:hAnsi="Times New Roman" w:cs="Times New Roman"/>
          <w:color w:val="auto"/>
          <w:highlight w:val="none"/>
          <w:lang w:val="en-US" w:eastAsia="zh-CN"/>
        </w:rPr>
        <w:t>。改造绿化带边铁艺围栏1公里、室外LED大屏、塑胶跑道1000平方米，树木装饰彩灯4座、哈萨克特色景观小品1组及相关配套设施设计费3万元，2022年7月14日支付给北山工程设计有限公司新疆第二分行。项目施工图设计4.5万元，2022年7月14日支付给北山工程设计有限公司新疆第二分行，本项目工程款677651.7元，2022年8月24日支付给新疆蓝晨建设工程有限公司</w:t>
      </w:r>
      <w:r>
        <w:rPr>
          <w:rFonts w:hint="default" w:ascii="Times New Roman" w:hAnsi="Times New Roman" w:cs="Times New Roman"/>
          <w:b/>
          <w:color w:val="auto"/>
          <w:kern w:val="0"/>
          <w:szCs w:val="28"/>
          <w:highlight w:val="none"/>
        </w:rPr>
        <w:t>。</w:t>
      </w:r>
      <w:r>
        <w:rPr>
          <w:rFonts w:hint="default" w:ascii="Times New Roman" w:hAnsi="Times New Roman" w:cs="Times New Roman"/>
          <w:color w:val="auto"/>
          <w:kern w:val="0"/>
          <w:szCs w:val="28"/>
          <w:highlight w:val="none"/>
        </w:rPr>
        <w:t>故资金到位率指标得分</w:t>
      </w:r>
      <w:r>
        <w:rPr>
          <w:rFonts w:hint="eastAsia" w:ascii="Times New Roman" w:hAnsi="Times New Roman" w:cs="Times New Roman"/>
          <w:color w:val="auto"/>
          <w:kern w:val="0"/>
          <w:szCs w:val="28"/>
          <w:highlight w:val="none"/>
          <w:lang w:val="en-US" w:eastAsia="zh-CN"/>
        </w:rPr>
        <w:t>5</w:t>
      </w:r>
      <w:r>
        <w:rPr>
          <w:rFonts w:hint="default" w:ascii="Times New Roman" w:hAnsi="Times New Roman" w:cs="Times New Roman"/>
          <w:color w:val="auto"/>
          <w:kern w:val="0"/>
          <w:szCs w:val="28"/>
          <w:highlight w:val="none"/>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资金使用合规性：</w:t>
      </w:r>
      <w:r>
        <w:rPr>
          <w:rFonts w:hint="default" w:ascii="Times New Roman" w:hAnsi="Times New Roman" w:cs="Times New Roman"/>
          <w:color w:val="auto"/>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lang w:val="en-US" w:eastAsia="zh-CN"/>
        </w:rPr>
        <w:t>13</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9" w:name="_Toc100784606"/>
      <w:r>
        <w:rPr>
          <w:rFonts w:hint="default" w:ascii="Times New Roman" w:hAnsi="Times New Roman" w:eastAsia="仿宋" w:cs="Times New Roman"/>
          <w:color w:val="auto"/>
          <w:sz w:val="32"/>
          <w:szCs w:val="32"/>
          <w:highlight w:val="none"/>
          <w:lang w:bidi="en-US"/>
        </w:rPr>
        <w:t>2.组织实施</w:t>
      </w:r>
      <w:bookmarkEnd w:id="39"/>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管理制度健全性</w:t>
      </w:r>
      <w:r>
        <w:rPr>
          <w:rFonts w:hint="default" w:ascii="Times New Roman" w:hAnsi="Times New Roman" w:cs="Times New Roman"/>
          <w:color w:val="auto"/>
          <w:szCs w:val="28"/>
          <w:highlight w:val="none"/>
        </w:rPr>
        <w:t>：</w:t>
      </w:r>
      <w:r>
        <w:rPr>
          <w:rFonts w:hint="eastAsia" w:ascii="Times New Roman" w:hAnsi="Times New Roman" w:cs="Times New Roman"/>
          <w:color w:val="auto"/>
          <w:szCs w:val="28"/>
          <w:highlight w:val="none"/>
          <w:lang w:val="en-US" w:eastAsia="zh-CN"/>
        </w:rPr>
        <w:t>乌鲁木齐县托里乡人民政府</w:t>
      </w:r>
      <w:r>
        <w:rPr>
          <w:rFonts w:hint="default" w:ascii="Times New Roman" w:hAnsi="Times New Roman" w:cs="Times New Roman"/>
          <w:color w:val="auto"/>
          <w:szCs w:val="28"/>
          <w:highlight w:val="none"/>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制度执行有效性：</w:t>
      </w:r>
      <w:r>
        <w:rPr>
          <w:rFonts w:hint="default" w:ascii="Times New Roman" w:hAnsi="Times New Roman" w:cs="Times New Roman"/>
          <w:color w:val="auto"/>
          <w:szCs w:val="28"/>
          <w:highlight w:val="none"/>
        </w:rPr>
        <w:t>根据现场调研和资料抽查情况，</w:t>
      </w:r>
      <w:r>
        <w:rPr>
          <w:rFonts w:hint="eastAsia" w:ascii="Times New Roman" w:hAnsi="Times New Roman" w:cs="Times New Roman"/>
          <w:color w:val="auto"/>
          <w:szCs w:val="28"/>
          <w:highlight w:val="none"/>
          <w:lang w:val="en-US" w:eastAsia="zh-CN"/>
        </w:rPr>
        <w:t>白建沟村新居绿化装饰及文化长廊项目</w:t>
      </w:r>
      <w:r>
        <w:rPr>
          <w:rFonts w:hint="default" w:ascii="Times New Roman" w:hAnsi="Times New Roman" w:cs="Times New Roman"/>
          <w:color w:val="auto"/>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4分。</w:t>
      </w:r>
    </w:p>
    <w:p>
      <w:pPr>
        <w:autoSpaceDE w:val="0"/>
        <w:spacing w:line="600" w:lineRule="exact"/>
        <w:ind w:firstLine="562"/>
        <w:rPr>
          <w:rFonts w:hint="default" w:ascii="Times New Roman" w:hAnsi="Times New Roman" w:cs="Times New Roman"/>
          <w:b/>
          <w:color w:val="auto"/>
          <w:kern w:val="0"/>
          <w:szCs w:val="28"/>
          <w:highlight w:val="none"/>
        </w:rPr>
      </w:pPr>
      <w:bookmarkStart w:id="40" w:name="_Hlk67670213"/>
      <w:r>
        <w:rPr>
          <w:rFonts w:hint="default" w:ascii="Times New Roman" w:hAnsi="Times New Roman" w:cs="Times New Roman"/>
          <w:b/>
          <w:color w:val="auto"/>
          <w:kern w:val="0"/>
          <w:szCs w:val="28"/>
          <w:highlight w:val="none"/>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1" w:name="_Toc100784607"/>
      <w:bookmarkStart w:id="42" w:name="_Toc67911614"/>
      <w:r>
        <w:rPr>
          <w:rFonts w:hint="default" w:ascii="Times New Roman" w:hAnsi="Times New Roman" w:eastAsia="仿宋" w:cs="Times New Roman"/>
          <w:color w:val="auto"/>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项目产出指标由4个二级指标和</w:t>
      </w:r>
      <w:r>
        <w:rPr>
          <w:rFonts w:hint="eastAsia" w:ascii="Times New Roman" w:hAnsi="Times New Roman" w:cs="Times New Roman"/>
          <w:color w:val="auto"/>
          <w:szCs w:val="28"/>
          <w:highlight w:val="none"/>
          <w:lang w:val="en-US" w:eastAsia="zh-CN"/>
        </w:rPr>
        <w:t>7</w:t>
      </w:r>
      <w:r>
        <w:rPr>
          <w:rFonts w:hint="default" w:ascii="Times New Roman" w:hAnsi="Times New Roman" w:cs="Times New Roman"/>
          <w:color w:val="auto"/>
          <w:szCs w:val="28"/>
          <w:highlight w:val="none"/>
        </w:rPr>
        <w:t>个三级指标构成，权重为40分，实际得分</w:t>
      </w:r>
      <w:r>
        <w:rPr>
          <w:rFonts w:hint="eastAsia" w:ascii="Times New Roman" w:hAnsi="Times New Roman" w:cs="Times New Roman"/>
          <w:color w:val="auto"/>
          <w:szCs w:val="28"/>
          <w:highlight w:val="none"/>
          <w:lang w:val="en-US" w:eastAsia="zh-CN"/>
        </w:rPr>
        <w:t>40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3" w:name="_Toc100784608"/>
      <w:r>
        <w:rPr>
          <w:rFonts w:hint="default" w:ascii="Times New Roman" w:hAnsi="Times New Roman" w:eastAsia="仿宋" w:cs="Times New Roman"/>
          <w:color w:val="auto"/>
          <w:sz w:val="32"/>
          <w:szCs w:val="32"/>
          <w:highlight w:val="none"/>
          <w:lang w:bidi="en-US"/>
        </w:rPr>
        <w:t>1.产出数量</w:t>
      </w:r>
      <w:bookmarkEnd w:id="43"/>
    </w:p>
    <w:p>
      <w:pPr>
        <w:spacing w:line="360" w:lineRule="auto"/>
        <w:ind w:firstLine="560"/>
        <w:rPr>
          <w:rFonts w:hint="eastAsia" w:ascii="Times New Roman" w:hAnsi="Times New Roman" w:eastAsia="仿宋_GB2312" w:cs="Times New Roman"/>
          <w:bCs/>
          <w:color w:val="auto"/>
          <w:szCs w:val="28"/>
          <w:highlight w:val="none"/>
          <w:lang w:eastAsia="zh-CN"/>
        </w:rPr>
      </w:pPr>
      <w:r>
        <w:rPr>
          <w:rFonts w:hint="default"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lang w:val="en-US" w:eastAsia="zh-CN"/>
        </w:rPr>
        <w:t>塑胶跑道长度</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1公里</w:t>
      </w:r>
      <w:r>
        <w:rPr>
          <w:rFonts w:hint="default" w:ascii="Times New Roman" w:hAnsi="Times New Roman" w:cs="Times New Roman"/>
          <w:bCs/>
          <w:color w:val="auto"/>
          <w:szCs w:val="28"/>
          <w:highlight w:val="none"/>
        </w:rPr>
        <w:t>，2022年度我单位实际完成</w:t>
      </w:r>
      <w:r>
        <w:rPr>
          <w:rFonts w:hint="eastAsia" w:ascii="Times New Roman" w:hAnsi="Times New Roman" w:cs="Times New Roman"/>
          <w:bCs/>
          <w:color w:val="auto"/>
          <w:szCs w:val="28"/>
          <w:highlight w:val="none"/>
          <w:lang w:val="en-US" w:eastAsia="zh-CN"/>
        </w:rPr>
        <w:t>1公里</w:t>
      </w:r>
      <w:r>
        <w:rPr>
          <w:rFonts w:hint="eastAsia" w:ascii="Times New Roman" w:hAnsi="Times New Roman" w:cs="Times New Roman"/>
          <w:bCs/>
          <w:color w:val="auto"/>
          <w:szCs w:val="28"/>
          <w:highlight w:val="none"/>
          <w:lang w:eastAsia="zh-CN"/>
        </w:rPr>
        <w:t>。</w:t>
      </w:r>
    </w:p>
    <w:p>
      <w:pPr>
        <w:spacing w:line="360" w:lineRule="auto"/>
        <w:ind w:firstLine="560"/>
        <w:rPr>
          <w:rFonts w:hint="default" w:ascii="Times New Roman" w:hAnsi="Times New Roman" w:eastAsia="仿宋_GB2312" w:cs="Times New Roman"/>
          <w:bCs/>
          <w:color w:val="auto"/>
          <w:szCs w:val="28"/>
          <w:highlight w:val="none"/>
          <w:lang w:val="en-US" w:eastAsia="zh-CN"/>
        </w:rPr>
      </w:pPr>
      <w:r>
        <w:rPr>
          <w:rFonts w:hint="default"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lang w:val="en-US" w:eastAsia="zh-CN"/>
        </w:rPr>
        <w:t>新居绿化带围栏覆盖巷道数</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8条</w:t>
      </w:r>
      <w:r>
        <w:rPr>
          <w:rFonts w:hint="default"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lang w:val="en-US" w:eastAsia="zh-CN"/>
        </w:rPr>
        <w:t>实际完成8条。</w:t>
      </w:r>
    </w:p>
    <w:p>
      <w:pPr>
        <w:spacing w:line="360" w:lineRule="auto"/>
        <w:ind w:firstLine="560"/>
        <w:rPr>
          <w:rFonts w:hint="default" w:ascii="Times New Roman" w:hAnsi="Times New Roman" w:eastAsia="仿宋_GB2312" w:cs="Times New Roman"/>
          <w:bCs/>
          <w:color w:val="auto"/>
          <w:szCs w:val="28"/>
          <w:highlight w:val="none"/>
          <w:lang w:val="en-US" w:eastAsia="zh-CN"/>
        </w:rPr>
      </w:pPr>
      <w:r>
        <w:rPr>
          <w:rFonts w:hint="default"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lang w:val="en-US" w:eastAsia="zh-CN"/>
        </w:rPr>
        <w:t>新居LED宣传电子屏</w:t>
      </w:r>
      <w:r>
        <w:rPr>
          <w:rFonts w:hint="default" w:ascii="Times New Roman" w:hAnsi="Times New Roman" w:cs="Times New Roman"/>
          <w:bCs/>
          <w:color w:val="auto"/>
          <w:szCs w:val="28"/>
          <w:highlight w:val="none"/>
        </w:rPr>
        <w:t>”的目标值是</w:t>
      </w:r>
      <w:r>
        <w:rPr>
          <w:rFonts w:hint="eastAsia" w:ascii="Times New Roman" w:hAnsi="Times New Roman" w:cs="Times New Roman"/>
          <w:bCs/>
          <w:color w:val="auto"/>
          <w:szCs w:val="28"/>
          <w:highlight w:val="none"/>
          <w:lang w:val="en-US" w:eastAsia="zh-CN"/>
        </w:rPr>
        <w:t>5*7米</w:t>
      </w:r>
      <w:r>
        <w:rPr>
          <w:rFonts w:hint="default"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lang w:val="en-US" w:eastAsia="zh-CN"/>
        </w:rPr>
        <w:t>实际完成5*7米。</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实际完成率</w:t>
      </w:r>
      <w:r>
        <w:rPr>
          <w:rFonts w:hint="eastAsia" w:ascii="Times New Roman" w:hAnsi="Times New Roman" w:cs="Times New Roman"/>
          <w:b/>
          <w:bCs/>
          <w:color w:val="auto"/>
          <w:szCs w:val="28"/>
          <w:highlight w:val="none"/>
          <w:lang w:val="en-US" w:eastAsia="zh-CN"/>
        </w:rPr>
        <w:t>100%</w:t>
      </w:r>
      <w:r>
        <w:rPr>
          <w:rFonts w:hint="default" w:ascii="Times New Roman" w:hAnsi="Times New Roman" w:cs="Times New Roman"/>
          <w:b/>
          <w:bCs/>
          <w:color w:val="auto"/>
          <w:szCs w:val="28"/>
          <w:highlight w:val="none"/>
        </w:rPr>
        <w:t>：</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4" w:name="_Toc100784609"/>
      <w:r>
        <w:rPr>
          <w:rFonts w:hint="default" w:ascii="Times New Roman" w:hAnsi="Times New Roman" w:eastAsia="仿宋" w:cs="Times New Roman"/>
          <w:color w:val="auto"/>
          <w:sz w:val="32"/>
          <w:szCs w:val="32"/>
          <w:highlight w:val="none"/>
          <w:lang w:bidi="en-US"/>
        </w:rPr>
        <w:t>2.产出质量</w:t>
      </w:r>
      <w:bookmarkEnd w:id="4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工程验收率</w:t>
      </w:r>
      <w:r>
        <w:rPr>
          <w:rStyle w:val="14"/>
          <w:rFonts w:hint="eastAsia" w:ascii="Times New Roman" w:hAnsi="Times New Roman" w:cs="Times New Roman"/>
          <w:color w:val="auto"/>
          <w:highlight w:val="none"/>
          <w:lang w:eastAsia="zh-CN"/>
        </w:rPr>
        <w:t>：</w:t>
      </w:r>
      <w:r>
        <w:rPr>
          <w:rFonts w:hint="eastAsia" w:ascii="Times New Roman" w:hAnsi="Times New Roman" w:cs="Times New Roman"/>
          <w:color w:val="auto"/>
          <w:szCs w:val="28"/>
          <w:highlight w:val="none"/>
          <w:lang w:val="en-US" w:eastAsia="zh-CN"/>
        </w:rPr>
        <w:t>我单位在项目完成后，根据合同约定，及时向主管单位和财政局申请相关款项，并于2022年8月将资金支付给四川天恒建业建设工程有限公司。</w:t>
      </w:r>
      <w:r>
        <w:rPr>
          <w:rFonts w:hint="default" w:ascii="Times New Roman" w:hAnsi="Times New Roman" w:cs="Times New Roman"/>
          <w:color w:val="auto"/>
          <w:szCs w:val="28"/>
          <w:highlight w:val="none"/>
        </w:rPr>
        <w:t>质量达标率得分为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5" w:name="_Toc100784610"/>
      <w:r>
        <w:rPr>
          <w:rFonts w:hint="default" w:ascii="Times New Roman" w:hAnsi="Times New Roman" w:eastAsia="仿宋" w:cs="Times New Roman"/>
          <w:color w:val="auto"/>
          <w:sz w:val="32"/>
          <w:szCs w:val="32"/>
          <w:highlight w:val="none"/>
          <w:lang w:bidi="en-US"/>
        </w:rPr>
        <w:t>3.产出时效</w:t>
      </w:r>
      <w:bookmarkEnd w:id="45"/>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完成及时性：</w:t>
      </w:r>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其中，建设工程开工及时率：</w:t>
      </w:r>
      <w:r>
        <w:rPr>
          <w:rFonts w:hint="eastAsia" w:ascii="Times New Roman" w:hAnsi="Times New Roman" w:cs="Times New Roman"/>
          <w:color w:val="auto"/>
          <w:szCs w:val="28"/>
          <w:highlight w:val="none"/>
          <w:lang w:val="en-US" w:eastAsia="zh-CN"/>
        </w:rPr>
        <w:t>该工程2021年1月5日开工，及时率为95%。</w:t>
      </w:r>
    </w:p>
    <w:p>
      <w:pPr>
        <w:spacing w:line="360" w:lineRule="auto"/>
        <w:ind w:firstLine="560"/>
        <w:rPr>
          <w:rFonts w:hint="default" w:ascii="Times New Roman" w:hAnsi="Times New Roman" w:cs="Times New Roman"/>
          <w:color w:val="auto"/>
          <w:szCs w:val="28"/>
          <w:highlight w:val="none"/>
        </w:rPr>
      </w:pPr>
      <w:r>
        <w:rPr>
          <w:rFonts w:hint="eastAsia" w:ascii="Times New Roman" w:hAnsi="Times New Roman" w:cs="Times New Roman"/>
          <w:b/>
          <w:bCs/>
          <w:color w:val="auto"/>
          <w:szCs w:val="28"/>
          <w:highlight w:val="none"/>
          <w:lang w:val="en-US" w:eastAsia="zh-CN"/>
        </w:rPr>
        <w:t>其次，建设工程完工及时率：该工程2021年11月5日完工</w:t>
      </w:r>
      <w:r>
        <w:rPr>
          <w:rFonts w:hint="default" w:ascii="Times New Roman" w:hAnsi="Times New Roman" w:cs="Times New Roman"/>
          <w:color w:val="auto"/>
          <w:szCs w:val="28"/>
          <w:highlight w:val="none"/>
        </w:rPr>
        <w:t>故完成及时性得分为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6" w:name="_Toc100784611"/>
      <w:r>
        <w:rPr>
          <w:rFonts w:hint="default" w:ascii="Times New Roman" w:hAnsi="Times New Roman" w:eastAsia="仿宋" w:cs="Times New Roman"/>
          <w:color w:val="auto"/>
          <w:sz w:val="32"/>
          <w:szCs w:val="32"/>
          <w:highlight w:val="none"/>
          <w:lang w:bidi="en-US"/>
        </w:rPr>
        <w:t>4.产出成本</w:t>
      </w:r>
      <w:bookmarkEnd w:id="46"/>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成本节约率：</w:t>
      </w:r>
      <w:r>
        <w:rPr>
          <w:rFonts w:hint="default" w:ascii="Times New Roman" w:hAnsi="Times New Roman" w:cs="Times New Roman"/>
          <w:color w:val="auto"/>
          <w:szCs w:val="28"/>
          <w:highlight w:val="none"/>
          <w:lang w:val="en-US" w:eastAsia="zh-CN"/>
        </w:rPr>
        <w:t>本项目实际支出100万元，</w:t>
      </w:r>
      <w:r>
        <w:rPr>
          <w:rFonts w:hint="eastAsia" w:ascii="Times New Roman" w:hAnsi="Times New Roman" w:cs="Times New Roman"/>
          <w:color w:val="auto"/>
          <w:szCs w:val="28"/>
          <w:highlight w:val="none"/>
          <w:lang w:val="en-US" w:eastAsia="zh-CN"/>
        </w:rPr>
        <w:t>实际到位资金75.27万元，已支付资金75.27万元，预算执行率100%，无超支情况，项目资金全部完成。</w:t>
      </w:r>
    </w:p>
    <w:p>
      <w:pPr>
        <w:spacing w:line="360" w:lineRule="auto"/>
        <w:ind w:firstLine="562"/>
        <w:rPr>
          <w:rFonts w:hint="default" w:ascii="Times New Roman" w:hAnsi="Times New Roman" w:cs="Times New Roman"/>
          <w:b/>
          <w:bCs/>
          <w:color w:val="auto"/>
          <w:szCs w:val="28"/>
          <w:highlight w:val="none"/>
        </w:rPr>
      </w:pPr>
      <w:r>
        <w:rPr>
          <w:rFonts w:hint="eastAsia" w:ascii="Times New Roman" w:hAnsi="Times New Roman" w:cs="Times New Roman"/>
          <w:b/>
          <w:bCs/>
          <w:color w:val="auto"/>
          <w:szCs w:val="28"/>
          <w:highlight w:val="none"/>
          <w:lang w:val="en-US" w:eastAsia="zh-CN"/>
        </w:rPr>
        <w:t>项目预算控制率100%，</w:t>
      </w:r>
      <w:r>
        <w:rPr>
          <w:rFonts w:hint="default" w:ascii="Times New Roman" w:hAnsi="Times New Roman" w:cs="Times New Roman"/>
          <w:color w:val="auto"/>
          <w:szCs w:val="28"/>
          <w:highlight w:val="none"/>
        </w:rPr>
        <w:t>故得分为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综上，该指标满分40分，得分</w:t>
      </w:r>
      <w:r>
        <w:rPr>
          <w:rFonts w:hint="eastAsia" w:ascii="Times New Roman" w:hAnsi="Times New Roman" w:cs="Times New Roman"/>
          <w:color w:val="auto"/>
          <w:szCs w:val="28"/>
          <w:highlight w:val="none"/>
          <w:lang w:val="en-US" w:eastAsia="zh-CN"/>
        </w:rPr>
        <w:t>38</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7" w:name="_Toc100784612"/>
      <w:bookmarkStart w:id="48" w:name="_Toc67911615"/>
      <w:r>
        <w:rPr>
          <w:rFonts w:hint="default" w:ascii="Times New Roman" w:hAnsi="Times New Roman" w:eastAsia="仿宋" w:cs="Times New Roman"/>
          <w:color w:val="auto"/>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个二级指标和</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 xml:space="preserve">分。 </w:t>
      </w:r>
    </w:p>
    <w:p>
      <w:pPr>
        <w:pStyle w:val="2"/>
        <w:spacing w:before="0" w:after="0" w:line="360" w:lineRule="auto"/>
        <w:ind w:firstLine="643"/>
        <w:jc w:val="both"/>
        <w:rPr>
          <w:rFonts w:hint="default" w:ascii="Times New Roman" w:hAnsi="Times New Roman" w:eastAsia="仿宋" w:cs="Times New Roman"/>
          <w:color w:val="auto"/>
          <w:sz w:val="32"/>
          <w:szCs w:val="32"/>
          <w:highlight w:val="none"/>
          <w:lang w:bidi="en-US"/>
        </w:rPr>
      </w:pPr>
      <w:bookmarkStart w:id="49" w:name="_Toc100784613"/>
      <w:r>
        <w:rPr>
          <w:rFonts w:hint="default" w:ascii="Times New Roman" w:hAnsi="Times New Roman" w:eastAsia="仿宋" w:cs="Times New Roman"/>
          <w:color w:val="auto"/>
          <w:sz w:val="32"/>
          <w:szCs w:val="32"/>
          <w:highlight w:val="none"/>
          <w:lang w:bidi="en-US"/>
        </w:rPr>
        <w:t>1.项目效益</w:t>
      </w:r>
      <w:bookmarkEnd w:id="49"/>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（1）实施效益</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经济效益指标：</w:t>
      </w:r>
      <w:r>
        <w:rPr>
          <w:rFonts w:hint="default" w:ascii="Times New Roman" w:hAnsi="Times New Roman" w:cs="Times New Roman"/>
          <w:color w:val="auto"/>
          <w:szCs w:val="28"/>
          <w:highlight w:val="none"/>
        </w:rPr>
        <w:t xml:space="preserve">不适用。 </w:t>
      </w:r>
    </w:p>
    <w:p>
      <w:pPr>
        <w:spacing w:line="360" w:lineRule="auto"/>
        <w:ind w:firstLine="562"/>
        <w:rPr>
          <w:rFonts w:hint="eastAsia" w:ascii="Times New Roman" w:hAnsi="Times New Roman" w:cs="Times New Roman"/>
          <w:color w:val="auto"/>
          <w:szCs w:val="28"/>
          <w:highlight w:val="none"/>
          <w:lang w:val="en-US" w:eastAsia="zh-CN"/>
        </w:rPr>
      </w:pPr>
      <w:r>
        <w:rPr>
          <w:rFonts w:hint="default" w:ascii="Times New Roman" w:hAnsi="Times New Roman" w:cs="Times New Roman"/>
          <w:b/>
          <w:bCs/>
          <w:color w:val="auto"/>
          <w:szCs w:val="28"/>
          <w:highlight w:val="none"/>
        </w:rPr>
        <w:t>社会效益指标</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新居交通便利情况</w:t>
      </w:r>
      <w:r>
        <w:rPr>
          <w:rFonts w:hint="default" w:ascii="Times New Roman" w:hAnsi="Times New Roman" w:cs="Times New Roman"/>
          <w:color w:val="auto"/>
          <w:szCs w:val="28"/>
          <w:highlight w:val="none"/>
        </w:rPr>
        <w:t>”，指标值：</w:t>
      </w:r>
      <w:r>
        <w:rPr>
          <w:rFonts w:hint="eastAsia" w:ascii="Times New Roman" w:hAnsi="Times New Roman" w:cs="Times New Roman"/>
          <w:color w:val="auto"/>
          <w:szCs w:val="28"/>
          <w:highlight w:val="none"/>
          <w:lang w:val="en-US" w:eastAsia="zh-CN"/>
        </w:rPr>
        <w:t>有效改善</w:t>
      </w:r>
      <w:r>
        <w:rPr>
          <w:rFonts w:hint="default" w:ascii="Times New Roman" w:hAnsi="Times New Roman" w:cs="Times New Roman"/>
          <w:color w:val="auto"/>
          <w:szCs w:val="28"/>
          <w:highlight w:val="none"/>
        </w:rPr>
        <w:t>，实际完成值：</w:t>
      </w:r>
      <w:r>
        <w:rPr>
          <w:rFonts w:hint="eastAsia" w:ascii="Times New Roman" w:hAnsi="Times New Roman" w:cs="Times New Roman"/>
          <w:color w:val="auto"/>
          <w:szCs w:val="28"/>
          <w:highlight w:val="none"/>
          <w:lang w:val="en-US" w:eastAsia="zh-CN"/>
        </w:rPr>
        <w:t>达到年度指标</w:t>
      </w:r>
      <w:r>
        <w:rPr>
          <w:rFonts w:hint="default" w:ascii="Times New Roman" w:hAnsi="Times New Roman" w:cs="Times New Roman"/>
          <w:color w:val="auto"/>
          <w:szCs w:val="28"/>
          <w:highlight w:val="none"/>
        </w:rPr>
        <w:t>。本项目的实施</w:t>
      </w:r>
      <w:r>
        <w:rPr>
          <w:rFonts w:hint="eastAsia" w:ascii="Times New Roman" w:hAnsi="Times New Roman" w:cs="Times New Roman"/>
          <w:color w:val="auto"/>
          <w:szCs w:val="28"/>
          <w:highlight w:val="none"/>
          <w:lang w:val="en-US" w:eastAsia="zh-CN"/>
        </w:rPr>
        <w:t>增加村集体收入，增强村集体经济实力，项目村村容村貌明显改善。</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生态效益指标</w:t>
      </w:r>
      <w:r>
        <w:rPr>
          <w:rFonts w:hint="default" w:ascii="Times New Roman" w:hAnsi="Times New Roman" w:cs="Times New Roman"/>
          <w:color w:val="auto"/>
          <w:szCs w:val="28"/>
          <w:highlight w:val="none"/>
        </w:rPr>
        <w:t>：不适用。</w:t>
      </w:r>
    </w:p>
    <w:p>
      <w:pPr>
        <w:spacing w:line="360" w:lineRule="auto"/>
        <w:ind w:firstLine="562"/>
        <w:rPr>
          <w:rFonts w:hint="default" w:ascii="Times New Roman" w:hAnsi="Times New Roman" w:cs="Times New Roman"/>
          <w:color w:val="auto"/>
          <w:szCs w:val="28"/>
          <w:highlight w:val="none"/>
          <w:lang w:val="en-US"/>
        </w:rPr>
      </w:pPr>
      <w:r>
        <w:rPr>
          <w:rFonts w:hint="default" w:ascii="Times New Roman" w:hAnsi="Times New Roman" w:cs="Times New Roman"/>
          <w:b/>
          <w:bCs/>
          <w:color w:val="auto"/>
          <w:szCs w:val="28"/>
          <w:highlight w:val="none"/>
        </w:rPr>
        <w:t>可持续影响指标：</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val="en-US" w:eastAsia="zh-CN"/>
        </w:rPr>
        <w:t>项目村容村貌明显改善率</w:t>
      </w:r>
      <w:r>
        <w:rPr>
          <w:rFonts w:hint="default" w:ascii="Times New Roman" w:hAnsi="Times New Roman" w:cs="Times New Roman"/>
          <w:color w:val="auto"/>
          <w:szCs w:val="28"/>
          <w:highlight w:val="none"/>
        </w:rPr>
        <w:t>，指标值：</w:t>
      </w:r>
      <w:r>
        <w:rPr>
          <w:rFonts w:hint="eastAsia" w:ascii="Times New Roman" w:hAnsi="Times New Roman" w:cs="Times New Roman"/>
          <w:color w:val="auto"/>
          <w:szCs w:val="28"/>
          <w:highlight w:val="none"/>
          <w:lang w:val="en-US" w:eastAsia="zh-CN"/>
        </w:rPr>
        <w:t>有效改善</w:t>
      </w:r>
      <w:r>
        <w:rPr>
          <w:rFonts w:hint="default" w:ascii="Times New Roman" w:hAnsi="Times New Roman" w:cs="Times New Roman"/>
          <w:color w:val="auto"/>
          <w:szCs w:val="28"/>
          <w:highlight w:val="none"/>
        </w:rPr>
        <w:t>，</w:t>
      </w:r>
      <w:r>
        <w:rPr>
          <w:rFonts w:hint="eastAsia" w:ascii="Times New Roman" w:hAnsi="Times New Roman" w:cs="Times New Roman"/>
          <w:color w:val="auto"/>
          <w:szCs w:val="28"/>
          <w:highlight w:val="none"/>
          <w:lang w:val="en-US" w:eastAsia="zh-CN"/>
        </w:rPr>
        <w:t>实际完成值：达到年度指标，项目的实施</w:t>
      </w:r>
      <w:r>
        <w:rPr>
          <w:rFonts w:hint="default" w:ascii="Times New Roman" w:hAnsi="Times New Roman" w:cs="Times New Roman"/>
          <w:bCs/>
          <w:color w:val="auto"/>
          <w:szCs w:val="28"/>
          <w:highlight w:val="none"/>
        </w:rPr>
        <w:t>确保</w:t>
      </w:r>
      <w:r>
        <w:rPr>
          <w:rFonts w:hint="eastAsia" w:ascii="Times New Roman" w:hAnsi="Times New Roman" w:cs="Times New Roman"/>
          <w:bCs/>
          <w:color w:val="auto"/>
          <w:szCs w:val="28"/>
          <w:highlight w:val="none"/>
          <w:lang w:val="en-US" w:eastAsia="zh-CN"/>
        </w:rPr>
        <w:t>白建沟村村容村貌明显改善</w:t>
      </w:r>
      <w:r>
        <w:rPr>
          <w:rFonts w:hint="default" w:ascii="Times New Roman" w:hAnsi="Times New Roman" w:cs="Times New Roman"/>
          <w:bCs/>
          <w:color w:val="auto"/>
          <w:szCs w:val="28"/>
          <w:highlight w:val="none"/>
        </w:rPr>
        <w:t>，</w:t>
      </w:r>
      <w:r>
        <w:rPr>
          <w:rFonts w:hint="eastAsia" w:ascii="Times New Roman" w:hAnsi="Times New Roman" w:cs="Times New Roman"/>
          <w:bCs/>
          <w:color w:val="auto"/>
          <w:szCs w:val="28"/>
          <w:highlight w:val="none"/>
          <w:lang w:val="en-US" w:eastAsia="zh-CN"/>
        </w:rPr>
        <w:t>增强村集体经济实力，增加村集体经济收入</w:t>
      </w:r>
      <w:r>
        <w:rPr>
          <w:rFonts w:hint="eastAsia" w:ascii="Times New Roman" w:hAnsi="Times New Roman" w:cs="Times New Roman"/>
          <w:color w:val="auto"/>
          <w:szCs w:val="28"/>
          <w:highlight w:val="none"/>
          <w:lang w:val="en-US" w:eastAsia="zh-CN"/>
        </w:rPr>
        <w:t>。</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15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15</w:t>
      </w:r>
      <w:r>
        <w:rPr>
          <w:rFonts w:hint="default" w:ascii="Times New Roman" w:hAnsi="Times New Roman" w:cs="Times New Roman"/>
          <w:b/>
          <w:color w:val="auto"/>
          <w:kern w:val="0"/>
          <w:szCs w:val="28"/>
          <w:highlight w:val="none"/>
        </w:rPr>
        <w:t>分。</w:t>
      </w:r>
    </w:p>
    <w:p>
      <w:pPr>
        <w:pStyle w:val="3"/>
        <w:ind w:firstLine="643"/>
        <w:rPr>
          <w:rFonts w:hint="default" w:ascii="Times New Roman" w:hAnsi="Times New Roman" w:cs="Times New Roman"/>
          <w:color w:val="auto"/>
          <w:highlight w:val="none"/>
        </w:rPr>
      </w:pPr>
      <w:bookmarkStart w:id="50" w:name="_Toc100784614"/>
      <w:r>
        <w:rPr>
          <w:rFonts w:hint="default" w:ascii="Times New Roman" w:hAnsi="Times New Roman" w:cs="Times New Roman"/>
          <w:color w:val="auto"/>
          <w:highlight w:val="none"/>
        </w:rPr>
        <w:t>2. 满意度指标完成情况分析</w:t>
      </w:r>
      <w:bookmarkEnd w:id="50"/>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（1）满意度指标</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群众满意度：</w:t>
      </w:r>
      <w:r>
        <w:rPr>
          <w:rFonts w:hint="default" w:ascii="Times New Roman" w:hAnsi="Times New Roman" w:cs="Times New Roman"/>
          <w:color w:val="auto"/>
          <w:szCs w:val="28"/>
          <w:highlight w:val="none"/>
        </w:rPr>
        <w:t>评价指标</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收益农牧民满意度</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，指标值：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95</w:t>
      </w:r>
      <w:r>
        <w:rPr>
          <w:rFonts w:hint="default" w:ascii="Times New Roman" w:hAnsi="Times New Roman" w:cs="Times New Roman"/>
          <w:color w:val="auto"/>
          <w:szCs w:val="28"/>
          <w:highlight w:val="none"/>
        </w:rPr>
        <w:t>%，实际完成值：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95</w:t>
      </w:r>
      <w:r>
        <w:rPr>
          <w:rFonts w:hint="default" w:ascii="Times New Roman" w:hAnsi="Times New Roman" w:cs="Times New Roman"/>
          <w:color w:val="auto"/>
          <w:szCs w:val="28"/>
          <w:highlight w:val="none"/>
        </w:rPr>
        <w:t>%。通过设置</w:t>
      </w:r>
      <w:r>
        <w:rPr>
          <w:rFonts w:hint="eastAsia" w:ascii="Times New Roman" w:hAnsi="Times New Roman" w:cs="Times New Roman"/>
          <w:color w:val="auto"/>
          <w:szCs w:val="28"/>
          <w:highlight w:val="none"/>
          <w:lang w:val="en-US" w:eastAsia="zh-CN"/>
        </w:rPr>
        <w:t>回访表</w:t>
      </w:r>
      <w:r>
        <w:rPr>
          <w:rFonts w:hint="default" w:ascii="Times New Roman" w:hAnsi="Times New Roman" w:cs="Times New Roman"/>
          <w:color w:val="auto"/>
          <w:szCs w:val="28"/>
          <w:highlight w:val="none"/>
        </w:rPr>
        <w:t>的方式进行考评评价，共计调查样本总量为</w:t>
      </w:r>
      <w:r>
        <w:rPr>
          <w:rFonts w:hint="default"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个样本，有效调查问卷</w:t>
      </w:r>
      <w:r>
        <w:rPr>
          <w:rFonts w:hint="default"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份。其中，统计</w:t>
      </w:r>
      <w:r>
        <w:rPr>
          <w:rFonts w:hint="eastAsia" w:ascii="Times New Roman" w:hAnsi="Times New Roman" w:cs="Times New Roman"/>
          <w:color w:val="auto"/>
          <w:szCs w:val="28"/>
          <w:highlight w:val="none"/>
          <w:lang w:val="en-US" w:eastAsia="zh-CN"/>
        </w:rPr>
        <w:t>收益农牧民满意度</w:t>
      </w:r>
      <w:r>
        <w:rPr>
          <w:rFonts w:hint="default" w:ascii="Times New Roman" w:hAnsi="Times New Roman" w:cs="Times New Roman"/>
          <w:color w:val="auto"/>
          <w:szCs w:val="28"/>
          <w:highlight w:val="none"/>
        </w:rPr>
        <w:t>的平均值为</w:t>
      </w:r>
      <w:r>
        <w:rPr>
          <w:rFonts w:hint="eastAsia" w:ascii="Times New Roman" w:hAnsi="Times New Roman" w:cs="Times New Roman"/>
          <w:color w:val="auto"/>
          <w:szCs w:val="28"/>
          <w:highlight w:val="none"/>
          <w:lang w:val="en-US" w:eastAsia="zh-CN"/>
        </w:rPr>
        <w:t>90</w:t>
      </w:r>
      <w:r>
        <w:rPr>
          <w:rFonts w:hint="default" w:ascii="Times New Roman" w:hAnsi="Times New Roman" w:cs="Times New Roman"/>
          <w:color w:val="auto"/>
          <w:szCs w:val="28"/>
          <w:highlight w:val="none"/>
        </w:rPr>
        <w:t>%。故满意度指标得分为</w:t>
      </w:r>
      <w:r>
        <w:rPr>
          <w:rFonts w:hint="eastAsia" w:ascii="Times New Roman" w:hAnsi="Times New Roman" w:cs="Times New Roman"/>
          <w:color w:val="auto"/>
          <w:szCs w:val="28"/>
          <w:highlight w:val="none"/>
          <w:lang w:val="en-US" w:eastAsia="zh-CN"/>
        </w:rPr>
        <w:t>5</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51" w:name="_Toc100784615"/>
      <w:bookmarkStart w:id="52" w:name="_Toc67911616"/>
      <w:r>
        <w:rPr>
          <w:rFonts w:hint="default" w:ascii="Times New Roman" w:hAnsi="Times New Roman" w:eastAsia="仿宋" w:cs="Times New Roman"/>
          <w:color w:val="auto"/>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szCs w:val="28"/>
          <w:highlight w:val="none"/>
        </w:rPr>
        <w:t>本项目预算执行率为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%，指标总体完成率为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%，二者之间的偏差值为</w:t>
      </w:r>
      <w:r>
        <w:rPr>
          <w:rFonts w:hint="eastAsia" w:ascii="Times New Roman" w:hAnsi="Times New Roman" w:cs="Times New Roman"/>
          <w:color w:val="auto"/>
          <w:szCs w:val="28"/>
          <w:highlight w:val="none"/>
          <w:lang w:val="en-US" w:eastAsia="zh-CN"/>
        </w:rPr>
        <w:t>0</w:t>
      </w:r>
      <w:r>
        <w:rPr>
          <w:rFonts w:hint="default" w:ascii="Times New Roman" w:hAnsi="Times New Roman" w:cs="Times New Roman"/>
          <w:color w:val="auto"/>
          <w:szCs w:val="28"/>
          <w:highlight w:val="none"/>
        </w:rPr>
        <w:t>%，小于20%。因此，本项目较好地完成了年度总体目标，财政资金使用效益和效率较高。</w:t>
      </w: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5" w:name="_Toc100784617"/>
      <w:bookmarkStart w:id="56" w:name="_Toc67911618"/>
      <w:r>
        <w:rPr>
          <w:rFonts w:hint="default" w:ascii="Times New Roman" w:hAnsi="Times New Roman" w:eastAsia="仿宋" w:cs="Times New Roman"/>
          <w:color w:val="auto"/>
          <w:sz w:val="32"/>
          <w:szCs w:val="32"/>
          <w:highlight w:val="none"/>
          <w:lang w:bidi="en-US"/>
        </w:rPr>
        <w:t>（一）主要经验及做法</w:t>
      </w:r>
      <w:bookmarkEnd w:id="55"/>
      <w:bookmarkEnd w:id="56"/>
    </w:p>
    <w:p>
      <w:pPr>
        <w:spacing w:line="360" w:lineRule="auto"/>
        <w:ind w:firstLine="560"/>
        <w:rPr>
          <w:rFonts w:hint="default" w:ascii="Times New Roman" w:hAnsi="Times New Roman" w:cs="Times New Roman"/>
          <w:color w:val="auto"/>
          <w:szCs w:val="28"/>
          <w:highlight w:val="none"/>
          <w:lang w:eastAsia="zh-CN"/>
        </w:rPr>
      </w:pPr>
      <w:r>
        <w:rPr>
          <w:rFonts w:hint="eastAsia" w:ascii="Times New Roman" w:hAnsi="Times New Roman" w:cs="Times New Roman"/>
          <w:color w:val="auto"/>
          <w:szCs w:val="28"/>
          <w:highlight w:val="none"/>
          <w:lang w:eastAsia="zh-CN"/>
        </w:rPr>
        <w:t>注重项目立项的研究论证，建立并完善预算编制体系，专项资金执行进度监控到位，遵守财务规定严格履行资金支付审批</w:t>
      </w:r>
      <w:r>
        <w:rPr>
          <w:rFonts w:hint="eastAsia" w:ascii="Times New Roman" w:hAnsi="Times New Roman" w:cs="Times New Roman"/>
          <w:color w:val="auto"/>
          <w:szCs w:val="28"/>
          <w:highlight w:val="none"/>
          <w:lang w:val="en-US" w:eastAsia="zh-CN"/>
        </w:rPr>
        <w:t>手续</w:t>
      </w:r>
      <w:r>
        <w:rPr>
          <w:rFonts w:hint="eastAsia" w:ascii="Times New Roman" w:hAnsi="Times New Roman" w:cs="Times New Roman"/>
          <w:color w:val="auto"/>
          <w:szCs w:val="28"/>
          <w:highlight w:val="none"/>
          <w:lang w:eastAsia="zh-CN"/>
        </w:rPr>
        <w:t>，做到事前有请示，事中有监督，事后有记录，杜绝超标准开支费用，建立专项资金考核机制，确保资金安全、合规使用，建立常态化的第三方绩效评价机制。</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7" w:name="_Toc100784618"/>
      <w:r>
        <w:rPr>
          <w:rFonts w:hint="default" w:ascii="Times New Roman" w:hAnsi="Times New Roman" w:eastAsia="仿宋" w:cs="Times New Roman"/>
          <w:color w:val="auto"/>
          <w:sz w:val="32"/>
          <w:szCs w:val="32"/>
          <w:highlight w:val="none"/>
          <w:lang w:bidi="en-US"/>
        </w:rPr>
        <w:t>（二）存在的问题及原因分析</w:t>
      </w:r>
      <w:bookmarkEnd w:id="57"/>
    </w:p>
    <w:p>
      <w:pPr>
        <w:spacing w:line="360" w:lineRule="auto"/>
        <w:ind w:firstLine="560"/>
        <w:rPr>
          <w:rFonts w:hint="default" w:ascii="Times New Roman" w:hAnsi="Times New Roman" w:cs="Times New Roman"/>
          <w:color w:val="auto"/>
          <w:szCs w:val="28"/>
          <w:highlight w:val="none"/>
        </w:rPr>
      </w:pPr>
      <w:bookmarkStart w:id="58" w:name="_Toc67911619"/>
      <w:bookmarkStart w:id="59" w:name="_Toc100784619"/>
      <w:r>
        <w:rPr>
          <w:rFonts w:hint="eastAsia" w:ascii="Times New Roman" w:hAnsi="Times New Roman" w:cs="Times New Roman"/>
          <w:color w:val="auto"/>
          <w:szCs w:val="28"/>
          <w:highlight w:val="none"/>
          <w:lang w:eastAsia="zh-CN"/>
        </w:rPr>
        <w:t>我单位虽然制定了一系列内控制度，但是对于制度的执行力度不够，导致有章不循，内部控制制度未能发挥应有的作用，</w:t>
      </w:r>
      <w:r>
        <w:rPr>
          <w:rFonts w:hint="eastAsia" w:ascii="Times New Roman" w:hAnsi="Times New Roman" w:cs="Times New Roman"/>
          <w:color w:val="auto"/>
          <w:szCs w:val="28"/>
          <w:highlight w:val="none"/>
          <w:lang w:val="en-US" w:eastAsia="zh-CN"/>
        </w:rPr>
        <w:t>预算执行进度慢影响了预算执行的效率，增加了管理成本。预算执行受到的政策性、突发性因素的影响多，预算执行中存在着不确定性大。财务监督困难和不到位，因为日常财务管理不参与单位的具体经济业务，，会计集中核算的业务量大，工作人员任务重，财务人员对被核算部门的专项资金的用途和工作性质了解不多，这容易出现财务监督管理的盲区。</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1.项目支出政策和路径设计科学，符合实际需要；</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2.项目安排准确，未发现背离项目立项初衷的情况；</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3.项目的申报、审核机制完善；</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4.未发现虚假行为和骗取财政资金的问题。</w:t>
      </w:r>
    </w:p>
    <w:p>
      <w:pPr>
        <w:pStyle w:val="2"/>
        <w:ind w:firstLine="0" w:firstLineChars="0"/>
        <w:jc w:val="left"/>
        <w:rPr>
          <w:rFonts w:hint="default" w:ascii="Times New Roman" w:hAnsi="Times New Roman" w:eastAsia="仿宋" w:cs="Times New Roman"/>
          <w:color w:val="auto"/>
          <w:sz w:val="36"/>
          <w:szCs w:val="36"/>
          <w:highlight w:val="none"/>
          <w:lang w:bidi="en-US"/>
        </w:rPr>
      </w:pPr>
      <w:bookmarkStart w:id="60" w:name="_Toc67911620"/>
      <w:bookmarkStart w:id="61" w:name="_Toc100784620"/>
      <w:r>
        <w:rPr>
          <w:rFonts w:hint="default" w:ascii="Times New Roman" w:hAnsi="Times New Roman" w:eastAsia="仿宋" w:cs="Times New Roman"/>
          <w:color w:val="auto"/>
          <w:sz w:val="36"/>
          <w:szCs w:val="36"/>
          <w:highlight w:val="none"/>
          <w:lang w:bidi="en-US"/>
        </w:rPr>
        <w:t>八、有关建议</w:t>
      </w:r>
      <w:bookmarkEnd w:id="60"/>
      <w:bookmarkEnd w:id="61"/>
    </w:p>
    <w:p>
      <w:pPr>
        <w:spacing w:line="360" w:lineRule="auto"/>
        <w:ind w:firstLine="560"/>
        <w:rPr>
          <w:rFonts w:hint="eastAsia" w:ascii="Times New Roman" w:hAnsi="Times New Roman" w:cs="Times New Roman"/>
          <w:color w:val="auto"/>
          <w:szCs w:val="28"/>
          <w:highlight w:val="none"/>
          <w:lang w:eastAsia="zh-CN"/>
        </w:rPr>
      </w:pPr>
      <w:r>
        <w:rPr>
          <w:rFonts w:hint="eastAsia" w:ascii="Times New Roman" w:hAnsi="Times New Roman" w:cs="Times New Roman"/>
          <w:color w:val="auto"/>
          <w:szCs w:val="28"/>
          <w:highlight w:val="none"/>
          <w:lang w:val="en-US" w:eastAsia="zh-CN"/>
        </w:rPr>
        <w:t>1.</w:t>
      </w:r>
      <w:r>
        <w:rPr>
          <w:rFonts w:hint="eastAsia" w:ascii="Times New Roman" w:hAnsi="Times New Roman" w:cs="Times New Roman"/>
          <w:color w:val="auto"/>
          <w:szCs w:val="28"/>
          <w:highlight w:val="none"/>
          <w:lang w:eastAsia="zh-CN"/>
        </w:rPr>
        <w:t>建章立制，强化专项资金的监督。财政部门和</w:t>
      </w:r>
      <w:r>
        <w:rPr>
          <w:rFonts w:hint="eastAsia" w:ascii="Times New Roman" w:hAnsi="Times New Roman" w:cs="Times New Roman"/>
          <w:color w:val="auto"/>
          <w:szCs w:val="28"/>
          <w:highlight w:val="none"/>
          <w:lang w:val="en-US" w:eastAsia="zh-CN"/>
        </w:rPr>
        <w:t>资金使用</w:t>
      </w:r>
      <w:r>
        <w:rPr>
          <w:rFonts w:hint="eastAsia" w:ascii="Times New Roman" w:hAnsi="Times New Roman" w:cs="Times New Roman"/>
          <w:color w:val="auto"/>
          <w:szCs w:val="28"/>
          <w:highlight w:val="none"/>
          <w:lang w:eastAsia="zh-CN"/>
        </w:rPr>
        <w:t>部门要对项目实施和资金使用</w:t>
      </w:r>
      <w:r>
        <w:rPr>
          <w:rFonts w:hint="eastAsia" w:ascii="Times New Roman" w:hAnsi="Times New Roman" w:cs="Times New Roman"/>
          <w:color w:val="auto"/>
          <w:szCs w:val="28"/>
          <w:highlight w:val="none"/>
          <w:lang w:val="en-US" w:eastAsia="zh-CN"/>
        </w:rPr>
        <w:t>效益</w:t>
      </w:r>
      <w:r>
        <w:rPr>
          <w:rFonts w:hint="eastAsia" w:ascii="Times New Roman" w:hAnsi="Times New Roman" w:cs="Times New Roman"/>
          <w:color w:val="auto"/>
          <w:szCs w:val="28"/>
          <w:highlight w:val="none"/>
          <w:lang w:eastAsia="zh-CN"/>
        </w:rPr>
        <w:t>进行全程跟踪监督，及时掌握项目的管理进度，督促项目实施单位加强管理，定期报告项目实施情况，建立经费台帐，增加项目资金使用的透明度，同时，要充分发挥纪委、审计监督部门的作用，建立长期有效的专项资金监督管理新体系，确保专项资金用到实处，实现效益最大化。</w:t>
      </w:r>
    </w:p>
    <w:p>
      <w:pPr>
        <w:spacing w:line="360" w:lineRule="auto"/>
        <w:ind w:firstLine="560"/>
        <w:rPr>
          <w:rFonts w:hint="default" w:ascii="Times New Roman" w:hAnsi="Times New Roman" w:cs="Times New Roman"/>
          <w:color w:val="auto"/>
          <w:szCs w:val="28"/>
          <w:highlight w:val="none"/>
          <w:lang w:val="en-US" w:eastAsia="zh-CN"/>
        </w:rPr>
      </w:pPr>
      <w:r>
        <w:rPr>
          <w:rFonts w:hint="eastAsia" w:ascii="Times New Roman" w:hAnsi="Times New Roman" w:cs="Times New Roman"/>
          <w:color w:val="auto"/>
          <w:szCs w:val="28"/>
          <w:highlight w:val="none"/>
          <w:lang w:eastAsia="zh-CN"/>
        </w:rPr>
        <w:t>2.理顺资金管理体制。要明确</w:t>
      </w:r>
      <w:r>
        <w:rPr>
          <w:rFonts w:hint="eastAsia" w:ascii="Times New Roman" w:hAnsi="Times New Roman" w:cs="Times New Roman"/>
          <w:color w:val="auto"/>
          <w:szCs w:val="28"/>
          <w:highlight w:val="none"/>
          <w:lang w:val="en-US" w:eastAsia="zh-CN"/>
        </w:rPr>
        <w:t>财政部门</w:t>
      </w:r>
      <w:r>
        <w:rPr>
          <w:rFonts w:hint="eastAsia" w:ascii="Times New Roman" w:hAnsi="Times New Roman" w:cs="Times New Roman"/>
          <w:color w:val="auto"/>
          <w:szCs w:val="28"/>
          <w:highlight w:val="none"/>
          <w:lang w:eastAsia="zh-CN"/>
        </w:rPr>
        <w:t>和</w:t>
      </w:r>
      <w:r>
        <w:rPr>
          <w:rFonts w:hint="eastAsia" w:ascii="Times New Roman" w:hAnsi="Times New Roman" w:cs="Times New Roman"/>
          <w:color w:val="auto"/>
          <w:szCs w:val="28"/>
          <w:highlight w:val="none"/>
          <w:lang w:val="en-US" w:eastAsia="zh-CN"/>
        </w:rPr>
        <w:t>资金使用</w:t>
      </w:r>
      <w:r>
        <w:rPr>
          <w:rFonts w:hint="eastAsia" w:ascii="Times New Roman" w:hAnsi="Times New Roman" w:cs="Times New Roman"/>
          <w:color w:val="auto"/>
          <w:szCs w:val="28"/>
          <w:highlight w:val="none"/>
          <w:lang w:eastAsia="zh-CN"/>
        </w:rPr>
        <w:t>部门在专项资金的使用、管理中的分工，做到权责分明，责任到人。对资金的管理，要由财政和</w:t>
      </w:r>
      <w:r>
        <w:rPr>
          <w:rFonts w:hint="eastAsia" w:ascii="Times New Roman" w:hAnsi="Times New Roman" w:cs="Times New Roman"/>
          <w:color w:val="auto"/>
          <w:szCs w:val="28"/>
          <w:highlight w:val="none"/>
          <w:lang w:val="en-US" w:eastAsia="zh-CN"/>
        </w:rPr>
        <w:t>业务</w:t>
      </w:r>
      <w:r>
        <w:rPr>
          <w:rFonts w:hint="eastAsia" w:ascii="Times New Roman" w:hAnsi="Times New Roman" w:cs="Times New Roman"/>
          <w:color w:val="auto"/>
          <w:szCs w:val="28"/>
          <w:highlight w:val="none"/>
          <w:lang w:eastAsia="zh-CN"/>
        </w:rPr>
        <w:t>主管部门建立健全系统的管理制度，规范资金使用，做到专款专用，所有项目资金从分配到使用都要明确，做到资金、项目、文号对应，以明确资金流向和使用情况，防止截留，挪用现象的发生</w:t>
      </w:r>
      <w:r>
        <w:rPr>
          <w:rFonts w:hint="eastAsia" w:ascii="Times New Roman" w:hAnsi="Times New Roman" w:cs="Times New Roman"/>
          <w:color w:val="auto"/>
          <w:szCs w:val="28"/>
          <w:highlight w:val="none"/>
          <w:lang w:val="en-US" w:eastAsia="zh-CN"/>
        </w:rPr>
        <w:t>。</w:t>
      </w:r>
    </w:p>
    <w:p>
      <w:pPr>
        <w:ind w:firstLine="0" w:firstLineChars="0"/>
        <w:rPr>
          <w:color w:val="auto"/>
          <w:highlight w:val="none"/>
        </w:rPr>
      </w:pPr>
    </w:p>
    <w:sdt>
      <w:sdtPr>
        <w:rPr>
          <w:rFonts w:hint="default" w:ascii="Times New Roman" w:hAnsi="Times New Roman" w:eastAsia="仿宋_GB2312" w:cs="Times New Roman"/>
          <w:color w:val="auto"/>
          <w:kern w:val="2"/>
          <w:sz w:val="28"/>
          <w:szCs w:val="22"/>
          <w:highlight w:val="none"/>
          <w:lang w:val="zh-CN"/>
        </w:rPr>
        <w:id w:val="-1822651860"/>
        <w:showingPlcHdr/>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rPr>
              <w:color w:val="auto"/>
              <w:highlight w:val="none"/>
            </w:rPr>
          </w:pPr>
        </w:p>
      </w:sdtContent>
    </w:sdt>
    <w:bookmarkEnd w:id="6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6"/>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6"/>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560"/>
      </w:pPr>
      <w:r>
        <w:separator/>
      </w:r>
    </w:p>
  </w:footnote>
  <w:footnote w:type="continuationSeparator" w:id="3">
    <w:p>
      <w:pPr>
        <w:ind w:firstLine="560"/>
      </w:pPr>
      <w:r>
        <w:continuationSeparator/>
      </w:r>
    </w:p>
  </w:footnote>
  <w:footnote w:id="0">
    <w:p>
      <w:pPr>
        <w:pStyle w:val="9"/>
        <w:ind w:firstLine="0" w:firstLineChars="0"/>
        <w:jc w:val="both"/>
        <w:rPr>
          <w:rFonts w:ascii="仿宋_GB2312"/>
        </w:rPr>
      </w:pPr>
      <w:r>
        <w:rPr>
          <w:rStyle w:val="15"/>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611F6C2E"/>
    <w:rsid w:val="0AA721A4"/>
    <w:rsid w:val="0B5E6C81"/>
    <w:rsid w:val="0D003123"/>
    <w:rsid w:val="12784104"/>
    <w:rsid w:val="136E7365"/>
    <w:rsid w:val="140F00F5"/>
    <w:rsid w:val="14C66420"/>
    <w:rsid w:val="16672724"/>
    <w:rsid w:val="1EF530FA"/>
    <w:rsid w:val="21496117"/>
    <w:rsid w:val="2186109A"/>
    <w:rsid w:val="245829F1"/>
    <w:rsid w:val="260E50EA"/>
    <w:rsid w:val="2D887F09"/>
    <w:rsid w:val="32720358"/>
    <w:rsid w:val="486378A9"/>
    <w:rsid w:val="55516348"/>
    <w:rsid w:val="5A4823FE"/>
    <w:rsid w:val="5E453881"/>
    <w:rsid w:val="60564EE3"/>
    <w:rsid w:val="611F6C2E"/>
    <w:rsid w:val="6270363F"/>
    <w:rsid w:val="62D76D64"/>
    <w:rsid w:val="65E15336"/>
    <w:rsid w:val="68C875F0"/>
    <w:rsid w:val="6B3D3F98"/>
    <w:rsid w:val="7DFD1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3"/>
    <w:basedOn w:val="1"/>
    <w:next w:val="1"/>
    <w:autoRedefine/>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toc 3"/>
    <w:basedOn w:val="1"/>
    <w:next w:val="1"/>
    <w:autoRedefine/>
    <w:unhideWhenUsed/>
    <w:qFormat/>
    <w:uiPriority w:val="39"/>
    <w:pPr>
      <w:ind w:left="840" w:leftChars="400"/>
    </w:pPr>
  </w:style>
  <w:style w:type="paragraph" w:styleId="6">
    <w:name w:val="footer"/>
    <w:basedOn w:val="1"/>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7">
    <w:name w:val="header"/>
    <w:basedOn w:val="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8">
    <w:name w:val="toc 1"/>
    <w:basedOn w:val="1"/>
    <w:next w:val="1"/>
    <w:autoRedefine/>
    <w:unhideWhenUsed/>
    <w:qFormat/>
    <w:uiPriority w:val="39"/>
  </w:style>
  <w:style w:type="paragraph" w:styleId="9">
    <w:name w:val="footnote text"/>
    <w:basedOn w:val="1"/>
    <w:autoRedefine/>
    <w:semiHidden/>
    <w:unhideWhenUsed/>
    <w:qFormat/>
    <w:uiPriority w:val="99"/>
    <w:pPr>
      <w:snapToGrid w:val="0"/>
      <w:jc w:val="left"/>
    </w:pPr>
    <w:rPr>
      <w:sz w:val="18"/>
      <w:szCs w:val="18"/>
    </w:rPr>
  </w:style>
  <w:style w:type="paragraph" w:styleId="10">
    <w:name w:val="toc 2"/>
    <w:basedOn w:val="1"/>
    <w:next w:val="1"/>
    <w:autoRedefine/>
    <w:unhideWhenUsed/>
    <w:qFormat/>
    <w:uiPriority w:val="39"/>
    <w:pPr>
      <w:ind w:left="420" w:leftChars="200"/>
    </w:pPr>
  </w:style>
  <w:style w:type="character" w:styleId="13">
    <w:name w:val="Hyperlink"/>
    <w:basedOn w:val="12"/>
    <w:autoRedefine/>
    <w:unhideWhenUsed/>
    <w:qFormat/>
    <w:uiPriority w:val="99"/>
    <w:rPr>
      <w:color w:val="0563C1" w:themeColor="hyperlink"/>
      <w:u w:val="single"/>
      <w14:textFill>
        <w14:solidFill>
          <w14:schemeClr w14:val="hlink"/>
        </w14:solidFill>
      </w14:textFill>
    </w:rPr>
  </w:style>
  <w:style w:type="character" w:styleId="14">
    <w:name w:val="annotation reference"/>
    <w:basedOn w:val="12"/>
    <w:autoRedefine/>
    <w:semiHidden/>
    <w:unhideWhenUsed/>
    <w:qFormat/>
    <w:uiPriority w:val="99"/>
    <w:rPr>
      <w:sz w:val="21"/>
      <w:szCs w:val="21"/>
    </w:rPr>
  </w:style>
  <w:style w:type="character" w:styleId="15">
    <w:name w:val="footnote reference"/>
    <w:basedOn w:val="12"/>
    <w:autoRedefine/>
    <w:semiHidden/>
    <w:unhideWhenUsed/>
    <w:qFormat/>
    <w:uiPriority w:val="99"/>
    <w:rPr>
      <w:vertAlign w:val="superscript"/>
    </w:rPr>
  </w:style>
  <w:style w:type="paragraph" w:customStyle="1" w:styleId="16">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10450</Words>
  <Characters>11000</Characters>
  <Lines>0</Lines>
  <Paragraphs>0</Paragraphs>
  <TotalTime>11</TotalTime>
  <ScaleCrop>false</ScaleCrop>
  <LinksUpToDate>false</LinksUpToDate>
  <CharactersWithSpaces>11366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2023-04-20T04:08:00Z</dcterms:created>
  <dc:creator>Lenovo</dc:creator>
  <cp:lastModifiedBy>寻</cp:lastModifiedBy>
  <dcterms:modified xsi:type="dcterms:W3CDTF">2024-02-25T07:22:42Z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C273C1352F7E416BB3C50FECF5E77AF6_13</vt:lpwstr>
  </property>
</Properties>
</file>