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93E39B">
      <w:pPr>
        <w:spacing w:line="480" w:lineRule="auto"/>
        <w:ind w:firstLine="0" w:firstLineChars="0"/>
        <w:rPr>
          <w:rFonts w:hint="default" w:ascii="Times New Roman" w:hAnsi="Times New Roman" w:eastAsia="黑体" w:cs="Times New Roman"/>
          <w:b/>
          <w:kern w:val="0"/>
          <w:sz w:val="50"/>
          <w:szCs w:val="50"/>
          <w:lang w:bidi="en-US"/>
        </w:rPr>
      </w:pPr>
      <w:bookmarkStart w:id="62" w:name="_GoBack"/>
      <w:bookmarkEnd w:id="62"/>
    </w:p>
    <w:p w14:paraId="7FD58EFF">
      <w:pPr>
        <w:spacing w:line="480" w:lineRule="auto"/>
        <w:ind w:firstLine="0" w:firstLineChars="0"/>
        <w:rPr>
          <w:rFonts w:hint="default" w:ascii="Times New Roman" w:hAnsi="Times New Roman" w:eastAsia="黑体" w:cs="Times New Roman"/>
          <w:b/>
          <w:kern w:val="0"/>
          <w:sz w:val="50"/>
          <w:szCs w:val="50"/>
          <w:lang w:bidi="en-US"/>
        </w:rPr>
      </w:pPr>
    </w:p>
    <w:p w14:paraId="1FCA8EBD">
      <w:pPr>
        <w:spacing w:line="480" w:lineRule="auto"/>
        <w:ind w:firstLine="0" w:firstLineChars="0"/>
        <w:jc w:val="center"/>
        <w:rPr>
          <w:rFonts w:hint="default" w:ascii="Times New Roman" w:hAnsi="Times New Roman" w:eastAsia="黑体" w:cs="Times New Roman"/>
          <w:b/>
          <w:kern w:val="0"/>
          <w:sz w:val="50"/>
          <w:szCs w:val="50"/>
          <w:lang w:bidi="en-US"/>
        </w:rPr>
      </w:pPr>
    </w:p>
    <w:p w14:paraId="7C8FAF44">
      <w:pPr>
        <w:spacing w:before="120" w:after="120" w:line="480" w:lineRule="auto"/>
        <w:ind w:firstLine="0" w:firstLineChars="0"/>
        <w:jc w:val="center"/>
        <w:rPr>
          <w:rFonts w:hint="default" w:ascii="Times New Roman" w:hAnsi="Times New Roman" w:cs="Times New Roman"/>
          <w:b/>
          <w:sz w:val="44"/>
          <w:szCs w:val="44"/>
        </w:rPr>
      </w:pPr>
      <w:r>
        <w:rPr>
          <w:rFonts w:hint="default" w:ascii="Times New Roman" w:hAnsi="Times New Roman" w:cs="Times New Roman"/>
          <w:b/>
          <w:sz w:val="44"/>
          <w:szCs w:val="44"/>
        </w:rPr>
        <w:t>财政项目支出绩效评价报告</w:t>
      </w:r>
    </w:p>
    <w:p w14:paraId="6162475B">
      <w:pPr>
        <w:spacing w:line="480" w:lineRule="auto"/>
        <w:ind w:firstLine="0" w:firstLineChars="0"/>
        <w:jc w:val="center"/>
        <w:rPr>
          <w:rFonts w:hint="default" w:ascii="Times New Roman" w:hAnsi="Times New Roman" w:eastAsia="黑体" w:cs="Times New Roman"/>
          <w:b/>
          <w:kern w:val="0"/>
          <w:sz w:val="50"/>
          <w:szCs w:val="50"/>
          <w:lang w:bidi="en-US"/>
        </w:rPr>
      </w:pPr>
    </w:p>
    <w:p w14:paraId="4B12ABE4">
      <w:pPr>
        <w:spacing w:line="480" w:lineRule="auto"/>
        <w:ind w:firstLine="0" w:firstLineChars="0"/>
        <w:jc w:val="center"/>
        <w:rPr>
          <w:rFonts w:hint="default" w:ascii="Times New Roman" w:hAnsi="Times New Roman" w:eastAsia="黑体" w:cs="Times New Roman"/>
          <w:b/>
          <w:kern w:val="0"/>
          <w:sz w:val="50"/>
          <w:szCs w:val="50"/>
          <w:lang w:bidi="en-US"/>
        </w:rPr>
      </w:pPr>
    </w:p>
    <w:p w14:paraId="5619E693">
      <w:pPr>
        <w:spacing w:line="480" w:lineRule="auto"/>
        <w:ind w:firstLine="0" w:firstLineChars="0"/>
        <w:jc w:val="center"/>
        <w:rPr>
          <w:rFonts w:hint="default" w:ascii="Times New Roman" w:hAnsi="Times New Roman" w:eastAsia="黑体" w:cs="Times New Roman"/>
          <w:b/>
          <w:kern w:val="0"/>
          <w:sz w:val="50"/>
          <w:szCs w:val="50"/>
          <w:lang w:bidi="en-US"/>
        </w:rPr>
      </w:pPr>
    </w:p>
    <w:p w14:paraId="15AB5C29">
      <w:pPr>
        <w:spacing w:line="480" w:lineRule="auto"/>
        <w:ind w:firstLine="0" w:firstLineChars="0"/>
        <w:jc w:val="center"/>
        <w:rPr>
          <w:rFonts w:hint="default" w:ascii="Times New Roman" w:hAnsi="Times New Roman" w:eastAsia="黑体" w:cs="Times New Roman"/>
          <w:b/>
          <w:kern w:val="0"/>
          <w:sz w:val="50"/>
          <w:szCs w:val="50"/>
          <w:lang w:bidi="en-US"/>
        </w:rPr>
      </w:pPr>
    </w:p>
    <w:p w14:paraId="5263C9A3">
      <w:pPr>
        <w:spacing w:line="480" w:lineRule="auto"/>
        <w:ind w:firstLine="0" w:firstLineChars="0"/>
        <w:jc w:val="center"/>
        <w:rPr>
          <w:rFonts w:hint="default" w:ascii="Times New Roman" w:hAnsi="Times New Roman" w:eastAsia="黑体" w:cs="Times New Roman"/>
          <w:b/>
          <w:kern w:val="0"/>
          <w:sz w:val="50"/>
          <w:szCs w:val="50"/>
          <w:lang w:bidi="en-US"/>
        </w:rPr>
      </w:pPr>
    </w:p>
    <w:p w14:paraId="34BC4C4E">
      <w:pPr>
        <w:spacing w:line="480" w:lineRule="auto"/>
        <w:ind w:firstLine="0" w:firstLineChars="0"/>
        <w:jc w:val="center"/>
        <w:rPr>
          <w:rFonts w:hint="default" w:ascii="Times New Roman" w:hAnsi="Times New Roman" w:eastAsia="黑体" w:cs="Times New Roman"/>
          <w:b/>
          <w:kern w:val="0"/>
          <w:sz w:val="50"/>
          <w:szCs w:val="50"/>
          <w:lang w:bidi="en-US"/>
        </w:rPr>
      </w:pPr>
    </w:p>
    <w:p w14:paraId="6C265FF6">
      <w:pPr>
        <w:spacing w:line="480" w:lineRule="auto"/>
        <w:ind w:firstLine="0" w:firstLineChars="0"/>
        <w:jc w:val="center"/>
        <w:rPr>
          <w:rFonts w:hint="default" w:ascii="Times New Roman" w:hAnsi="Times New Roman" w:cs="Times New Roman"/>
          <w:kern w:val="0"/>
          <w:sz w:val="30"/>
          <w:szCs w:val="30"/>
          <w:lang w:bidi="en-US"/>
        </w:rPr>
      </w:pPr>
    </w:p>
    <w:p w14:paraId="4434CA59">
      <w:pPr>
        <w:spacing w:line="480" w:lineRule="auto"/>
        <w:ind w:firstLine="1411" w:firstLineChars="441"/>
        <w:jc w:val="left"/>
        <w:rPr>
          <w:rFonts w:hint="default" w:ascii="Times New Roman" w:hAnsi="Times New Roman" w:cs="Times New Roman"/>
          <w:kern w:val="0"/>
          <w:sz w:val="32"/>
          <w:szCs w:val="32"/>
          <w:lang w:bidi="en-US"/>
        </w:rPr>
      </w:pPr>
      <w:r>
        <w:rPr>
          <w:rFonts w:hint="default" w:ascii="Times New Roman" w:hAnsi="Times New Roman" w:cs="Times New Roman"/>
          <w:kern w:val="0"/>
          <w:sz w:val="32"/>
          <w:szCs w:val="32"/>
          <w:lang w:bidi="en-US"/>
        </w:rPr>
        <w:t xml:space="preserve">项目名称：乌财科教【2021】96号关于提前下达2022年城乡义务教育项目直达资金校舍安全保障机制经费 </w:t>
      </w:r>
    </w:p>
    <w:p w14:paraId="22916AED">
      <w:pPr>
        <w:spacing w:line="480" w:lineRule="auto"/>
        <w:ind w:left="280" w:leftChars="100" w:firstLine="1091" w:firstLineChars="341"/>
        <w:jc w:val="left"/>
        <w:rPr>
          <w:rFonts w:hint="eastAsia" w:ascii="Times New Roman" w:hAnsi="Times New Roman" w:eastAsia="仿宋_GB2312" w:cs="Times New Roman"/>
          <w:kern w:val="0"/>
          <w:sz w:val="32"/>
          <w:szCs w:val="32"/>
          <w:lang w:val="en-US" w:eastAsia="zh-CN" w:bidi="en-US"/>
        </w:rPr>
      </w:pPr>
      <w:r>
        <w:rPr>
          <w:rFonts w:hint="default" w:ascii="Times New Roman" w:hAnsi="Times New Roman" w:cs="Times New Roman"/>
          <w:kern w:val="0"/>
          <w:sz w:val="32"/>
          <w:szCs w:val="32"/>
          <w:lang w:bidi="en-US"/>
        </w:rPr>
        <w:t>项目单位：</w:t>
      </w:r>
      <w:r>
        <w:rPr>
          <w:rFonts w:hint="eastAsia" w:ascii="Times New Roman" w:hAnsi="Times New Roman" w:cs="Times New Roman"/>
          <w:kern w:val="0"/>
          <w:sz w:val="32"/>
          <w:szCs w:val="32"/>
          <w:lang w:val="en-US" w:eastAsia="zh-CN" w:bidi="en-US"/>
        </w:rPr>
        <w:t>乌鲁木齐县小东沟小学</w:t>
      </w:r>
    </w:p>
    <w:p w14:paraId="10F21942">
      <w:pPr>
        <w:spacing w:line="480" w:lineRule="auto"/>
        <w:ind w:left="280" w:leftChars="100" w:firstLine="1091" w:firstLineChars="341"/>
        <w:jc w:val="left"/>
        <w:rPr>
          <w:rFonts w:hint="eastAsia" w:ascii="Times New Roman" w:hAnsi="Times New Roman" w:eastAsia="仿宋_GB2312" w:cs="Times New Roman"/>
          <w:kern w:val="0"/>
          <w:sz w:val="32"/>
          <w:szCs w:val="32"/>
          <w:lang w:eastAsia="zh-CN" w:bidi="en-US"/>
        </w:rPr>
      </w:pPr>
      <w:r>
        <w:rPr>
          <w:rFonts w:hint="default" w:ascii="Times New Roman" w:hAnsi="Times New Roman" w:cs="Times New Roman"/>
          <w:kern w:val="0"/>
          <w:sz w:val="32"/>
          <w:szCs w:val="32"/>
          <w:lang w:bidi="en-US"/>
        </w:rPr>
        <w:t>主管部门：</w:t>
      </w:r>
      <w:r>
        <w:rPr>
          <w:rFonts w:hint="eastAsia" w:ascii="Times New Roman" w:hAnsi="Times New Roman" w:cs="Times New Roman"/>
          <w:kern w:val="0"/>
          <w:sz w:val="32"/>
          <w:szCs w:val="32"/>
          <w:lang w:eastAsia="zh-CN" w:bidi="en-US"/>
        </w:rPr>
        <w:t>乌鲁木齐县教育局</w:t>
      </w:r>
    </w:p>
    <w:p w14:paraId="1013DF6C">
      <w:pPr>
        <w:spacing w:line="480" w:lineRule="auto"/>
        <w:ind w:firstLine="1411" w:firstLineChars="441"/>
        <w:jc w:val="left"/>
        <w:rPr>
          <w:rFonts w:hint="default" w:ascii="Times New Roman" w:hAnsi="Times New Roman" w:cs="Times New Roman"/>
          <w:kern w:val="0"/>
          <w:sz w:val="32"/>
          <w:szCs w:val="32"/>
          <w:lang w:bidi="en-US"/>
        </w:rPr>
      </w:pPr>
    </w:p>
    <w:p w14:paraId="027EE6C3">
      <w:pPr>
        <w:spacing w:line="480" w:lineRule="auto"/>
        <w:ind w:firstLine="0" w:firstLineChars="0"/>
        <w:rPr>
          <w:rFonts w:hint="default" w:ascii="Times New Roman" w:hAnsi="Times New Roman" w:eastAsia="黑体" w:cs="Times New Roman"/>
          <w:b/>
          <w:kern w:val="0"/>
          <w:sz w:val="32"/>
          <w:szCs w:val="32"/>
          <w:lang w:bidi="en-US"/>
        </w:rPr>
      </w:pPr>
    </w:p>
    <w:p w14:paraId="2B06538D">
      <w:pPr>
        <w:spacing w:line="480" w:lineRule="auto"/>
        <w:ind w:firstLine="0" w:firstLineChars="0"/>
        <w:rPr>
          <w:rFonts w:hint="default" w:ascii="Times New Roman" w:hAnsi="Times New Roman" w:eastAsia="黑体" w:cs="Times New Roman"/>
          <w:b/>
          <w:kern w:val="0"/>
          <w:sz w:val="32"/>
          <w:szCs w:val="32"/>
          <w:lang w:bidi="en-US"/>
        </w:rPr>
      </w:pPr>
    </w:p>
    <w:p w14:paraId="3AF1A447">
      <w:pPr>
        <w:spacing w:line="480" w:lineRule="auto"/>
        <w:ind w:firstLine="0" w:firstLineChars="0"/>
        <w:jc w:val="center"/>
        <w:rPr>
          <w:rFonts w:hint="default" w:ascii="Times New Roman" w:hAnsi="Times New Roman" w:cs="Times New Roman"/>
          <w:kern w:val="0"/>
          <w:sz w:val="32"/>
          <w:szCs w:val="32"/>
          <w:lang w:bidi="en-US"/>
        </w:rPr>
      </w:pPr>
      <w:r>
        <w:rPr>
          <w:rFonts w:hint="default" w:ascii="Times New Roman" w:hAnsi="Times New Roman" w:cs="Times New Roman"/>
          <w:kern w:val="0"/>
          <w:sz w:val="32"/>
          <w:szCs w:val="32"/>
          <w:lang w:bidi="en-US"/>
        </w:rPr>
        <w:t>2023年04月</w:t>
      </w:r>
    </w:p>
    <w:p w14:paraId="6C3231A8">
      <w:pPr>
        <w:spacing w:line="480" w:lineRule="auto"/>
        <w:ind w:firstLine="0" w:firstLineChars="0"/>
        <w:jc w:val="center"/>
        <w:rPr>
          <w:rFonts w:hint="default" w:ascii="Times New Roman" w:hAnsi="Times New Roman" w:cs="Times New Roman"/>
          <w:kern w:val="0"/>
          <w:sz w:val="32"/>
          <w:szCs w:val="32"/>
          <w:lang w:bidi="en-US"/>
        </w:rPr>
      </w:pPr>
    </w:p>
    <w:p w14:paraId="16484F77">
      <w:pPr>
        <w:tabs>
          <w:tab w:val="left" w:pos="3324"/>
        </w:tabs>
        <w:spacing w:line="480" w:lineRule="auto"/>
        <w:ind w:firstLine="0" w:firstLineChars="0"/>
        <w:rPr>
          <w:rFonts w:hint="default" w:ascii="Times New Roman" w:hAnsi="Times New Roman" w:cs="Times New Roman"/>
          <w:kern w:val="0"/>
          <w:sz w:val="32"/>
          <w:szCs w:val="32"/>
          <w:lang w:bidi="en-US"/>
        </w:rPr>
      </w:pPr>
      <w:r>
        <w:rPr>
          <w:rFonts w:hint="default" w:ascii="Times New Roman" w:hAnsi="Times New Roman" w:cs="Times New Roman"/>
          <w:kern w:val="0"/>
          <w:sz w:val="32"/>
          <w:szCs w:val="32"/>
          <w:lang w:bidi="en-US"/>
        </w:rPr>
        <w:tab/>
      </w:r>
    </w:p>
    <w:p w14:paraId="1F888D66">
      <w:pPr>
        <w:ind w:firstLine="640"/>
        <w:rPr>
          <w:rFonts w:hint="default" w:ascii="Times New Roman" w:hAnsi="Times New Roman" w:cs="Times New Roman"/>
          <w:kern w:val="0"/>
          <w:sz w:val="32"/>
          <w:szCs w:val="32"/>
          <w:lang w:bidi="en-US"/>
        </w:rPr>
      </w:pPr>
    </w:p>
    <w:sdt>
      <w:sdtPr>
        <w:rPr>
          <w:rFonts w:hint="default" w:ascii="Times New Roman" w:hAnsi="Times New Roman" w:eastAsia="仿宋_GB2312" w:cs="Times New Roman"/>
          <w:color w:val="auto"/>
          <w:kern w:val="2"/>
          <w:sz w:val="28"/>
          <w:szCs w:val="22"/>
          <w:lang w:val="zh-CN"/>
        </w:rPr>
        <w:id w:val="-1822651860"/>
        <w:docPartObj>
          <w:docPartGallery w:val="Table of Contents"/>
          <w:docPartUnique/>
        </w:docPartObj>
      </w:sdtPr>
      <w:sdtEndPr>
        <w:rPr>
          <w:rFonts w:hint="default" w:ascii="Times New Roman" w:hAnsi="Times New Roman" w:eastAsia="仿宋_GB2312" w:cs="Times New Roman"/>
          <w:b/>
          <w:bCs/>
          <w:color w:val="auto"/>
          <w:kern w:val="2"/>
          <w:sz w:val="28"/>
          <w:szCs w:val="22"/>
          <w:lang w:val="zh-CN"/>
        </w:rPr>
      </w:sdtEndPr>
      <w:sdtContent>
        <w:p w14:paraId="0F8A82C9">
          <w:pPr>
            <w:pStyle w:val="30"/>
            <w:ind w:firstLine="560"/>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lang w:val="zh-CN"/>
              <w14:textFill>
                <w14:solidFill>
                  <w14:schemeClr w14:val="tx1"/>
                </w14:solidFill>
              </w14:textFill>
            </w:rPr>
            <w:t>目录</w:t>
          </w:r>
        </w:p>
        <w:p w14:paraId="2ADA4DA3">
          <w:pPr>
            <w:pStyle w:val="11"/>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TOC \o "1-3" \h \z \u </w:instrText>
          </w:r>
          <w:r>
            <w:rPr>
              <w:rFonts w:hint="default" w:ascii="Times New Roman" w:hAnsi="Times New Roman" w:cs="Times New Roman"/>
            </w:rPr>
            <w:fldChar w:fldCharType="separate"/>
          </w:r>
          <w:r>
            <w:rPr>
              <w:rFonts w:hint="default" w:ascii="Times New Roman" w:hAnsi="Times New Roman" w:cs="Times New Roman"/>
            </w:rPr>
            <w:fldChar w:fldCharType="begin"/>
          </w:r>
          <w:r>
            <w:rPr>
              <w:rFonts w:hint="default" w:ascii="Times New Roman" w:hAnsi="Times New Roman" w:cs="Times New Roman"/>
            </w:rPr>
            <w:instrText xml:space="preserve"> HYPERLINK \l "_Toc100784583"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一、基本情况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_Toc100784583 \h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rPr>
            <w:fldChar w:fldCharType="end"/>
          </w:r>
        </w:p>
        <w:p w14:paraId="4A83C06E">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"_Toc100784584"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（一）项目概况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_Toc100784584 \h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rPr>
            <w:fldChar w:fldCharType="end"/>
          </w:r>
        </w:p>
        <w:p w14:paraId="238B445F">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"_Toc100784585"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（二）项目绩效目标</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_Toc100784585 \h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rPr>
            <w:fldChar w:fldCharType="end"/>
          </w:r>
        </w:p>
        <w:p w14:paraId="6765408D">
          <w:pPr>
            <w:pStyle w:val="11"/>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"_Toc100784586"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二、绩效评价工作开展情况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_Toc100784586 \h </w:instrText>
          </w:r>
          <w:r>
            <w:rPr>
              <w:rFonts w:hint="default" w:ascii="Times New Roman" w:hAnsi="Times New Roman" w:cs="Times New Roman"/>
            </w:rPr>
            <w:fldChar w:fldCharType="separate"/>
          </w:r>
          <w:r>
            <w:rPr>
              <w:rFonts w:hint="default" w:ascii="Times New Roman" w:hAnsi="Times New Roman" w:cs="Times New Roman"/>
            </w:rPr>
            <w:t>2</w:t>
          </w:r>
          <w:r>
            <w:rPr>
              <w:rFonts w:hint="default" w:ascii="Times New Roman" w:hAnsi="Times New Roman" w:cs="Times New Roman"/>
            </w:rPr>
            <w:fldChar w:fldCharType="end"/>
          </w:r>
          <w:r>
            <w:rPr>
              <w:rFonts w:hint="default" w:ascii="Times New Roman" w:hAnsi="Times New Roman" w:cs="Times New Roman"/>
            </w:rPr>
            <w:fldChar w:fldCharType="end"/>
          </w:r>
        </w:p>
        <w:p w14:paraId="53A68D1B">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"_Toc100784587"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（一）绩效评价目的、对象和范围</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_Toc100784587 \h </w:instrText>
          </w:r>
          <w:r>
            <w:rPr>
              <w:rFonts w:hint="default" w:ascii="Times New Roman" w:hAnsi="Times New Roman" w:cs="Times New Roman"/>
            </w:rPr>
            <w:fldChar w:fldCharType="separate"/>
          </w:r>
          <w:r>
            <w:rPr>
              <w:rFonts w:hint="default" w:ascii="Times New Roman" w:hAnsi="Times New Roman" w:cs="Times New Roman"/>
            </w:rPr>
            <w:t>2</w:t>
          </w:r>
          <w:r>
            <w:rPr>
              <w:rFonts w:hint="default" w:ascii="Times New Roman" w:hAnsi="Times New Roman" w:cs="Times New Roman"/>
            </w:rPr>
            <w:fldChar w:fldCharType="end"/>
          </w:r>
          <w:r>
            <w:rPr>
              <w:rFonts w:hint="default" w:ascii="Times New Roman" w:hAnsi="Times New Roman" w:cs="Times New Roman"/>
            </w:rPr>
            <w:fldChar w:fldCharType="end"/>
          </w:r>
        </w:p>
        <w:p w14:paraId="21C35F42">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"_Toc100784588" </w:instrText>
          </w:r>
          <w:r>
            <w:rPr>
              <w:rFonts w:hint="default" w:ascii="Times New Roman" w:hAnsi="Times New Roman" w:cs="Times New Roman"/>
            </w:rPr>
            <w:fldChar w:fldCharType="separate"/>
          </w:r>
          <w:r>
            <w:rPr>
              <w:rStyle w:val="19"/>
              <w:rFonts w:hint="default" w:ascii="Times New Roman" w:hAnsi="Times New Roman" w:cs="Times New Roman"/>
            </w:rPr>
            <w:t>1.评价目的</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_Toc100784588 \h </w:instrText>
          </w:r>
          <w:r>
            <w:rPr>
              <w:rFonts w:hint="default" w:ascii="Times New Roman" w:hAnsi="Times New Roman" w:cs="Times New Roman"/>
            </w:rPr>
            <w:fldChar w:fldCharType="separate"/>
          </w:r>
          <w:r>
            <w:rPr>
              <w:rFonts w:hint="default" w:ascii="Times New Roman" w:hAnsi="Times New Roman" w:cs="Times New Roman"/>
            </w:rPr>
            <w:t>2</w:t>
          </w:r>
          <w:r>
            <w:rPr>
              <w:rFonts w:hint="default" w:ascii="Times New Roman" w:hAnsi="Times New Roman" w:cs="Times New Roman"/>
            </w:rPr>
            <w:fldChar w:fldCharType="end"/>
          </w:r>
          <w:r>
            <w:rPr>
              <w:rFonts w:hint="default" w:ascii="Times New Roman" w:hAnsi="Times New Roman" w:cs="Times New Roman"/>
            </w:rPr>
            <w:fldChar w:fldCharType="end"/>
          </w:r>
        </w:p>
        <w:p w14:paraId="152DEB83">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"_Toc100784589" </w:instrText>
          </w:r>
          <w:r>
            <w:rPr>
              <w:rFonts w:hint="default" w:ascii="Times New Roman" w:hAnsi="Times New Roman" w:cs="Times New Roman"/>
            </w:rPr>
            <w:fldChar w:fldCharType="separate"/>
          </w:r>
          <w:r>
            <w:rPr>
              <w:rStyle w:val="19"/>
              <w:rFonts w:hint="default" w:ascii="Times New Roman" w:hAnsi="Times New Roman" w:cs="Times New Roman"/>
            </w:rPr>
            <w:t>2.评价对象和范围</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_Toc100784589 \h </w:instrText>
          </w:r>
          <w:r>
            <w:rPr>
              <w:rFonts w:hint="default" w:ascii="Times New Roman" w:hAnsi="Times New Roman" w:cs="Times New Roman"/>
            </w:rPr>
            <w:fldChar w:fldCharType="separate"/>
          </w:r>
          <w:r>
            <w:rPr>
              <w:rFonts w:hint="default" w:ascii="Times New Roman" w:hAnsi="Times New Roman" w:cs="Times New Roman"/>
            </w:rPr>
            <w:t>3</w:t>
          </w:r>
          <w:r>
            <w:rPr>
              <w:rFonts w:hint="default" w:ascii="Times New Roman" w:hAnsi="Times New Roman" w:cs="Times New Roman"/>
            </w:rPr>
            <w:fldChar w:fldCharType="end"/>
          </w:r>
          <w:r>
            <w:rPr>
              <w:rFonts w:hint="default" w:ascii="Times New Roman" w:hAnsi="Times New Roman" w:cs="Times New Roman"/>
            </w:rPr>
            <w:fldChar w:fldCharType="end"/>
          </w:r>
        </w:p>
        <w:p w14:paraId="212E7180">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"_Toc100784590"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（二）绩效评价原则、指标体系、方法及标准</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_Toc100784590 \h </w:instrText>
          </w:r>
          <w:r>
            <w:rPr>
              <w:rFonts w:hint="default" w:ascii="Times New Roman" w:hAnsi="Times New Roman" w:cs="Times New Roman"/>
            </w:rPr>
            <w:fldChar w:fldCharType="separate"/>
          </w:r>
          <w:r>
            <w:rPr>
              <w:rFonts w:hint="default" w:ascii="Times New Roman" w:hAnsi="Times New Roman" w:cs="Times New Roman"/>
            </w:rPr>
            <w:t>3</w:t>
          </w:r>
          <w:r>
            <w:rPr>
              <w:rFonts w:hint="default" w:ascii="Times New Roman" w:hAnsi="Times New Roman" w:cs="Times New Roman"/>
            </w:rPr>
            <w:fldChar w:fldCharType="end"/>
          </w:r>
          <w:r>
            <w:rPr>
              <w:rFonts w:hint="default" w:ascii="Times New Roman" w:hAnsi="Times New Roman" w:cs="Times New Roman"/>
            </w:rPr>
            <w:fldChar w:fldCharType="end"/>
          </w:r>
        </w:p>
        <w:p w14:paraId="78A5F41D">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"_Toc100784591" </w:instrText>
          </w:r>
          <w:r>
            <w:rPr>
              <w:rFonts w:hint="default" w:ascii="Times New Roman" w:hAnsi="Times New Roman" w:cs="Times New Roman"/>
            </w:rPr>
            <w:fldChar w:fldCharType="separate"/>
          </w:r>
          <w:r>
            <w:rPr>
              <w:rStyle w:val="19"/>
              <w:rFonts w:hint="default" w:ascii="Times New Roman" w:hAnsi="Times New Roman" w:cs="Times New Roman"/>
            </w:rPr>
            <w:t>1.评价原则</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_Toc100784591 \h </w:instrText>
          </w:r>
          <w:r>
            <w:rPr>
              <w:rFonts w:hint="default" w:ascii="Times New Roman" w:hAnsi="Times New Roman" w:cs="Times New Roman"/>
            </w:rPr>
            <w:fldChar w:fldCharType="separate"/>
          </w:r>
          <w:r>
            <w:rPr>
              <w:rFonts w:hint="default" w:ascii="Times New Roman" w:hAnsi="Times New Roman" w:cs="Times New Roman"/>
            </w:rPr>
            <w:t>3</w:t>
          </w:r>
          <w:r>
            <w:rPr>
              <w:rFonts w:hint="default" w:ascii="Times New Roman" w:hAnsi="Times New Roman" w:cs="Times New Roman"/>
            </w:rPr>
            <w:fldChar w:fldCharType="end"/>
          </w:r>
          <w:r>
            <w:rPr>
              <w:rFonts w:hint="default" w:ascii="Times New Roman" w:hAnsi="Times New Roman" w:cs="Times New Roman"/>
            </w:rPr>
            <w:fldChar w:fldCharType="end"/>
          </w:r>
        </w:p>
        <w:p w14:paraId="7A3C5B20">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"_Toc100784592" </w:instrText>
          </w:r>
          <w:r>
            <w:rPr>
              <w:rFonts w:hint="default" w:ascii="Times New Roman" w:hAnsi="Times New Roman" w:cs="Times New Roman"/>
            </w:rPr>
            <w:fldChar w:fldCharType="separate"/>
          </w:r>
          <w:r>
            <w:rPr>
              <w:rStyle w:val="19"/>
              <w:rFonts w:hint="default" w:ascii="Times New Roman" w:hAnsi="Times New Roman" w:cs="Times New Roman"/>
            </w:rPr>
            <w:t>2.评价指标体系</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_Toc100784592 \h </w:instrText>
          </w:r>
          <w:r>
            <w:rPr>
              <w:rFonts w:hint="default" w:ascii="Times New Roman" w:hAnsi="Times New Roman" w:cs="Times New Roman"/>
            </w:rPr>
            <w:fldChar w:fldCharType="separate"/>
          </w:r>
          <w:r>
            <w:rPr>
              <w:rFonts w:hint="default" w:ascii="Times New Roman" w:hAnsi="Times New Roman" w:cs="Times New Roman"/>
            </w:rPr>
            <w:t>4</w:t>
          </w:r>
          <w:r>
            <w:rPr>
              <w:rFonts w:hint="default" w:ascii="Times New Roman" w:hAnsi="Times New Roman" w:cs="Times New Roman"/>
            </w:rPr>
            <w:fldChar w:fldCharType="end"/>
          </w:r>
          <w:r>
            <w:rPr>
              <w:rFonts w:hint="default" w:ascii="Times New Roman" w:hAnsi="Times New Roman" w:cs="Times New Roman"/>
            </w:rPr>
            <w:fldChar w:fldCharType="end"/>
          </w:r>
        </w:p>
        <w:p w14:paraId="43A017F2">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"_Toc100784593" </w:instrText>
          </w:r>
          <w:r>
            <w:rPr>
              <w:rFonts w:hint="default" w:ascii="Times New Roman" w:hAnsi="Times New Roman" w:cs="Times New Roman"/>
            </w:rPr>
            <w:fldChar w:fldCharType="separate"/>
          </w:r>
          <w:r>
            <w:rPr>
              <w:rStyle w:val="19"/>
              <w:rFonts w:hint="default" w:ascii="Times New Roman" w:hAnsi="Times New Roman" w:cs="Times New Roman"/>
            </w:rPr>
            <w:t>3.评价方法</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_Toc100784593 \h </w:instrText>
          </w:r>
          <w:r>
            <w:rPr>
              <w:rFonts w:hint="default" w:ascii="Times New Roman" w:hAnsi="Times New Roman" w:cs="Times New Roman"/>
            </w:rPr>
            <w:fldChar w:fldCharType="separate"/>
          </w:r>
          <w:r>
            <w:rPr>
              <w:rFonts w:hint="default" w:ascii="Times New Roman" w:hAnsi="Times New Roman" w:cs="Times New Roman"/>
            </w:rPr>
            <w:t>10</w:t>
          </w:r>
          <w:r>
            <w:rPr>
              <w:rFonts w:hint="default" w:ascii="Times New Roman" w:hAnsi="Times New Roman" w:cs="Times New Roman"/>
            </w:rPr>
            <w:fldChar w:fldCharType="end"/>
          </w:r>
          <w:r>
            <w:rPr>
              <w:rFonts w:hint="default" w:ascii="Times New Roman" w:hAnsi="Times New Roman" w:cs="Times New Roman"/>
            </w:rPr>
            <w:fldChar w:fldCharType="end"/>
          </w:r>
        </w:p>
        <w:p w14:paraId="79FF5C5A">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"_Toc100784594" </w:instrText>
          </w:r>
          <w:r>
            <w:rPr>
              <w:rFonts w:hint="default" w:ascii="Times New Roman" w:hAnsi="Times New Roman" w:cs="Times New Roman"/>
            </w:rPr>
            <w:fldChar w:fldCharType="separate"/>
          </w:r>
          <w:r>
            <w:rPr>
              <w:rStyle w:val="19"/>
              <w:rFonts w:hint="default" w:ascii="Times New Roman" w:hAnsi="Times New Roman" w:cs="Times New Roman"/>
            </w:rPr>
            <w:t>4.评价标准</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_Toc100784594 \h </w:instrText>
          </w:r>
          <w:r>
            <w:rPr>
              <w:rFonts w:hint="default" w:ascii="Times New Roman" w:hAnsi="Times New Roman" w:cs="Times New Roman"/>
            </w:rPr>
            <w:fldChar w:fldCharType="separate"/>
          </w:r>
          <w:r>
            <w:rPr>
              <w:rFonts w:hint="default" w:ascii="Times New Roman" w:hAnsi="Times New Roman" w:cs="Times New Roman"/>
            </w:rPr>
            <w:t>11</w:t>
          </w:r>
          <w:r>
            <w:rPr>
              <w:rFonts w:hint="default" w:ascii="Times New Roman" w:hAnsi="Times New Roman" w:cs="Times New Roman"/>
            </w:rPr>
            <w:fldChar w:fldCharType="end"/>
          </w:r>
          <w:r>
            <w:rPr>
              <w:rFonts w:hint="default" w:ascii="Times New Roman" w:hAnsi="Times New Roman" w:cs="Times New Roman"/>
            </w:rPr>
            <w:fldChar w:fldCharType="end"/>
          </w:r>
        </w:p>
        <w:p w14:paraId="2C2ADB11">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"_Toc100784595"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（三）绩效评价工作过程</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_Toc100784595 \h </w:instrText>
          </w:r>
          <w:r>
            <w:rPr>
              <w:rFonts w:hint="default" w:ascii="Times New Roman" w:hAnsi="Times New Roman" w:cs="Times New Roman"/>
            </w:rPr>
            <w:fldChar w:fldCharType="separate"/>
          </w:r>
          <w:r>
            <w:rPr>
              <w:rFonts w:hint="default" w:ascii="Times New Roman" w:hAnsi="Times New Roman" w:cs="Times New Roman"/>
            </w:rPr>
            <w:t>11</w:t>
          </w:r>
          <w:r>
            <w:rPr>
              <w:rFonts w:hint="default" w:ascii="Times New Roman" w:hAnsi="Times New Roman" w:cs="Times New Roman"/>
            </w:rPr>
            <w:fldChar w:fldCharType="end"/>
          </w:r>
          <w:r>
            <w:rPr>
              <w:rFonts w:hint="default" w:ascii="Times New Roman" w:hAnsi="Times New Roman" w:cs="Times New Roman"/>
            </w:rPr>
            <w:fldChar w:fldCharType="end"/>
          </w:r>
        </w:p>
        <w:p w14:paraId="62D3CEAD">
          <w:pPr>
            <w:pStyle w:val="11"/>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"_Toc100784596"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三、综合评价情况及评价结论</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_Toc100784596 \h </w:instrText>
          </w:r>
          <w:r>
            <w:rPr>
              <w:rFonts w:hint="default" w:ascii="Times New Roman" w:hAnsi="Times New Roman" w:cs="Times New Roman"/>
            </w:rPr>
            <w:fldChar w:fldCharType="separate"/>
          </w:r>
          <w:r>
            <w:rPr>
              <w:rFonts w:hint="default" w:ascii="Times New Roman" w:hAnsi="Times New Roman" w:cs="Times New Roman"/>
            </w:rPr>
            <w:t>12</w:t>
          </w:r>
          <w:r>
            <w:rPr>
              <w:rFonts w:hint="default" w:ascii="Times New Roman" w:hAnsi="Times New Roman" w:cs="Times New Roman"/>
            </w:rPr>
            <w:fldChar w:fldCharType="end"/>
          </w:r>
          <w:r>
            <w:rPr>
              <w:rFonts w:hint="default" w:ascii="Times New Roman" w:hAnsi="Times New Roman" w:cs="Times New Roman"/>
            </w:rPr>
            <w:fldChar w:fldCharType="end"/>
          </w:r>
        </w:p>
        <w:p w14:paraId="1B144424">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"_Toc100784597"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（一）评价结论</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_Toc100784597 \h </w:instrText>
          </w:r>
          <w:r>
            <w:rPr>
              <w:rFonts w:hint="default" w:ascii="Times New Roman" w:hAnsi="Times New Roman" w:cs="Times New Roman"/>
            </w:rPr>
            <w:fldChar w:fldCharType="separate"/>
          </w:r>
          <w:r>
            <w:rPr>
              <w:rFonts w:hint="default" w:ascii="Times New Roman" w:hAnsi="Times New Roman" w:cs="Times New Roman"/>
            </w:rPr>
            <w:t>12</w:t>
          </w:r>
          <w:r>
            <w:rPr>
              <w:rFonts w:hint="default" w:ascii="Times New Roman" w:hAnsi="Times New Roman" w:cs="Times New Roman"/>
            </w:rPr>
            <w:fldChar w:fldCharType="end"/>
          </w:r>
          <w:r>
            <w:rPr>
              <w:rFonts w:hint="default" w:ascii="Times New Roman" w:hAnsi="Times New Roman" w:cs="Times New Roman"/>
            </w:rPr>
            <w:fldChar w:fldCharType="end"/>
          </w:r>
        </w:p>
        <w:p w14:paraId="03DAF024">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"_Toc100784598"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（二）主要绩效</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_Toc100784598 \h </w:instrText>
          </w:r>
          <w:r>
            <w:rPr>
              <w:rFonts w:hint="default" w:ascii="Times New Roman" w:hAnsi="Times New Roman" w:cs="Times New Roman"/>
            </w:rPr>
            <w:fldChar w:fldCharType="separate"/>
          </w:r>
          <w:r>
            <w:rPr>
              <w:rFonts w:hint="default" w:ascii="Times New Roman" w:hAnsi="Times New Roman" w:cs="Times New Roman"/>
            </w:rPr>
            <w:t>13</w:t>
          </w:r>
          <w:r>
            <w:rPr>
              <w:rFonts w:hint="default" w:ascii="Times New Roman" w:hAnsi="Times New Roman" w:cs="Times New Roman"/>
            </w:rPr>
            <w:fldChar w:fldCharType="end"/>
          </w:r>
          <w:r>
            <w:rPr>
              <w:rFonts w:hint="default" w:ascii="Times New Roman" w:hAnsi="Times New Roman" w:cs="Times New Roman"/>
            </w:rPr>
            <w:fldChar w:fldCharType="end"/>
          </w:r>
        </w:p>
        <w:p w14:paraId="33AC0BC7">
          <w:pPr>
            <w:pStyle w:val="11"/>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"_Toc100784599"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四、绩效评价指标分析</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_Toc100784599 \h </w:instrText>
          </w:r>
          <w:r>
            <w:rPr>
              <w:rFonts w:hint="default" w:ascii="Times New Roman" w:hAnsi="Times New Roman" w:cs="Times New Roman"/>
            </w:rPr>
            <w:fldChar w:fldCharType="separate"/>
          </w:r>
          <w:r>
            <w:rPr>
              <w:rFonts w:hint="default" w:ascii="Times New Roman" w:hAnsi="Times New Roman" w:cs="Times New Roman"/>
            </w:rPr>
            <w:t>14</w:t>
          </w:r>
          <w:r>
            <w:rPr>
              <w:rFonts w:hint="default" w:ascii="Times New Roman" w:hAnsi="Times New Roman" w:cs="Times New Roman"/>
            </w:rPr>
            <w:fldChar w:fldCharType="end"/>
          </w:r>
          <w:r>
            <w:rPr>
              <w:rFonts w:hint="default" w:ascii="Times New Roman" w:hAnsi="Times New Roman" w:cs="Times New Roman"/>
            </w:rPr>
            <w:fldChar w:fldCharType="end"/>
          </w:r>
        </w:p>
        <w:p w14:paraId="7B64DCD1">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"_Toc100784600"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（一）项目决策情况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_Toc100784600 \h </w:instrText>
          </w:r>
          <w:r>
            <w:rPr>
              <w:rFonts w:hint="default" w:ascii="Times New Roman" w:hAnsi="Times New Roman" w:cs="Times New Roman"/>
            </w:rPr>
            <w:fldChar w:fldCharType="separate"/>
          </w:r>
          <w:r>
            <w:rPr>
              <w:rFonts w:hint="default" w:ascii="Times New Roman" w:hAnsi="Times New Roman" w:cs="Times New Roman"/>
            </w:rPr>
            <w:t>14</w:t>
          </w:r>
          <w:r>
            <w:rPr>
              <w:rFonts w:hint="default" w:ascii="Times New Roman" w:hAnsi="Times New Roman" w:cs="Times New Roman"/>
            </w:rPr>
            <w:fldChar w:fldCharType="end"/>
          </w:r>
          <w:r>
            <w:rPr>
              <w:rFonts w:hint="default" w:ascii="Times New Roman" w:hAnsi="Times New Roman" w:cs="Times New Roman"/>
            </w:rPr>
            <w:fldChar w:fldCharType="end"/>
          </w:r>
        </w:p>
        <w:p w14:paraId="2D90AC5F">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"_Toc100784601" </w:instrText>
          </w:r>
          <w:r>
            <w:rPr>
              <w:rFonts w:hint="default" w:ascii="Times New Roman" w:hAnsi="Times New Roman" w:cs="Times New Roman"/>
            </w:rPr>
            <w:fldChar w:fldCharType="separate"/>
          </w:r>
          <w:r>
            <w:rPr>
              <w:rStyle w:val="19"/>
              <w:rFonts w:hint="default" w:ascii="Times New Roman" w:hAnsi="Times New Roman" w:cs="Times New Roman"/>
            </w:rPr>
            <w:t>1.项目立项</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_Toc100784601 \h </w:instrText>
          </w:r>
          <w:r>
            <w:rPr>
              <w:rFonts w:hint="default" w:ascii="Times New Roman" w:hAnsi="Times New Roman" w:cs="Times New Roman"/>
            </w:rPr>
            <w:fldChar w:fldCharType="separate"/>
          </w:r>
          <w:r>
            <w:rPr>
              <w:rFonts w:hint="default" w:ascii="Times New Roman" w:hAnsi="Times New Roman" w:cs="Times New Roman"/>
            </w:rPr>
            <w:t>14</w:t>
          </w:r>
          <w:r>
            <w:rPr>
              <w:rFonts w:hint="default" w:ascii="Times New Roman" w:hAnsi="Times New Roman" w:cs="Times New Roman"/>
            </w:rPr>
            <w:fldChar w:fldCharType="end"/>
          </w:r>
          <w:r>
            <w:rPr>
              <w:rFonts w:hint="default" w:ascii="Times New Roman" w:hAnsi="Times New Roman" w:cs="Times New Roman"/>
            </w:rPr>
            <w:fldChar w:fldCharType="end"/>
          </w:r>
        </w:p>
        <w:p w14:paraId="0BB8DB4F">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"_Toc100784602" </w:instrText>
          </w:r>
          <w:r>
            <w:rPr>
              <w:rFonts w:hint="default" w:ascii="Times New Roman" w:hAnsi="Times New Roman" w:cs="Times New Roman"/>
            </w:rPr>
            <w:fldChar w:fldCharType="separate"/>
          </w:r>
          <w:r>
            <w:rPr>
              <w:rStyle w:val="19"/>
              <w:rFonts w:hint="default" w:ascii="Times New Roman" w:hAnsi="Times New Roman" w:cs="Times New Roman"/>
            </w:rPr>
            <w:t>2.绩效目标</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_Toc100784602 \h </w:instrText>
          </w:r>
          <w:r>
            <w:rPr>
              <w:rFonts w:hint="default" w:ascii="Times New Roman" w:hAnsi="Times New Roman" w:cs="Times New Roman"/>
            </w:rPr>
            <w:fldChar w:fldCharType="separate"/>
          </w:r>
          <w:r>
            <w:rPr>
              <w:rFonts w:hint="default" w:ascii="Times New Roman" w:hAnsi="Times New Roman" w:cs="Times New Roman"/>
            </w:rPr>
            <w:t>14</w:t>
          </w:r>
          <w:r>
            <w:rPr>
              <w:rFonts w:hint="default" w:ascii="Times New Roman" w:hAnsi="Times New Roman" w:cs="Times New Roman"/>
            </w:rPr>
            <w:fldChar w:fldCharType="end"/>
          </w:r>
          <w:r>
            <w:rPr>
              <w:rFonts w:hint="default" w:ascii="Times New Roman" w:hAnsi="Times New Roman" w:cs="Times New Roman"/>
            </w:rPr>
            <w:fldChar w:fldCharType="end"/>
          </w:r>
        </w:p>
        <w:p w14:paraId="70B37721">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"_Toc100784603" </w:instrText>
          </w:r>
          <w:r>
            <w:rPr>
              <w:rFonts w:hint="default" w:ascii="Times New Roman" w:hAnsi="Times New Roman" w:cs="Times New Roman"/>
            </w:rPr>
            <w:fldChar w:fldCharType="separate"/>
          </w:r>
          <w:r>
            <w:rPr>
              <w:rStyle w:val="19"/>
              <w:rFonts w:hint="default" w:ascii="Times New Roman" w:hAnsi="Times New Roman" w:cs="Times New Roman"/>
            </w:rPr>
            <w:t>3.资金投入</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_Toc100784603 \h </w:instrText>
          </w:r>
          <w:r>
            <w:rPr>
              <w:rFonts w:hint="default" w:ascii="Times New Roman" w:hAnsi="Times New Roman" w:cs="Times New Roman"/>
            </w:rPr>
            <w:fldChar w:fldCharType="separate"/>
          </w:r>
          <w:r>
            <w:rPr>
              <w:rFonts w:hint="default" w:ascii="Times New Roman" w:hAnsi="Times New Roman" w:cs="Times New Roman"/>
            </w:rPr>
            <w:t>15</w:t>
          </w:r>
          <w:r>
            <w:rPr>
              <w:rFonts w:hint="default" w:ascii="Times New Roman" w:hAnsi="Times New Roman" w:cs="Times New Roman"/>
            </w:rPr>
            <w:fldChar w:fldCharType="end"/>
          </w:r>
          <w:r>
            <w:rPr>
              <w:rFonts w:hint="default" w:ascii="Times New Roman" w:hAnsi="Times New Roman" w:cs="Times New Roman"/>
            </w:rPr>
            <w:fldChar w:fldCharType="end"/>
          </w:r>
        </w:p>
        <w:p w14:paraId="28368364">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"_Toc100784604"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（二）项目过程情况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_Toc100784604 \h </w:instrText>
          </w:r>
          <w:r>
            <w:rPr>
              <w:rFonts w:hint="default" w:ascii="Times New Roman" w:hAnsi="Times New Roman" w:cs="Times New Roman"/>
            </w:rPr>
            <w:fldChar w:fldCharType="separate"/>
          </w:r>
          <w:r>
            <w:rPr>
              <w:rFonts w:hint="default" w:ascii="Times New Roman" w:hAnsi="Times New Roman" w:cs="Times New Roman"/>
            </w:rPr>
            <w:t>15</w:t>
          </w:r>
          <w:r>
            <w:rPr>
              <w:rFonts w:hint="default" w:ascii="Times New Roman" w:hAnsi="Times New Roman" w:cs="Times New Roman"/>
            </w:rPr>
            <w:fldChar w:fldCharType="end"/>
          </w:r>
          <w:r>
            <w:rPr>
              <w:rFonts w:hint="default" w:ascii="Times New Roman" w:hAnsi="Times New Roman" w:cs="Times New Roman"/>
            </w:rPr>
            <w:fldChar w:fldCharType="end"/>
          </w:r>
        </w:p>
        <w:p w14:paraId="50870F13">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"_Toc100784605" </w:instrText>
          </w:r>
          <w:r>
            <w:rPr>
              <w:rFonts w:hint="default" w:ascii="Times New Roman" w:hAnsi="Times New Roman" w:cs="Times New Roman"/>
            </w:rPr>
            <w:fldChar w:fldCharType="separate"/>
          </w:r>
          <w:r>
            <w:rPr>
              <w:rStyle w:val="19"/>
              <w:rFonts w:hint="default" w:ascii="Times New Roman" w:hAnsi="Times New Roman" w:cs="Times New Roman"/>
            </w:rPr>
            <w:t>1.资金管理</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_Toc100784605 \h </w:instrText>
          </w:r>
          <w:r>
            <w:rPr>
              <w:rFonts w:hint="default" w:ascii="Times New Roman" w:hAnsi="Times New Roman" w:cs="Times New Roman"/>
            </w:rPr>
            <w:fldChar w:fldCharType="separate"/>
          </w:r>
          <w:r>
            <w:rPr>
              <w:rFonts w:hint="default" w:ascii="Times New Roman" w:hAnsi="Times New Roman" w:cs="Times New Roman"/>
            </w:rPr>
            <w:t>16</w:t>
          </w:r>
          <w:r>
            <w:rPr>
              <w:rFonts w:hint="default" w:ascii="Times New Roman" w:hAnsi="Times New Roman" w:cs="Times New Roman"/>
            </w:rPr>
            <w:fldChar w:fldCharType="end"/>
          </w:r>
          <w:r>
            <w:rPr>
              <w:rFonts w:hint="default" w:ascii="Times New Roman" w:hAnsi="Times New Roman" w:cs="Times New Roman"/>
            </w:rPr>
            <w:fldChar w:fldCharType="end"/>
          </w:r>
        </w:p>
        <w:p w14:paraId="12BE1325">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"_Toc100784606" </w:instrText>
          </w:r>
          <w:r>
            <w:rPr>
              <w:rFonts w:hint="default" w:ascii="Times New Roman" w:hAnsi="Times New Roman" w:cs="Times New Roman"/>
            </w:rPr>
            <w:fldChar w:fldCharType="separate"/>
          </w:r>
          <w:r>
            <w:rPr>
              <w:rStyle w:val="19"/>
              <w:rFonts w:hint="default" w:ascii="Times New Roman" w:hAnsi="Times New Roman" w:cs="Times New Roman"/>
            </w:rPr>
            <w:t>2.组织实施</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_Toc100784606 \h </w:instrText>
          </w:r>
          <w:r>
            <w:rPr>
              <w:rFonts w:hint="default" w:ascii="Times New Roman" w:hAnsi="Times New Roman" w:cs="Times New Roman"/>
            </w:rPr>
            <w:fldChar w:fldCharType="separate"/>
          </w:r>
          <w:r>
            <w:rPr>
              <w:rFonts w:hint="default" w:ascii="Times New Roman" w:hAnsi="Times New Roman" w:cs="Times New Roman"/>
            </w:rPr>
            <w:t>16</w:t>
          </w:r>
          <w:r>
            <w:rPr>
              <w:rFonts w:hint="default" w:ascii="Times New Roman" w:hAnsi="Times New Roman" w:cs="Times New Roman"/>
            </w:rPr>
            <w:fldChar w:fldCharType="end"/>
          </w:r>
          <w:r>
            <w:rPr>
              <w:rFonts w:hint="default" w:ascii="Times New Roman" w:hAnsi="Times New Roman" w:cs="Times New Roman"/>
            </w:rPr>
            <w:fldChar w:fldCharType="end"/>
          </w:r>
        </w:p>
        <w:p w14:paraId="7C0D8EB5">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"_Toc100784607"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（三）项目产出情况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_Toc100784607 \h </w:instrText>
          </w:r>
          <w:r>
            <w:rPr>
              <w:rFonts w:hint="default" w:ascii="Times New Roman" w:hAnsi="Times New Roman" w:cs="Times New Roman"/>
            </w:rPr>
            <w:fldChar w:fldCharType="separate"/>
          </w:r>
          <w:r>
            <w:rPr>
              <w:rFonts w:hint="default" w:ascii="Times New Roman" w:hAnsi="Times New Roman" w:cs="Times New Roman"/>
            </w:rPr>
            <w:t>17</w:t>
          </w:r>
          <w:r>
            <w:rPr>
              <w:rFonts w:hint="default" w:ascii="Times New Roman" w:hAnsi="Times New Roman" w:cs="Times New Roman"/>
            </w:rPr>
            <w:fldChar w:fldCharType="end"/>
          </w:r>
          <w:r>
            <w:rPr>
              <w:rFonts w:hint="default" w:ascii="Times New Roman" w:hAnsi="Times New Roman" w:cs="Times New Roman"/>
            </w:rPr>
            <w:fldChar w:fldCharType="end"/>
          </w:r>
        </w:p>
        <w:p w14:paraId="5D6DF19E">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"_Toc100784608" </w:instrText>
          </w:r>
          <w:r>
            <w:rPr>
              <w:rFonts w:hint="default" w:ascii="Times New Roman" w:hAnsi="Times New Roman" w:cs="Times New Roman"/>
            </w:rPr>
            <w:fldChar w:fldCharType="separate"/>
          </w:r>
          <w:r>
            <w:rPr>
              <w:rStyle w:val="19"/>
              <w:rFonts w:hint="default" w:ascii="Times New Roman" w:hAnsi="Times New Roman" w:cs="Times New Roman"/>
            </w:rPr>
            <w:t>1.产出数量</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_Toc100784608 \h </w:instrText>
          </w:r>
          <w:r>
            <w:rPr>
              <w:rFonts w:hint="default" w:ascii="Times New Roman" w:hAnsi="Times New Roman" w:cs="Times New Roman"/>
            </w:rPr>
            <w:fldChar w:fldCharType="separate"/>
          </w:r>
          <w:r>
            <w:rPr>
              <w:rFonts w:hint="default" w:ascii="Times New Roman" w:hAnsi="Times New Roman" w:cs="Times New Roman"/>
            </w:rPr>
            <w:t>17</w:t>
          </w:r>
          <w:r>
            <w:rPr>
              <w:rFonts w:hint="default" w:ascii="Times New Roman" w:hAnsi="Times New Roman" w:cs="Times New Roman"/>
            </w:rPr>
            <w:fldChar w:fldCharType="end"/>
          </w:r>
          <w:r>
            <w:rPr>
              <w:rFonts w:hint="default" w:ascii="Times New Roman" w:hAnsi="Times New Roman" w:cs="Times New Roman"/>
            </w:rPr>
            <w:fldChar w:fldCharType="end"/>
          </w:r>
        </w:p>
        <w:p w14:paraId="1FE6F3BF">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"_Toc100784609" </w:instrText>
          </w:r>
          <w:r>
            <w:rPr>
              <w:rFonts w:hint="default" w:ascii="Times New Roman" w:hAnsi="Times New Roman" w:cs="Times New Roman"/>
            </w:rPr>
            <w:fldChar w:fldCharType="separate"/>
          </w:r>
          <w:r>
            <w:rPr>
              <w:rStyle w:val="19"/>
              <w:rFonts w:hint="default" w:ascii="Times New Roman" w:hAnsi="Times New Roman" w:cs="Times New Roman"/>
            </w:rPr>
            <w:t>2.产出质量</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_Toc100784609 \h </w:instrText>
          </w:r>
          <w:r>
            <w:rPr>
              <w:rFonts w:hint="default" w:ascii="Times New Roman" w:hAnsi="Times New Roman" w:cs="Times New Roman"/>
            </w:rPr>
            <w:fldChar w:fldCharType="separate"/>
          </w:r>
          <w:r>
            <w:rPr>
              <w:rFonts w:hint="default" w:ascii="Times New Roman" w:hAnsi="Times New Roman" w:cs="Times New Roman"/>
            </w:rPr>
            <w:t>17</w:t>
          </w:r>
          <w:r>
            <w:rPr>
              <w:rFonts w:hint="default" w:ascii="Times New Roman" w:hAnsi="Times New Roman" w:cs="Times New Roman"/>
            </w:rPr>
            <w:fldChar w:fldCharType="end"/>
          </w:r>
          <w:r>
            <w:rPr>
              <w:rFonts w:hint="default" w:ascii="Times New Roman" w:hAnsi="Times New Roman" w:cs="Times New Roman"/>
            </w:rPr>
            <w:fldChar w:fldCharType="end"/>
          </w:r>
        </w:p>
        <w:p w14:paraId="6D66FE18">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"_Toc100784610" </w:instrText>
          </w:r>
          <w:r>
            <w:rPr>
              <w:rFonts w:hint="default" w:ascii="Times New Roman" w:hAnsi="Times New Roman" w:cs="Times New Roman"/>
            </w:rPr>
            <w:fldChar w:fldCharType="separate"/>
          </w:r>
          <w:r>
            <w:rPr>
              <w:rStyle w:val="19"/>
              <w:rFonts w:hint="default" w:ascii="Times New Roman" w:hAnsi="Times New Roman" w:cs="Times New Roman"/>
            </w:rPr>
            <w:t>3.产出时效</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_Toc100784610 \h </w:instrText>
          </w:r>
          <w:r>
            <w:rPr>
              <w:rFonts w:hint="default" w:ascii="Times New Roman" w:hAnsi="Times New Roman" w:cs="Times New Roman"/>
            </w:rPr>
            <w:fldChar w:fldCharType="separate"/>
          </w:r>
          <w:r>
            <w:rPr>
              <w:rFonts w:hint="default" w:ascii="Times New Roman" w:hAnsi="Times New Roman" w:cs="Times New Roman"/>
            </w:rPr>
            <w:t>18</w:t>
          </w:r>
          <w:r>
            <w:rPr>
              <w:rFonts w:hint="default" w:ascii="Times New Roman" w:hAnsi="Times New Roman" w:cs="Times New Roman"/>
            </w:rPr>
            <w:fldChar w:fldCharType="end"/>
          </w:r>
          <w:r>
            <w:rPr>
              <w:rFonts w:hint="default" w:ascii="Times New Roman" w:hAnsi="Times New Roman" w:cs="Times New Roman"/>
            </w:rPr>
            <w:fldChar w:fldCharType="end"/>
          </w:r>
        </w:p>
        <w:p w14:paraId="29E81CD9">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"_Toc100784611" </w:instrText>
          </w:r>
          <w:r>
            <w:rPr>
              <w:rFonts w:hint="default" w:ascii="Times New Roman" w:hAnsi="Times New Roman" w:cs="Times New Roman"/>
            </w:rPr>
            <w:fldChar w:fldCharType="separate"/>
          </w:r>
          <w:r>
            <w:rPr>
              <w:rStyle w:val="19"/>
              <w:rFonts w:hint="default" w:ascii="Times New Roman" w:hAnsi="Times New Roman" w:cs="Times New Roman"/>
            </w:rPr>
            <w:t>4.产出成本</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_Toc100784611 \h </w:instrText>
          </w:r>
          <w:r>
            <w:rPr>
              <w:rFonts w:hint="default" w:ascii="Times New Roman" w:hAnsi="Times New Roman" w:cs="Times New Roman"/>
            </w:rPr>
            <w:fldChar w:fldCharType="separate"/>
          </w:r>
          <w:r>
            <w:rPr>
              <w:rFonts w:hint="default" w:ascii="Times New Roman" w:hAnsi="Times New Roman" w:cs="Times New Roman"/>
            </w:rPr>
            <w:t>18</w:t>
          </w:r>
          <w:r>
            <w:rPr>
              <w:rFonts w:hint="default" w:ascii="Times New Roman" w:hAnsi="Times New Roman" w:cs="Times New Roman"/>
            </w:rPr>
            <w:fldChar w:fldCharType="end"/>
          </w:r>
          <w:r>
            <w:rPr>
              <w:rFonts w:hint="default" w:ascii="Times New Roman" w:hAnsi="Times New Roman" w:cs="Times New Roman"/>
            </w:rPr>
            <w:fldChar w:fldCharType="end"/>
          </w:r>
        </w:p>
        <w:p w14:paraId="54C26813">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"_Toc100784612"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（四）项目效益情况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_Toc100784612 \h </w:instrText>
          </w:r>
          <w:r>
            <w:rPr>
              <w:rFonts w:hint="default" w:ascii="Times New Roman" w:hAnsi="Times New Roman" w:cs="Times New Roman"/>
            </w:rPr>
            <w:fldChar w:fldCharType="separate"/>
          </w:r>
          <w:r>
            <w:rPr>
              <w:rFonts w:hint="default" w:ascii="Times New Roman" w:hAnsi="Times New Roman" w:cs="Times New Roman"/>
            </w:rPr>
            <w:t>18</w:t>
          </w:r>
          <w:r>
            <w:rPr>
              <w:rFonts w:hint="default" w:ascii="Times New Roman" w:hAnsi="Times New Roman" w:cs="Times New Roman"/>
            </w:rPr>
            <w:fldChar w:fldCharType="end"/>
          </w:r>
          <w:r>
            <w:rPr>
              <w:rFonts w:hint="default" w:ascii="Times New Roman" w:hAnsi="Times New Roman" w:cs="Times New Roman"/>
            </w:rPr>
            <w:fldChar w:fldCharType="end"/>
          </w:r>
        </w:p>
        <w:p w14:paraId="2DED7E13">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"_Toc100784613" </w:instrText>
          </w:r>
          <w:r>
            <w:rPr>
              <w:rFonts w:hint="default" w:ascii="Times New Roman" w:hAnsi="Times New Roman" w:cs="Times New Roman"/>
            </w:rPr>
            <w:fldChar w:fldCharType="separate"/>
          </w:r>
          <w:r>
            <w:rPr>
              <w:rStyle w:val="19"/>
              <w:rFonts w:hint="default" w:ascii="Times New Roman" w:hAnsi="Times New Roman" w:cs="Times New Roman"/>
            </w:rPr>
            <w:t>1.项目效益</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_Toc100784613 \h </w:instrText>
          </w:r>
          <w:r>
            <w:rPr>
              <w:rFonts w:hint="default" w:ascii="Times New Roman" w:hAnsi="Times New Roman" w:cs="Times New Roman"/>
            </w:rPr>
            <w:fldChar w:fldCharType="separate"/>
          </w:r>
          <w:r>
            <w:rPr>
              <w:rFonts w:hint="default" w:ascii="Times New Roman" w:hAnsi="Times New Roman" w:cs="Times New Roman"/>
            </w:rPr>
            <w:t>18</w:t>
          </w:r>
          <w:r>
            <w:rPr>
              <w:rFonts w:hint="default" w:ascii="Times New Roman" w:hAnsi="Times New Roman" w:cs="Times New Roman"/>
            </w:rPr>
            <w:fldChar w:fldCharType="end"/>
          </w:r>
          <w:r>
            <w:rPr>
              <w:rFonts w:hint="default" w:ascii="Times New Roman" w:hAnsi="Times New Roman" w:cs="Times New Roman"/>
            </w:rPr>
            <w:fldChar w:fldCharType="end"/>
          </w:r>
        </w:p>
        <w:p w14:paraId="3DC3850D">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"_Toc100784614" </w:instrText>
          </w:r>
          <w:r>
            <w:rPr>
              <w:rFonts w:hint="default" w:ascii="Times New Roman" w:hAnsi="Times New Roman" w:cs="Times New Roman"/>
            </w:rPr>
            <w:fldChar w:fldCharType="separate"/>
          </w:r>
          <w:r>
            <w:rPr>
              <w:rStyle w:val="19"/>
              <w:rFonts w:hint="default" w:ascii="Times New Roman" w:hAnsi="Times New Roman" w:cs="Times New Roman"/>
            </w:rPr>
            <w:t>2. 满意度指标完成情况分析</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_Toc100784614 \h </w:instrText>
          </w:r>
          <w:r>
            <w:rPr>
              <w:rFonts w:hint="default" w:ascii="Times New Roman" w:hAnsi="Times New Roman" w:cs="Times New Roman"/>
            </w:rPr>
            <w:fldChar w:fldCharType="separate"/>
          </w:r>
          <w:r>
            <w:rPr>
              <w:rFonts w:hint="default" w:ascii="Times New Roman" w:hAnsi="Times New Roman" w:cs="Times New Roman"/>
            </w:rPr>
            <w:t>19</w:t>
          </w:r>
          <w:r>
            <w:rPr>
              <w:rFonts w:hint="default" w:ascii="Times New Roman" w:hAnsi="Times New Roman" w:cs="Times New Roman"/>
            </w:rPr>
            <w:fldChar w:fldCharType="end"/>
          </w:r>
          <w:r>
            <w:rPr>
              <w:rFonts w:hint="default" w:ascii="Times New Roman" w:hAnsi="Times New Roman" w:cs="Times New Roman"/>
            </w:rPr>
            <w:fldChar w:fldCharType="end"/>
          </w:r>
        </w:p>
        <w:p w14:paraId="035C4660">
          <w:pPr>
            <w:pStyle w:val="11"/>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"_Toc100784615"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五、预算执行进度与绩效指标偏差</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_Toc100784615 \h </w:instrText>
          </w:r>
          <w:r>
            <w:rPr>
              <w:rFonts w:hint="default" w:ascii="Times New Roman" w:hAnsi="Times New Roman" w:cs="Times New Roman"/>
            </w:rPr>
            <w:fldChar w:fldCharType="separate"/>
          </w:r>
          <w:r>
            <w:rPr>
              <w:rFonts w:hint="default" w:ascii="Times New Roman" w:hAnsi="Times New Roman" w:cs="Times New Roman"/>
            </w:rPr>
            <w:t>19</w:t>
          </w:r>
          <w:r>
            <w:rPr>
              <w:rFonts w:hint="default" w:ascii="Times New Roman" w:hAnsi="Times New Roman" w:cs="Times New Roman"/>
            </w:rPr>
            <w:fldChar w:fldCharType="end"/>
          </w:r>
          <w:r>
            <w:rPr>
              <w:rFonts w:hint="default" w:ascii="Times New Roman" w:hAnsi="Times New Roman" w:cs="Times New Roman"/>
            </w:rPr>
            <w:fldChar w:fldCharType="end"/>
          </w:r>
        </w:p>
        <w:p w14:paraId="0EE44F60">
          <w:pPr>
            <w:pStyle w:val="11"/>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"_Toc100784616"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六、主要经验及做法、存在的问题及原因分析</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_Toc100784616 \h </w:instrText>
          </w:r>
          <w:r>
            <w:rPr>
              <w:rFonts w:hint="default" w:ascii="Times New Roman" w:hAnsi="Times New Roman" w:cs="Times New Roman"/>
            </w:rPr>
            <w:fldChar w:fldCharType="separate"/>
          </w:r>
          <w:r>
            <w:rPr>
              <w:rFonts w:hint="default" w:ascii="Times New Roman" w:hAnsi="Times New Roman" w:cs="Times New Roman"/>
            </w:rPr>
            <w:t>20</w:t>
          </w:r>
          <w:r>
            <w:rPr>
              <w:rFonts w:hint="default" w:ascii="Times New Roman" w:hAnsi="Times New Roman" w:cs="Times New Roman"/>
            </w:rPr>
            <w:fldChar w:fldCharType="end"/>
          </w:r>
          <w:r>
            <w:rPr>
              <w:rFonts w:hint="default" w:ascii="Times New Roman" w:hAnsi="Times New Roman" w:cs="Times New Roman"/>
            </w:rPr>
            <w:fldChar w:fldCharType="end"/>
          </w:r>
        </w:p>
        <w:p w14:paraId="4D541CBD">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"_Toc100784617"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（一）主要经验及做法</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_Toc100784617 \h </w:instrText>
          </w:r>
          <w:r>
            <w:rPr>
              <w:rFonts w:hint="default" w:ascii="Times New Roman" w:hAnsi="Times New Roman" w:cs="Times New Roman"/>
            </w:rPr>
            <w:fldChar w:fldCharType="separate"/>
          </w:r>
          <w:r>
            <w:rPr>
              <w:rFonts w:hint="default" w:ascii="Times New Roman" w:hAnsi="Times New Roman" w:cs="Times New Roman"/>
            </w:rPr>
            <w:t>20</w:t>
          </w:r>
          <w:r>
            <w:rPr>
              <w:rFonts w:hint="default" w:ascii="Times New Roman" w:hAnsi="Times New Roman" w:cs="Times New Roman"/>
            </w:rPr>
            <w:fldChar w:fldCharType="end"/>
          </w:r>
          <w:r>
            <w:rPr>
              <w:rFonts w:hint="default" w:ascii="Times New Roman" w:hAnsi="Times New Roman" w:cs="Times New Roman"/>
            </w:rPr>
            <w:fldChar w:fldCharType="end"/>
          </w:r>
        </w:p>
        <w:p w14:paraId="5D1D9190">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"_Toc100784618"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（二）存在的问题及原因分析</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_Toc100784618 \h </w:instrText>
          </w:r>
          <w:r>
            <w:rPr>
              <w:rFonts w:hint="default" w:ascii="Times New Roman" w:hAnsi="Times New Roman" w:cs="Times New Roman"/>
            </w:rPr>
            <w:fldChar w:fldCharType="separate"/>
          </w:r>
          <w:r>
            <w:rPr>
              <w:rFonts w:hint="default" w:ascii="Times New Roman" w:hAnsi="Times New Roman" w:cs="Times New Roman"/>
            </w:rPr>
            <w:t>20</w:t>
          </w:r>
          <w:r>
            <w:rPr>
              <w:rFonts w:hint="default" w:ascii="Times New Roman" w:hAnsi="Times New Roman" w:cs="Times New Roman"/>
            </w:rPr>
            <w:fldChar w:fldCharType="end"/>
          </w:r>
          <w:r>
            <w:rPr>
              <w:rFonts w:hint="default" w:ascii="Times New Roman" w:hAnsi="Times New Roman" w:cs="Times New Roman"/>
            </w:rPr>
            <w:fldChar w:fldCharType="end"/>
          </w:r>
        </w:p>
        <w:p w14:paraId="68C6A8A2">
          <w:pPr>
            <w:pStyle w:val="11"/>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"_Toc100784619"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七、其他需要说明的问题</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_Toc100784619 \h </w:instrText>
          </w:r>
          <w:r>
            <w:rPr>
              <w:rFonts w:hint="default" w:ascii="Times New Roman" w:hAnsi="Times New Roman" w:cs="Times New Roman"/>
            </w:rPr>
            <w:fldChar w:fldCharType="separate"/>
          </w:r>
          <w:r>
            <w:rPr>
              <w:rFonts w:hint="default" w:ascii="Times New Roman" w:hAnsi="Times New Roman" w:cs="Times New Roman"/>
            </w:rPr>
            <w:t>20</w:t>
          </w:r>
          <w:r>
            <w:rPr>
              <w:rFonts w:hint="default" w:ascii="Times New Roman" w:hAnsi="Times New Roman" w:cs="Times New Roman"/>
            </w:rPr>
            <w:fldChar w:fldCharType="end"/>
          </w:r>
          <w:r>
            <w:rPr>
              <w:rFonts w:hint="default" w:ascii="Times New Roman" w:hAnsi="Times New Roman" w:cs="Times New Roman"/>
            </w:rPr>
            <w:fldChar w:fldCharType="end"/>
          </w:r>
        </w:p>
        <w:p w14:paraId="6ED6816D">
          <w:pPr>
            <w:pStyle w:val="11"/>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"_Toc100784620"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八、有关建议</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_Toc100784620 \h </w:instrText>
          </w:r>
          <w:r>
            <w:rPr>
              <w:rFonts w:hint="default" w:ascii="Times New Roman" w:hAnsi="Times New Roman" w:cs="Times New Roman"/>
            </w:rPr>
            <w:fldChar w:fldCharType="separate"/>
          </w:r>
          <w:r>
            <w:rPr>
              <w:rFonts w:hint="default" w:ascii="Times New Roman" w:hAnsi="Times New Roman" w:cs="Times New Roman"/>
            </w:rPr>
            <w:t>21</w:t>
          </w:r>
          <w:r>
            <w:rPr>
              <w:rFonts w:hint="default" w:ascii="Times New Roman" w:hAnsi="Times New Roman" w:cs="Times New Roman"/>
            </w:rPr>
            <w:fldChar w:fldCharType="end"/>
          </w:r>
          <w:r>
            <w:rPr>
              <w:rFonts w:hint="default" w:ascii="Times New Roman" w:hAnsi="Times New Roman" w:cs="Times New Roman"/>
            </w:rPr>
            <w:fldChar w:fldCharType="end"/>
          </w:r>
        </w:p>
        <w:p w14:paraId="7C42BDE5">
          <w:pPr>
            <w:ind w:firstLine="562"/>
            <w:rPr>
              <w:rFonts w:hint="default" w:ascii="Times New Roman" w:hAnsi="Times New Roman" w:cs="Times New Roman"/>
            </w:rPr>
          </w:pPr>
          <w:r>
            <w:rPr>
              <w:rFonts w:hint="default" w:ascii="Times New Roman" w:hAnsi="Times New Roman" w:cs="Times New Roman"/>
              <w:b/>
              <w:bCs/>
              <w:lang w:val="zh-CN"/>
            </w:rPr>
            <w:fldChar w:fldCharType="end"/>
          </w:r>
        </w:p>
      </w:sdtContent>
    </w:sdt>
    <w:p w14:paraId="5CCD28E0">
      <w:pPr>
        <w:ind w:firstLine="598" w:firstLineChars="187"/>
        <w:rPr>
          <w:rFonts w:hint="default" w:ascii="Times New Roman" w:hAnsi="Times New Roman" w:cs="Times New Roman"/>
          <w:sz w:val="32"/>
          <w:szCs w:val="32"/>
          <w:lang w:bidi="en-US"/>
        </w:rPr>
        <w:sectPr>
          <w:headerReference r:id="rId7" w:type="first"/>
          <w:footerReference r:id="rId9" w:type="first"/>
          <w:headerReference r:id="rId5" w:type="default"/>
          <w:headerReference r:id="rId6" w:type="even"/>
          <w:footerReference r:id="rId8" w:type="even"/>
          <w:pgSz w:w="11906" w:h="16838"/>
          <w:pgMar w:top="1440" w:right="1800" w:bottom="1440" w:left="1800" w:header="851" w:footer="992" w:gutter="0"/>
          <w:cols w:space="425" w:num="1"/>
          <w:docGrid w:type="lines" w:linePitch="312" w:charSpace="0"/>
        </w:sectPr>
      </w:pPr>
    </w:p>
    <w:p w14:paraId="247CACD8">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bookmarkStart w:id="0" w:name="_Toc67911601"/>
      <w:bookmarkStart w:id="1" w:name="_Toc100784583"/>
      <w:r>
        <w:rPr>
          <w:rFonts w:hint="default" w:ascii="Times New Roman" w:hAnsi="Times New Roman" w:eastAsia="仿宋" w:cs="Times New Roman"/>
          <w:sz w:val="36"/>
          <w:szCs w:val="36"/>
          <w:lang w:bidi="en-US"/>
        </w:rPr>
        <w:t>一、基本情况</w:t>
      </w:r>
      <w:bookmarkEnd w:id="0"/>
      <w:bookmarkEnd w:id="1"/>
    </w:p>
    <w:p w14:paraId="6D735A82">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bookmarkStart w:id="2" w:name="_Toc100784584"/>
      <w:bookmarkStart w:id="3" w:name="_Toc67911602"/>
      <w:r>
        <w:rPr>
          <w:rFonts w:hint="default" w:ascii="Times New Roman" w:hAnsi="Times New Roman" w:eastAsia="仿宋" w:cs="Times New Roman"/>
          <w:sz w:val="32"/>
          <w:szCs w:val="32"/>
          <w:lang w:val="en-US" w:eastAsia="zh-CN" w:bidi="en-US"/>
        </w:rPr>
        <w:t>（一）项目概况</w:t>
      </w:r>
      <w:bookmarkEnd w:id="2"/>
      <w:bookmarkEnd w:id="3"/>
    </w:p>
    <w:p w14:paraId="457BD9D8">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根据《乌财科教【2021】96号》</w:t>
      </w:r>
      <w:r>
        <w:rPr>
          <w:rFonts w:hint="eastAsia" w:ascii="Times New Roman" w:hAnsi="Times New Roman" w:cs="Times New Roman"/>
          <w:szCs w:val="28"/>
          <w:lang w:eastAsia="zh-CN"/>
        </w:rPr>
        <w:t>文件</w:t>
      </w:r>
      <w:r>
        <w:rPr>
          <w:rFonts w:hint="default" w:ascii="Times New Roman" w:hAnsi="Times New Roman" w:cs="Times New Roman"/>
          <w:szCs w:val="28"/>
        </w:rPr>
        <w:t>，乌财科教【2021】96号关于提前下达2022年城乡义务教育项目直达资金校舍安全保障机制经费项目</w:t>
      </w:r>
      <w:r>
        <w:rPr>
          <w:rFonts w:hint="eastAsia" w:ascii="Times New Roman" w:hAnsi="Times New Roman" w:cs="Times New Roman"/>
          <w:szCs w:val="28"/>
          <w:lang w:eastAsia="zh-CN"/>
        </w:rPr>
        <w:t>于</w:t>
      </w:r>
      <w:r>
        <w:rPr>
          <w:rFonts w:hint="eastAsia" w:ascii="Times New Roman" w:hAnsi="Times New Roman" w:cs="Times New Roman"/>
          <w:szCs w:val="28"/>
          <w:lang w:val="en-US" w:eastAsia="zh-CN"/>
        </w:rPr>
        <w:t>2022年开工建设，为了保障消防设施年度维保检测项目的实施，将保证我校消防设施系统正常运转使消防设施维保工作系统化，规范化，使整个消防系统良好的运转，从而提高防御火灾的能力，确保学校的财产安全及师生的人身安全</w:t>
      </w:r>
      <w:r>
        <w:rPr>
          <w:rFonts w:hint="default" w:ascii="Times New Roman" w:hAnsi="Times New Roman" w:cs="Times New Roman"/>
          <w:szCs w:val="28"/>
        </w:rPr>
        <w:t>。</w:t>
      </w:r>
    </w:p>
    <w:p w14:paraId="32B9D05D">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经乌财科教【2021】96号文件批准，项目系2022年中央等资金，共安排预算</w:t>
      </w:r>
      <w:r>
        <w:rPr>
          <w:rFonts w:hint="eastAsia" w:ascii="Times New Roman" w:hAnsi="Times New Roman" w:cs="Times New Roman"/>
          <w:szCs w:val="28"/>
          <w:lang w:val="en-US" w:eastAsia="zh-CN"/>
        </w:rPr>
        <w:t>240</w:t>
      </w:r>
      <w:r>
        <w:rPr>
          <w:rFonts w:hint="default" w:ascii="Times New Roman" w:hAnsi="Times New Roman" w:cs="Times New Roman"/>
          <w:szCs w:val="28"/>
        </w:rPr>
        <w:t>万元，于2022年年中追加部分预算批复项目，资金</w:t>
      </w:r>
      <w:r>
        <w:rPr>
          <w:rFonts w:hint="eastAsia" w:ascii="Times New Roman" w:hAnsi="Times New Roman" w:cs="Times New Roman"/>
          <w:szCs w:val="28"/>
          <w:lang w:eastAsia="zh-CN"/>
        </w:rPr>
        <w:t>及时</w:t>
      </w:r>
      <w:r>
        <w:rPr>
          <w:rFonts w:hint="default" w:ascii="Times New Roman" w:hAnsi="Times New Roman" w:cs="Times New Roman"/>
          <w:szCs w:val="28"/>
        </w:rPr>
        <w:t>到位</w:t>
      </w:r>
      <w:r>
        <w:rPr>
          <w:rFonts w:hint="eastAsia" w:ascii="Times New Roman" w:hAnsi="Times New Roman" w:cs="Times New Roman"/>
          <w:szCs w:val="28"/>
          <w:lang w:eastAsia="zh-CN"/>
        </w:rPr>
        <w:t>，已经支付</w:t>
      </w:r>
      <w:r>
        <w:rPr>
          <w:rFonts w:hint="eastAsia" w:ascii="Times New Roman" w:hAnsi="Times New Roman" w:cs="Times New Roman"/>
          <w:szCs w:val="28"/>
          <w:lang w:val="en-US" w:eastAsia="zh-CN"/>
        </w:rPr>
        <w:t>214.64万元</w:t>
      </w:r>
      <w:r>
        <w:rPr>
          <w:rFonts w:hint="default" w:ascii="Times New Roman" w:hAnsi="Times New Roman" w:cs="Times New Roman"/>
          <w:szCs w:val="28"/>
        </w:rPr>
        <w:t>，年中</w:t>
      </w:r>
      <w:r>
        <w:rPr>
          <w:rFonts w:hint="eastAsia" w:ascii="Times New Roman" w:hAnsi="Times New Roman" w:cs="Times New Roman"/>
          <w:szCs w:val="28"/>
          <w:lang w:eastAsia="zh-CN"/>
        </w:rPr>
        <w:t>未</w:t>
      </w:r>
      <w:r>
        <w:rPr>
          <w:rFonts w:hint="default" w:ascii="Times New Roman" w:hAnsi="Times New Roman" w:cs="Times New Roman"/>
          <w:szCs w:val="28"/>
        </w:rPr>
        <w:t>对资金进行调增、调减。</w:t>
      </w:r>
    </w:p>
    <w:p w14:paraId="10E7E064">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bookmarkStart w:id="4" w:name="_Toc67911603"/>
      <w:bookmarkStart w:id="5" w:name="_Toc100784585"/>
      <w:r>
        <w:rPr>
          <w:rFonts w:hint="default" w:ascii="Times New Roman" w:hAnsi="Times New Roman" w:eastAsia="仿宋" w:cs="Times New Roman"/>
          <w:sz w:val="32"/>
          <w:szCs w:val="32"/>
          <w:lang w:val="en-US" w:eastAsia="zh-CN" w:bidi="en-US"/>
        </w:rPr>
        <w:t>（二）项目绩效目标</w:t>
      </w:r>
      <w:bookmarkEnd w:id="4"/>
      <w:bookmarkEnd w:id="5"/>
    </w:p>
    <w:p w14:paraId="3ED005E0">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本项目依据《中共中央 国务院关于全面实施预算绩效管理的意见》（中发〔2018〕34号）、《关于印发&lt;乌鲁木齐市本级部门预算绩效目标管理暂行办法&gt;的通知》（乌财预</w:t>
      </w:r>
      <w:bookmarkStart w:id="6" w:name="_Hlk67566397"/>
      <w:r>
        <w:rPr>
          <w:rFonts w:hint="default" w:ascii="Times New Roman" w:hAnsi="Times New Roman" w:cs="Times New Roman"/>
          <w:szCs w:val="28"/>
        </w:rPr>
        <w:t>〔2018〕56号</w:t>
      </w:r>
      <w:bookmarkEnd w:id="6"/>
      <w:r>
        <w:rPr>
          <w:rFonts w:hint="default" w:ascii="Times New Roman" w:hAnsi="Times New Roman" w:cs="Times New Roman"/>
          <w:szCs w:val="28"/>
        </w:rPr>
        <w:t>）、《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p>
    <w:p w14:paraId="09C21670">
      <w:pPr>
        <w:spacing w:line="360" w:lineRule="auto"/>
        <w:ind w:firstLine="560"/>
        <w:rPr>
          <w:rFonts w:hint="eastAsia" w:ascii="Times New Roman" w:hAnsi="Times New Roman" w:cs="Times New Roman"/>
          <w:szCs w:val="28"/>
          <w:lang w:val="en-US" w:eastAsia="zh-CN"/>
        </w:rPr>
      </w:pPr>
      <w:r>
        <w:rPr>
          <w:rFonts w:hint="default" w:ascii="Times New Roman" w:hAnsi="Times New Roman" w:cs="Times New Roman"/>
          <w:szCs w:val="28"/>
        </w:rPr>
        <w:t>该项目绩效目标设置</w:t>
      </w:r>
      <w:r>
        <w:rPr>
          <w:rFonts w:hint="eastAsia" w:ascii="Times New Roman" w:hAnsi="Times New Roman" w:cs="Times New Roman"/>
          <w:szCs w:val="28"/>
          <w:lang w:val="en-US" w:eastAsia="zh-CN"/>
        </w:rPr>
        <w:t>一</w:t>
      </w:r>
      <w:r>
        <w:rPr>
          <w:rFonts w:hint="default" w:ascii="Times New Roman" w:hAnsi="Times New Roman" w:cs="Times New Roman"/>
          <w:szCs w:val="28"/>
        </w:rPr>
        <w:t>年，总体绩效目标</w:t>
      </w:r>
      <w:r>
        <w:rPr>
          <w:rFonts w:hint="eastAsia" w:ascii="Times New Roman" w:hAnsi="Times New Roman" w:cs="Times New Roman"/>
          <w:szCs w:val="28"/>
          <w:lang w:eastAsia="zh-CN"/>
        </w:rPr>
        <w:t>：</w:t>
      </w:r>
      <w:r>
        <w:rPr>
          <w:rFonts w:hint="default" w:ascii="Times New Roman" w:hAnsi="Times New Roman" w:cs="Times New Roman"/>
          <w:szCs w:val="28"/>
        </w:rPr>
        <w:t>规划总用地面积</w:t>
      </w:r>
      <w:r>
        <w:rPr>
          <w:rFonts w:hint="eastAsia" w:ascii="Times New Roman" w:hAnsi="Times New Roman" w:cs="Times New Roman"/>
          <w:szCs w:val="28"/>
          <w:lang w:val="en-US" w:eastAsia="zh-CN"/>
        </w:rPr>
        <w:t>300立方米</w:t>
      </w:r>
      <w:r>
        <w:rPr>
          <w:rFonts w:hint="eastAsia"/>
          <w:lang w:eastAsia="zh-CN"/>
        </w:rPr>
        <w:t>，</w:t>
      </w:r>
      <w:r>
        <w:rPr>
          <w:rFonts w:hint="eastAsia"/>
          <w:lang w:val="en-US" w:eastAsia="zh-CN"/>
        </w:rPr>
        <w:t>开挖蓄水池，</w:t>
      </w:r>
      <w:r>
        <w:rPr>
          <w:rFonts w:hint="eastAsia" w:ascii="Times New Roman" w:hAnsi="Times New Roman" w:cs="Times New Roman"/>
          <w:szCs w:val="28"/>
          <w:lang w:val="en-US" w:eastAsia="zh-CN"/>
        </w:rPr>
        <w:t>保障消防用水的及时供应，与之配套的还有315米的室外电缆电线和配电柜。项目</w:t>
      </w:r>
      <w:r>
        <w:rPr>
          <w:rFonts w:hint="default" w:ascii="Times New Roman" w:hAnsi="Times New Roman" w:cs="Times New Roman"/>
          <w:szCs w:val="28"/>
        </w:rPr>
        <w:t>计划完成</w:t>
      </w:r>
      <w:r>
        <w:rPr>
          <w:rFonts w:hint="eastAsia" w:ascii="Times New Roman" w:hAnsi="Times New Roman" w:cs="Times New Roman"/>
          <w:szCs w:val="28"/>
          <w:lang w:val="en-US" w:eastAsia="zh-CN"/>
        </w:rPr>
        <w:t>消防水池及附属设施</w:t>
      </w:r>
      <w:r>
        <w:rPr>
          <w:rFonts w:hint="default" w:ascii="Times New Roman" w:hAnsi="Times New Roman" w:cs="Times New Roman"/>
          <w:szCs w:val="28"/>
        </w:rPr>
        <w:t>、消防设施年度维保检测项目的实施，将保证我校消防设施系统正常运行，使消防设施维保工作系统化，规范化，使整个消防系统良好运转，从而提高防御火灾的能力，确保学校的财产安全及师生的人身安全。</w:t>
      </w:r>
      <w:r>
        <w:rPr>
          <w:rFonts w:hint="eastAsia" w:ascii="Times New Roman" w:hAnsi="Times New Roman" w:cs="Times New Roman"/>
          <w:szCs w:val="28"/>
          <w:lang w:val="en-US" w:eastAsia="zh-CN"/>
        </w:rPr>
        <w:t>项目预算资金240万元，实际支付214.64万元。</w:t>
      </w:r>
    </w:p>
    <w:p w14:paraId="30B671CA">
      <w:pPr>
        <w:spacing w:line="360" w:lineRule="auto"/>
        <w:ind w:firstLine="560"/>
        <w:rPr>
          <w:rFonts w:hint="eastAsia" w:ascii="Times New Roman" w:hAnsi="Times New Roman" w:cs="Times New Roman"/>
          <w:szCs w:val="28"/>
          <w:lang w:val="en-US" w:eastAsia="zh-CN"/>
        </w:rPr>
      </w:pPr>
    </w:p>
    <w:p w14:paraId="5C3604D2">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bookmarkStart w:id="7" w:name="_Toc100784586"/>
      <w:bookmarkStart w:id="8" w:name="_Toc67911604"/>
      <w:r>
        <w:rPr>
          <w:rFonts w:hint="default" w:ascii="Times New Roman" w:hAnsi="Times New Roman" w:eastAsia="仿宋" w:cs="Times New Roman"/>
          <w:sz w:val="36"/>
          <w:szCs w:val="36"/>
          <w:lang w:bidi="en-US"/>
        </w:rPr>
        <w:t>二、绩效评价工作开展情况</w:t>
      </w:r>
      <w:bookmarkEnd w:id="7"/>
      <w:bookmarkEnd w:id="8"/>
    </w:p>
    <w:p w14:paraId="78C898E4">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bookmarkStart w:id="9" w:name="_Toc100784587"/>
      <w:bookmarkStart w:id="10" w:name="_Toc67911605"/>
      <w:r>
        <w:rPr>
          <w:rFonts w:hint="default" w:ascii="Times New Roman" w:hAnsi="Times New Roman" w:eastAsia="仿宋" w:cs="Times New Roman"/>
          <w:sz w:val="32"/>
          <w:szCs w:val="32"/>
          <w:lang w:val="en-US" w:eastAsia="zh-CN" w:bidi="en-US"/>
        </w:rPr>
        <w:t>（一）绩效评价目的、对象和范围</w:t>
      </w:r>
      <w:bookmarkEnd w:id="9"/>
      <w:bookmarkEnd w:id="10"/>
    </w:p>
    <w:p w14:paraId="6220D880">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11" w:name="_Toc100784588"/>
      <w:r>
        <w:rPr>
          <w:rFonts w:hint="default" w:ascii="Times New Roman" w:hAnsi="Times New Roman" w:eastAsia="仿宋" w:cs="Times New Roman"/>
          <w:sz w:val="32"/>
          <w:szCs w:val="32"/>
          <w:lang w:bidi="en-US"/>
        </w:rPr>
        <w:t>1.评价目的</w:t>
      </w:r>
      <w:bookmarkEnd w:id="11"/>
    </w:p>
    <w:p w14:paraId="5FA4F11D">
      <w:pPr>
        <w:spacing w:line="360" w:lineRule="auto"/>
        <w:ind w:firstLine="560"/>
        <w:rPr>
          <w:rFonts w:hint="default" w:ascii="Times New Roman" w:hAnsi="Times New Roman" w:cs="Times New Roman"/>
          <w:b/>
          <w:bCs/>
        </w:rPr>
      </w:pPr>
      <w:r>
        <w:rPr>
          <w:rFonts w:hint="default" w:ascii="Times New Roman" w:hAnsi="Times New Roman" w:cs="Times New Roman"/>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财政委托审计费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p>
    <w:p w14:paraId="02284356">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12" w:name="_Toc100784589"/>
      <w:r>
        <w:rPr>
          <w:rFonts w:hint="default" w:ascii="Times New Roman" w:hAnsi="Times New Roman" w:eastAsia="仿宋" w:cs="Times New Roman"/>
          <w:sz w:val="32"/>
          <w:szCs w:val="32"/>
          <w:lang w:bidi="en-US"/>
        </w:rPr>
        <w:t>2.评价对象和范围</w:t>
      </w:r>
      <w:bookmarkEnd w:id="12"/>
    </w:p>
    <w:p w14:paraId="117776D6">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 xml:space="preserve">（1）绩效评价的对象：乌财科教【2021】96号关于提前下达2022年城乡义务教育项目直达资金校舍安全保障机制经费项目 </w:t>
      </w:r>
    </w:p>
    <w:p w14:paraId="1168AE33">
      <w:pPr>
        <w:spacing w:line="360" w:lineRule="auto"/>
        <w:ind w:firstLine="560"/>
        <w:rPr>
          <w:rFonts w:hint="default" w:ascii="Times New Roman" w:hAnsi="Times New Roman" w:cs="Times New Roman"/>
        </w:rPr>
      </w:pPr>
      <w:r>
        <w:rPr>
          <w:rFonts w:hint="default" w:ascii="Times New Roman" w:hAnsi="Times New Roman" w:cs="Times New Roman"/>
        </w:rPr>
        <w:t>（2）绩效评价范围：</w:t>
      </w:r>
    </w:p>
    <w:p w14:paraId="35E04B9A">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1.项目范围：乌财科教【2021】96号关于提前下达2022年城乡义务教育项目直达资金校舍安全保障机制经费的完成情况、资金投入的运行情况、项目实施后产生的绩效及影响效果。</w:t>
      </w:r>
    </w:p>
    <w:p w14:paraId="24542B32">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2.时间范围：2022年1月1日至2022年12月31日。</w:t>
      </w:r>
    </w:p>
    <w:p w14:paraId="4E1347E0">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bookmarkStart w:id="13" w:name="_Toc67911606"/>
      <w:bookmarkStart w:id="14" w:name="_Toc100784590"/>
      <w:bookmarkStart w:id="15" w:name="_Hlk67586765"/>
      <w:r>
        <w:rPr>
          <w:rFonts w:hint="default" w:ascii="Times New Roman" w:hAnsi="Times New Roman" w:eastAsia="仿宋" w:cs="Times New Roman"/>
          <w:sz w:val="32"/>
          <w:szCs w:val="32"/>
          <w:lang w:val="en-US" w:eastAsia="zh-CN" w:bidi="en-US"/>
        </w:rPr>
        <w:t>（二）绩效评价原则、指标体系、方法及标准</w:t>
      </w:r>
      <w:bookmarkEnd w:id="13"/>
      <w:bookmarkEnd w:id="14"/>
    </w:p>
    <w:bookmarkEnd w:id="15"/>
    <w:p w14:paraId="0F1F29FE">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16" w:name="_Toc100784591"/>
      <w:r>
        <w:rPr>
          <w:rFonts w:hint="default" w:ascii="Times New Roman" w:hAnsi="Times New Roman" w:eastAsia="仿宋" w:cs="Times New Roman"/>
          <w:sz w:val="32"/>
          <w:szCs w:val="32"/>
          <w:lang w:bidi="en-US"/>
        </w:rPr>
        <w:t>1.评价原则</w:t>
      </w:r>
      <w:bookmarkEnd w:id="16"/>
    </w:p>
    <w:p w14:paraId="483B8DB4">
      <w:pPr>
        <w:spacing w:line="360" w:lineRule="auto"/>
        <w:ind w:firstLine="560"/>
        <w:rPr>
          <w:rFonts w:hint="default" w:ascii="Times New Roman" w:hAnsi="Times New Roman" w:cs="Times New Roman"/>
        </w:rPr>
      </w:pPr>
      <w:r>
        <w:rPr>
          <w:rFonts w:hint="default" w:ascii="Times New Roman" w:hAnsi="Times New Roman" w:cs="Times New Roman"/>
        </w:rPr>
        <w:t>（1）科学规范原则：绩效评价应当严格执行规定的程序，按照科学可行的要求，采用定量与定性分析相结合的方法。</w:t>
      </w:r>
    </w:p>
    <w:p w14:paraId="3474DBA2">
      <w:pPr>
        <w:spacing w:line="360" w:lineRule="auto"/>
        <w:ind w:firstLine="560"/>
        <w:rPr>
          <w:rFonts w:hint="default" w:ascii="Times New Roman" w:hAnsi="Times New Roman" w:cs="Times New Roman"/>
        </w:rPr>
      </w:pPr>
      <w:r>
        <w:rPr>
          <w:rFonts w:hint="default" w:ascii="Times New Roman" w:hAnsi="Times New Roman" w:cs="Times New Roman"/>
        </w:rPr>
        <w:t>（2）公正公开原则：绩效评价应当符合真实、客观、公正的要求，依法公开并接受监督。</w:t>
      </w:r>
    </w:p>
    <w:p w14:paraId="52208F47">
      <w:pPr>
        <w:spacing w:line="360" w:lineRule="auto"/>
        <w:ind w:firstLine="560"/>
        <w:rPr>
          <w:rFonts w:hint="default" w:ascii="Times New Roman" w:hAnsi="Times New Roman" w:cs="Times New Roman"/>
        </w:rPr>
      </w:pPr>
      <w:r>
        <w:rPr>
          <w:rFonts w:hint="default" w:ascii="Times New Roman" w:hAnsi="Times New Roman" w:cs="Times New Roman"/>
        </w:rPr>
        <w:t>（3）分级分类原则：根据评价对象特点分类组织实施。</w:t>
      </w:r>
    </w:p>
    <w:p w14:paraId="4B6E62A6">
      <w:pPr>
        <w:spacing w:line="360" w:lineRule="auto"/>
        <w:ind w:firstLine="560"/>
        <w:rPr>
          <w:rFonts w:hint="default" w:ascii="Times New Roman" w:hAnsi="Times New Roman" w:cs="Times New Roman"/>
        </w:rPr>
      </w:pPr>
      <w:r>
        <w:rPr>
          <w:rFonts w:hint="default" w:ascii="Times New Roman" w:hAnsi="Times New Roman" w:cs="Times New Roman"/>
        </w:rPr>
        <w:t>（4）绩效相关原则：绩效评价应当针对具体支出及其产出绩效进行，评价结果应当清晰反映支出和产出绩效之间的紧密对应关系。</w:t>
      </w:r>
    </w:p>
    <w:p w14:paraId="2938D70F">
      <w:pPr>
        <w:spacing w:line="360" w:lineRule="auto"/>
        <w:ind w:firstLine="560"/>
        <w:rPr>
          <w:rFonts w:hint="default" w:ascii="Times New Roman" w:hAnsi="Times New Roman" w:cs="Times New Roman"/>
        </w:rPr>
      </w:pPr>
      <w:r>
        <w:rPr>
          <w:rFonts w:hint="default" w:ascii="Times New Roman" w:hAnsi="Times New Roman" w:cs="Times New Roman"/>
        </w:rPr>
        <w:t>根据以上原则，绩效评价应遵循如下要求：</w:t>
      </w:r>
    </w:p>
    <w:p w14:paraId="4D42AC8D">
      <w:pPr>
        <w:spacing w:line="360" w:lineRule="auto"/>
        <w:ind w:firstLine="560"/>
        <w:rPr>
          <w:rFonts w:hint="default" w:ascii="Times New Roman" w:hAnsi="Times New Roman" w:cs="Times New Roman"/>
        </w:rPr>
      </w:pPr>
      <w:r>
        <w:rPr>
          <w:rFonts w:hint="default" w:ascii="Times New Roman" w:hAnsi="Times New Roman" w:cs="Times New Roman"/>
        </w:rPr>
        <w:t>（1）在数据收集时，采取客观数据，并结合问卷调查结果，以保证各项指标的真实性。</w:t>
      </w:r>
    </w:p>
    <w:p w14:paraId="302D376E">
      <w:pPr>
        <w:spacing w:line="360" w:lineRule="auto"/>
        <w:ind w:firstLine="560"/>
        <w:rPr>
          <w:rFonts w:hint="default" w:ascii="Times New Roman" w:hAnsi="Times New Roman" w:cs="Times New Roman"/>
        </w:rPr>
      </w:pPr>
      <w:r>
        <w:rPr>
          <w:rFonts w:hint="default" w:ascii="Times New Roman" w:hAnsi="Times New Roman" w:cs="Times New Roman"/>
        </w:rPr>
        <w:t>（2）保证评价结果的真实性、公正性，提高评价报告的公信力。</w:t>
      </w:r>
    </w:p>
    <w:p w14:paraId="48050A6C">
      <w:pPr>
        <w:spacing w:line="360" w:lineRule="auto"/>
        <w:ind w:firstLine="560"/>
        <w:rPr>
          <w:rFonts w:hint="default" w:ascii="Times New Roman" w:hAnsi="Times New Roman" w:cs="Times New Roman"/>
        </w:rPr>
      </w:pPr>
      <w:r>
        <w:rPr>
          <w:rFonts w:hint="default" w:ascii="Times New Roman" w:hAnsi="Times New Roman" w:cs="Times New Roman"/>
        </w:rPr>
        <w:t>（3）绩效评价报告应当简明扼要，除了对绩效评价的过程、结果描述外，还应总结经验，指出问题，并就项目实施过程中所存在的问题提出可操作性改进建议。</w:t>
      </w:r>
    </w:p>
    <w:p w14:paraId="6D36B04E">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17" w:name="_Toc100784592"/>
      <w:r>
        <w:rPr>
          <w:rFonts w:hint="default" w:ascii="Times New Roman" w:hAnsi="Times New Roman" w:eastAsia="仿宋" w:cs="Times New Roman"/>
          <w:sz w:val="32"/>
          <w:szCs w:val="32"/>
          <w:lang w:bidi="en-US"/>
        </w:rPr>
        <w:t>2.评价指标体系</w:t>
      </w:r>
      <w:bookmarkEnd w:id="17"/>
    </w:p>
    <w:p w14:paraId="380BC057">
      <w:pPr>
        <w:spacing w:line="360" w:lineRule="auto"/>
        <w:ind w:firstLine="560"/>
        <w:rPr>
          <w:rFonts w:hint="default" w:ascii="Times New Roman" w:hAnsi="Times New Roman" w:cs="Times New Roman"/>
        </w:rPr>
      </w:pPr>
      <w:r>
        <w:rPr>
          <w:rFonts w:hint="default" w:ascii="Times New Roman" w:hAnsi="Times New Roman" w:cs="Times New Roman"/>
        </w:rPr>
        <w:t>绩效评价指标体系作为衡量绩效目标实现程度的考核工具，一般遵循以下原则：</w:t>
      </w:r>
    </w:p>
    <w:p w14:paraId="105F820B">
      <w:pPr>
        <w:spacing w:line="360" w:lineRule="auto"/>
        <w:ind w:firstLine="560"/>
        <w:rPr>
          <w:rFonts w:hint="default" w:ascii="Times New Roman" w:hAnsi="Times New Roman" w:cs="Times New Roman"/>
        </w:rPr>
      </w:pPr>
      <w:r>
        <w:rPr>
          <w:rFonts w:hint="default" w:ascii="Times New Roman" w:hAnsi="Times New Roman" w:cs="Times New Roman"/>
        </w:rPr>
        <w:t>（1）相关性原则：绩效评价指标应当与绩效目标有直接的联系，能够恰当反映目标的实现程度。</w:t>
      </w:r>
    </w:p>
    <w:p w14:paraId="5D1C1669">
      <w:pPr>
        <w:spacing w:line="360" w:lineRule="auto"/>
        <w:ind w:firstLine="560"/>
        <w:rPr>
          <w:rFonts w:hint="default" w:ascii="Times New Roman" w:hAnsi="Times New Roman" w:cs="Times New Roman"/>
        </w:rPr>
      </w:pPr>
      <w:r>
        <w:rPr>
          <w:rFonts w:hint="default" w:ascii="Times New Roman" w:hAnsi="Times New Roman" w:cs="Times New Roman"/>
        </w:rPr>
        <w:t>（2）重要性原则：应当优先使用最具评价对象代表性、最能反映评价要求的核心指标。</w:t>
      </w:r>
    </w:p>
    <w:p w14:paraId="1A3538CE">
      <w:pPr>
        <w:spacing w:line="360" w:lineRule="auto"/>
        <w:ind w:firstLine="560"/>
        <w:rPr>
          <w:rFonts w:hint="default" w:ascii="Times New Roman" w:hAnsi="Times New Roman" w:cs="Times New Roman"/>
        </w:rPr>
      </w:pPr>
      <w:r>
        <w:rPr>
          <w:rFonts w:hint="default" w:ascii="Times New Roman" w:hAnsi="Times New Roman" w:cs="Times New Roman"/>
        </w:rPr>
        <w:t>（3）可比性原则：对同类评价对象要设定共性的绩效评价指标，以便于评价结果可以相互比较。</w:t>
      </w:r>
    </w:p>
    <w:p w14:paraId="72ECFCBE">
      <w:pPr>
        <w:spacing w:line="360" w:lineRule="auto"/>
        <w:ind w:firstLine="560"/>
        <w:rPr>
          <w:rFonts w:hint="default" w:ascii="Times New Roman" w:hAnsi="Times New Roman" w:cs="Times New Roman"/>
        </w:rPr>
      </w:pPr>
      <w:r>
        <w:rPr>
          <w:rFonts w:hint="default" w:ascii="Times New Roman" w:hAnsi="Times New Roman" w:cs="Times New Roman"/>
        </w:rPr>
        <w:t>（4）系统性原则：绩效评价指标的设置应当将定量指标与定性指标相结合，能系统反映财政支出所产生的社会效益、经济效益和可持续影响等。</w:t>
      </w:r>
    </w:p>
    <w:p w14:paraId="534CC7AA">
      <w:pPr>
        <w:spacing w:line="360" w:lineRule="auto"/>
        <w:ind w:firstLine="560"/>
        <w:rPr>
          <w:rFonts w:hint="default" w:ascii="Times New Roman" w:hAnsi="Times New Roman" w:cs="Times New Roman"/>
        </w:rPr>
      </w:pPr>
      <w:r>
        <w:rPr>
          <w:rFonts w:hint="default" w:ascii="Times New Roman" w:hAnsi="Times New Roman" w:cs="Times New Roman"/>
        </w:rPr>
        <w:t>（5）经济性原则：绩效评价指标设计应当通俗易懂、简便易行，数据的获得应当考虑现实条件和可操作性，符合成本效益原则。</w:t>
      </w:r>
    </w:p>
    <w:p w14:paraId="4E1633E1">
      <w:pPr>
        <w:spacing w:line="360" w:lineRule="auto"/>
        <w:ind w:firstLine="560"/>
        <w:rPr>
          <w:rFonts w:hint="default" w:ascii="Times New Roman" w:hAnsi="Times New Roman" w:cs="Times New Roman"/>
        </w:rPr>
      </w:pPr>
      <w:r>
        <w:rPr>
          <w:rFonts w:hint="default" w:ascii="Times New Roman" w:hAnsi="Times New Roman" w:cs="Times New Roman"/>
        </w:rPr>
        <w:t>本项目的评价指标体系建立如附件所示。</w:t>
      </w:r>
    </w:p>
    <w:p w14:paraId="2FD08919">
      <w:pPr>
        <w:spacing w:line="360" w:lineRule="auto"/>
        <w:ind w:firstLine="560"/>
        <w:rPr>
          <w:rFonts w:hint="default" w:ascii="Times New Roman" w:hAnsi="Times New Roman" w:cs="Times New Roman"/>
        </w:rPr>
      </w:pPr>
    </w:p>
    <w:p w14:paraId="63CCF07E">
      <w:pPr>
        <w:spacing w:line="360" w:lineRule="auto"/>
        <w:ind w:firstLine="560"/>
        <w:rPr>
          <w:rFonts w:hint="default" w:ascii="Times New Roman" w:hAnsi="Times New Roman" w:cs="Times New Roman"/>
        </w:rPr>
      </w:pPr>
    </w:p>
    <w:p w14:paraId="580BCF49">
      <w:pPr>
        <w:spacing w:line="360" w:lineRule="auto"/>
        <w:ind w:firstLine="560"/>
        <w:rPr>
          <w:rFonts w:hint="default" w:ascii="Times New Roman" w:hAnsi="Times New Roman" w:cs="Times New Roman"/>
        </w:rPr>
        <w:sectPr>
          <w:headerReference r:id="rId10" w:type="default"/>
          <w:footerReference r:id="rId11" w:type="default"/>
          <w:footnotePr>
            <w:numFmt w:val="decimalEnclosedCircleChinese"/>
          </w:footnotePr>
          <w:pgSz w:w="11906" w:h="16838"/>
          <w:pgMar w:top="1440" w:right="1800" w:bottom="1440" w:left="1800" w:header="992" w:footer="992" w:gutter="0"/>
          <w:pgNumType w:start="1"/>
          <w:cols w:space="425" w:num="1"/>
          <w:docGrid w:type="lines" w:linePitch="381" w:charSpace="0"/>
        </w:sectPr>
      </w:pPr>
    </w:p>
    <w:p w14:paraId="48CA9508">
      <w:pPr>
        <w:spacing w:line="360" w:lineRule="auto"/>
        <w:ind w:firstLine="0" w:firstLineChars="0"/>
        <w:jc w:val="center"/>
        <w:rPr>
          <w:rFonts w:hint="default" w:ascii="Times New Roman" w:hAnsi="Times New Roman" w:cs="Times New Roman"/>
          <w:b/>
          <w:bCs/>
        </w:rPr>
      </w:pPr>
      <w:r>
        <w:rPr>
          <w:rFonts w:hint="default" w:ascii="Times New Roman" w:hAnsi="Times New Roman" w:cs="Times New Roman"/>
          <w:b/>
          <w:bCs/>
        </w:rPr>
        <w:t xml:space="preserve">  项目支出绩效评价指标体系</w:t>
      </w:r>
    </w:p>
    <w:tbl>
      <w:tblPr>
        <w:tblStyle w:val="15"/>
        <w:tblW w:w="13895"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55"/>
        <w:gridCol w:w="1199"/>
        <w:gridCol w:w="1411"/>
        <w:gridCol w:w="2789"/>
        <w:gridCol w:w="7341"/>
      </w:tblGrid>
      <w:tr w14:paraId="316EE23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1155" w:type="dxa"/>
            <w:tcBorders>
              <w:tl2br w:val="nil"/>
              <w:tr2bl w:val="nil"/>
            </w:tcBorders>
            <w:shd w:val="clear" w:color="auto" w:fill="D0CECE" w:themeFill="background2" w:themeFillShade="E6"/>
            <w:vAlign w:val="center"/>
          </w:tcPr>
          <w:p w14:paraId="273B1F95">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一级指标</w:t>
            </w:r>
          </w:p>
        </w:tc>
        <w:tc>
          <w:tcPr>
            <w:tcW w:w="1199" w:type="dxa"/>
            <w:tcBorders>
              <w:tl2br w:val="nil"/>
              <w:tr2bl w:val="nil"/>
            </w:tcBorders>
            <w:shd w:val="clear" w:color="auto" w:fill="D0CECE" w:themeFill="background2" w:themeFillShade="E6"/>
            <w:vAlign w:val="center"/>
          </w:tcPr>
          <w:p w14:paraId="0EEF93E4">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二级指标</w:t>
            </w:r>
          </w:p>
        </w:tc>
        <w:tc>
          <w:tcPr>
            <w:tcW w:w="1411" w:type="dxa"/>
            <w:tcBorders>
              <w:tl2br w:val="nil"/>
              <w:tr2bl w:val="nil"/>
            </w:tcBorders>
            <w:shd w:val="clear" w:color="auto" w:fill="D0CECE" w:themeFill="background2" w:themeFillShade="E6"/>
            <w:vAlign w:val="center"/>
          </w:tcPr>
          <w:p w14:paraId="4C38276C">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三级指标</w:t>
            </w:r>
          </w:p>
        </w:tc>
        <w:tc>
          <w:tcPr>
            <w:tcW w:w="2789" w:type="dxa"/>
            <w:tcBorders>
              <w:tl2br w:val="nil"/>
              <w:tr2bl w:val="nil"/>
            </w:tcBorders>
            <w:shd w:val="clear" w:color="auto" w:fill="D0CECE" w:themeFill="background2" w:themeFillShade="E6"/>
            <w:vAlign w:val="center"/>
          </w:tcPr>
          <w:p w14:paraId="52AB30BF">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指标解释</w:t>
            </w:r>
          </w:p>
        </w:tc>
        <w:tc>
          <w:tcPr>
            <w:tcW w:w="7341" w:type="dxa"/>
            <w:tcBorders>
              <w:tl2br w:val="nil"/>
              <w:tr2bl w:val="nil"/>
            </w:tcBorders>
            <w:shd w:val="clear" w:color="auto" w:fill="D0CECE" w:themeFill="background2" w:themeFillShade="E6"/>
            <w:vAlign w:val="center"/>
          </w:tcPr>
          <w:p w14:paraId="0C6818DE">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指标说明</w:t>
            </w:r>
          </w:p>
        </w:tc>
      </w:tr>
      <w:tr w14:paraId="4722363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1155" w:type="dxa"/>
            <w:vMerge w:val="restart"/>
            <w:tcBorders>
              <w:tl2br w:val="nil"/>
              <w:tr2bl w:val="nil"/>
            </w:tcBorders>
            <w:shd w:val="clear" w:color="auto" w:fill="FFFFFF"/>
            <w:vAlign w:val="center"/>
          </w:tcPr>
          <w:p w14:paraId="4D64D41D">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决策</w:t>
            </w:r>
          </w:p>
        </w:tc>
        <w:tc>
          <w:tcPr>
            <w:tcW w:w="1199" w:type="dxa"/>
            <w:vMerge w:val="restart"/>
            <w:tcBorders>
              <w:tl2br w:val="nil"/>
              <w:tr2bl w:val="nil"/>
            </w:tcBorders>
            <w:shd w:val="clear" w:color="auto" w:fill="FFFFFF"/>
            <w:vAlign w:val="center"/>
          </w:tcPr>
          <w:p w14:paraId="6E26C437">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项目立项</w:t>
            </w:r>
          </w:p>
        </w:tc>
        <w:tc>
          <w:tcPr>
            <w:tcW w:w="1411" w:type="dxa"/>
            <w:tcBorders>
              <w:tl2br w:val="nil"/>
              <w:tr2bl w:val="nil"/>
            </w:tcBorders>
            <w:shd w:val="clear" w:color="auto" w:fill="FFFFFF"/>
            <w:vAlign w:val="center"/>
          </w:tcPr>
          <w:p w14:paraId="253C6E73">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立项依据</w:t>
            </w:r>
          </w:p>
          <w:p w14:paraId="18A332D4">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充分性</w:t>
            </w:r>
          </w:p>
        </w:tc>
        <w:tc>
          <w:tcPr>
            <w:tcW w:w="2789" w:type="dxa"/>
            <w:tcBorders>
              <w:tl2br w:val="nil"/>
              <w:tr2bl w:val="nil"/>
            </w:tcBorders>
            <w:shd w:val="clear" w:color="auto" w:fill="FFFFFF"/>
            <w:vAlign w:val="center"/>
          </w:tcPr>
          <w:p w14:paraId="3A77575E">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项目立项是否符合法律法规、相关政策、发展规划以及部门职责，用以反映和考核项目立项依据情况。</w:t>
            </w:r>
          </w:p>
        </w:tc>
        <w:tc>
          <w:tcPr>
            <w:tcW w:w="7341" w:type="dxa"/>
            <w:tcBorders>
              <w:tl2br w:val="nil"/>
              <w:tr2bl w:val="nil"/>
            </w:tcBorders>
            <w:shd w:val="clear" w:color="auto" w:fill="FFFFFF"/>
            <w:vAlign w:val="center"/>
          </w:tcPr>
          <w:p w14:paraId="6CB2357A">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①项目立项是否符合国家法律法规、国民经济发展规划和相关政策；</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②项目立项是否符合行业发展规划和政策要求；</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③项目立项是否与部门职责范围相符，属于部门履职所需；</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④项目是否属于公共财政支持范围，是否符合中央、地方事权支出责任划分原则；</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⑤项目是否与相关部门同类项目或部门内部相关项目重复。</w:t>
            </w:r>
          </w:p>
        </w:tc>
      </w:tr>
      <w:tr w14:paraId="579F886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1155" w:type="dxa"/>
            <w:vMerge w:val="continue"/>
            <w:tcBorders>
              <w:tl2br w:val="nil"/>
              <w:tr2bl w:val="nil"/>
            </w:tcBorders>
            <w:shd w:val="clear" w:color="auto" w:fill="FFFFFF"/>
            <w:vAlign w:val="center"/>
          </w:tcPr>
          <w:p w14:paraId="6DD47B23">
            <w:pPr>
              <w:ind w:firstLine="0" w:firstLineChars="0"/>
              <w:jc w:val="center"/>
              <w:rPr>
                <w:rFonts w:hint="default"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14:paraId="6417609B">
            <w:pPr>
              <w:widowControl/>
              <w:ind w:firstLine="0" w:firstLineChars="0"/>
              <w:jc w:val="center"/>
              <w:rPr>
                <w:rFonts w:hint="default" w:ascii="Times New Roman" w:hAnsi="Times New Roman" w:eastAsia="宋体" w:cs="Times New Roman"/>
                <w:color w:val="000000"/>
                <w:kern w:val="0"/>
                <w:sz w:val="22"/>
              </w:rPr>
            </w:pPr>
          </w:p>
        </w:tc>
        <w:tc>
          <w:tcPr>
            <w:tcW w:w="1411" w:type="dxa"/>
            <w:tcBorders>
              <w:tl2br w:val="nil"/>
              <w:tr2bl w:val="nil"/>
            </w:tcBorders>
            <w:shd w:val="clear" w:color="auto" w:fill="FFFFFF"/>
            <w:vAlign w:val="center"/>
          </w:tcPr>
          <w:p w14:paraId="62DA3D60">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立项程序</w:t>
            </w:r>
          </w:p>
          <w:p w14:paraId="107B4971">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规范性</w:t>
            </w:r>
          </w:p>
        </w:tc>
        <w:tc>
          <w:tcPr>
            <w:tcW w:w="2789" w:type="dxa"/>
            <w:tcBorders>
              <w:tl2br w:val="nil"/>
              <w:tr2bl w:val="nil"/>
            </w:tcBorders>
            <w:shd w:val="clear" w:color="auto" w:fill="FFFFFF"/>
            <w:vAlign w:val="center"/>
          </w:tcPr>
          <w:p w14:paraId="403EB093">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项目申请、设立过程是否符合相关要求，用以反映和考核项目立项的规范情况。</w:t>
            </w:r>
          </w:p>
        </w:tc>
        <w:tc>
          <w:tcPr>
            <w:tcW w:w="7341" w:type="dxa"/>
            <w:tcBorders>
              <w:tl2br w:val="nil"/>
              <w:tr2bl w:val="nil"/>
            </w:tcBorders>
            <w:shd w:val="clear" w:color="auto" w:fill="FFFFFF"/>
            <w:vAlign w:val="center"/>
          </w:tcPr>
          <w:p w14:paraId="4ACE50B3">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①项目是否按照规定的程序申请设立；</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②审批文件、材料是否符合相关要求；</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③事前是否已经过必要的可行性研究、专家论证、风险评估、绩效评估、集体决策。</w:t>
            </w:r>
          </w:p>
        </w:tc>
      </w:tr>
      <w:tr w14:paraId="0BC34AE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1155" w:type="dxa"/>
            <w:vMerge w:val="continue"/>
            <w:tcBorders>
              <w:tl2br w:val="nil"/>
              <w:tr2bl w:val="nil"/>
            </w:tcBorders>
            <w:shd w:val="clear" w:color="auto" w:fill="FFFFFF"/>
            <w:vAlign w:val="center"/>
          </w:tcPr>
          <w:p w14:paraId="707B44B7">
            <w:pPr>
              <w:ind w:firstLine="0" w:firstLineChars="0"/>
              <w:jc w:val="center"/>
              <w:rPr>
                <w:rFonts w:hint="default" w:ascii="Times New Roman" w:hAnsi="Times New Roman" w:eastAsia="宋体" w:cs="Times New Roman"/>
                <w:color w:val="000000"/>
                <w:kern w:val="0"/>
                <w:sz w:val="22"/>
              </w:rPr>
            </w:pPr>
          </w:p>
        </w:tc>
        <w:tc>
          <w:tcPr>
            <w:tcW w:w="1199" w:type="dxa"/>
            <w:tcBorders>
              <w:tl2br w:val="nil"/>
              <w:tr2bl w:val="nil"/>
            </w:tcBorders>
            <w:shd w:val="clear" w:color="auto" w:fill="FFFFFF"/>
            <w:vAlign w:val="center"/>
          </w:tcPr>
          <w:p w14:paraId="7753E54C">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绩效目标</w:t>
            </w:r>
          </w:p>
        </w:tc>
        <w:tc>
          <w:tcPr>
            <w:tcW w:w="1411" w:type="dxa"/>
            <w:tcBorders>
              <w:tl2br w:val="nil"/>
              <w:tr2bl w:val="nil"/>
            </w:tcBorders>
            <w:shd w:val="clear" w:color="auto" w:fill="FFFFFF"/>
            <w:vAlign w:val="center"/>
          </w:tcPr>
          <w:p w14:paraId="36C089A5">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绩效目标</w:t>
            </w:r>
          </w:p>
          <w:p w14:paraId="7AF640A4">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合理性</w:t>
            </w:r>
          </w:p>
        </w:tc>
        <w:tc>
          <w:tcPr>
            <w:tcW w:w="2789" w:type="dxa"/>
            <w:tcBorders>
              <w:tl2br w:val="nil"/>
              <w:tr2bl w:val="nil"/>
            </w:tcBorders>
            <w:shd w:val="clear" w:color="000000" w:fill="FFFFFF"/>
            <w:vAlign w:val="center"/>
          </w:tcPr>
          <w:p w14:paraId="4F11B41B">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14:paraId="3FED5D0D">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（如未设定预算绩效目标，也可考核其他工作任务目标）</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①项目是否有绩效目标；</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②项目绩效目标与实际工作内容是否具有相关性；</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③项目预期产出效益和效果是否符合正常的业绩水平；</w:t>
            </w:r>
          </w:p>
          <w:p w14:paraId="22FF6570">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④是否与预算确定的项目投资额或资金量相匹配。</w:t>
            </w:r>
          </w:p>
        </w:tc>
      </w:tr>
      <w:tr w14:paraId="6F0CDB4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1155" w:type="dxa"/>
            <w:vMerge w:val="restart"/>
            <w:tcBorders>
              <w:tl2br w:val="nil"/>
              <w:tr2bl w:val="nil"/>
            </w:tcBorders>
            <w:shd w:val="clear" w:color="auto" w:fill="FFFFFF"/>
            <w:vAlign w:val="center"/>
          </w:tcPr>
          <w:p w14:paraId="2BDE2D2A">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决策</w:t>
            </w:r>
          </w:p>
        </w:tc>
        <w:tc>
          <w:tcPr>
            <w:tcW w:w="1199" w:type="dxa"/>
            <w:tcBorders>
              <w:tl2br w:val="nil"/>
              <w:tr2bl w:val="nil"/>
            </w:tcBorders>
            <w:shd w:val="clear" w:color="auto" w:fill="FFFFFF"/>
            <w:vAlign w:val="center"/>
          </w:tcPr>
          <w:p w14:paraId="0E97927F">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绩效目标</w:t>
            </w:r>
          </w:p>
        </w:tc>
        <w:tc>
          <w:tcPr>
            <w:tcW w:w="1411" w:type="dxa"/>
            <w:tcBorders>
              <w:tl2br w:val="nil"/>
              <w:tr2bl w:val="nil"/>
            </w:tcBorders>
            <w:shd w:val="clear" w:color="auto" w:fill="FFFFFF"/>
            <w:vAlign w:val="center"/>
          </w:tcPr>
          <w:p w14:paraId="77E09ECA">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绩效指标</w:t>
            </w:r>
          </w:p>
          <w:p w14:paraId="072B7057">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明确性</w:t>
            </w:r>
          </w:p>
        </w:tc>
        <w:tc>
          <w:tcPr>
            <w:tcW w:w="2789" w:type="dxa"/>
            <w:tcBorders>
              <w:tl2br w:val="nil"/>
              <w:tr2bl w:val="nil"/>
            </w:tcBorders>
            <w:shd w:val="clear" w:color="000000" w:fill="FFFFFF"/>
            <w:vAlign w:val="center"/>
          </w:tcPr>
          <w:p w14:paraId="0C1F1CE0">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14:paraId="492AB273">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①是否将项目绩效目标细化分解为具体的绩效指标；</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②是否通过清晰、可衡量的指标值予以体现；</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③是否与项目目标任务数或计划数相对应。</w:t>
            </w:r>
            <w:r>
              <w:rPr>
                <w:rFonts w:hint="default" w:ascii="Times New Roman" w:hAnsi="Times New Roman" w:eastAsia="宋体" w:cs="Times New Roman"/>
                <w:color w:val="000000"/>
                <w:kern w:val="0"/>
                <w:sz w:val="22"/>
              </w:rPr>
              <w:br w:type="textWrapping"/>
            </w:r>
          </w:p>
        </w:tc>
      </w:tr>
      <w:tr w14:paraId="1603344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1155" w:type="dxa"/>
            <w:vMerge w:val="continue"/>
            <w:tcBorders>
              <w:tl2br w:val="nil"/>
              <w:tr2bl w:val="nil"/>
            </w:tcBorders>
            <w:shd w:val="clear" w:color="auto" w:fill="FFFFFF"/>
            <w:vAlign w:val="center"/>
          </w:tcPr>
          <w:p w14:paraId="0E43F5C3">
            <w:pPr>
              <w:ind w:firstLine="0" w:firstLineChars="0"/>
              <w:jc w:val="center"/>
              <w:rPr>
                <w:rFonts w:hint="default" w:ascii="Times New Roman" w:hAnsi="Times New Roman" w:eastAsia="宋体" w:cs="Times New Roman"/>
                <w:color w:val="000000"/>
                <w:kern w:val="0"/>
                <w:sz w:val="22"/>
              </w:rPr>
            </w:pPr>
          </w:p>
        </w:tc>
        <w:tc>
          <w:tcPr>
            <w:tcW w:w="1199" w:type="dxa"/>
            <w:vMerge w:val="restart"/>
            <w:tcBorders>
              <w:tl2br w:val="nil"/>
              <w:tr2bl w:val="nil"/>
            </w:tcBorders>
            <w:shd w:val="clear" w:color="auto" w:fill="FFFFFF"/>
            <w:vAlign w:val="center"/>
          </w:tcPr>
          <w:p w14:paraId="52A71C81">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资金投入</w:t>
            </w:r>
          </w:p>
        </w:tc>
        <w:tc>
          <w:tcPr>
            <w:tcW w:w="1411" w:type="dxa"/>
            <w:tcBorders>
              <w:tl2br w:val="nil"/>
              <w:tr2bl w:val="nil"/>
            </w:tcBorders>
            <w:shd w:val="clear" w:color="auto" w:fill="FFFFFF"/>
            <w:vAlign w:val="center"/>
          </w:tcPr>
          <w:p w14:paraId="6A1ACFF1">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预算编制</w:t>
            </w:r>
          </w:p>
          <w:p w14:paraId="5305A38E">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科学性</w:t>
            </w:r>
          </w:p>
        </w:tc>
        <w:tc>
          <w:tcPr>
            <w:tcW w:w="2789" w:type="dxa"/>
            <w:tcBorders>
              <w:tl2br w:val="nil"/>
              <w:tr2bl w:val="nil"/>
            </w:tcBorders>
            <w:shd w:val="clear" w:color="auto" w:fill="FFFFFF"/>
            <w:vAlign w:val="center"/>
          </w:tcPr>
          <w:p w14:paraId="3535AAFB">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14:paraId="4839A98E">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①预算编制是否经过科学论证；</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②预算内容与项目内容是否匹配；</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③预算额度测算依据是否充分，是否按照标准编制；</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④预算确定的项目投资额或资金量是否与工作任务相匹配。</w:t>
            </w:r>
          </w:p>
        </w:tc>
      </w:tr>
      <w:tr w14:paraId="65E2E17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1155" w:type="dxa"/>
            <w:vMerge w:val="continue"/>
            <w:tcBorders>
              <w:tl2br w:val="nil"/>
              <w:tr2bl w:val="nil"/>
            </w:tcBorders>
            <w:shd w:val="clear" w:color="auto" w:fill="FFFFFF"/>
            <w:vAlign w:val="center"/>
          </w:tcPr>
          <w:p w14:paraId="379898F4">
            <w:pPr>
              <w:widowControl/>
              <w:ind w:firstLine="0" w:firstLineChars="0"/>
              <w:jc w:val="center"/>
              <w:rPr>
                <w:rFonts w:hint="default"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14:paraId="33088F88">
            <w:pPr>
              <w:widowControl/>
              <w:ind w:firstLine="0" w:firstLineChars="0"/>
              <w:jc w:val="center"/>
              <w:rPr>
                <w:rFonts w:hint="default" w:ascii="Times New Roman" w:hAnsi="Times New Roman" w:eastAsia="宋体" w:cs="Times New Roman"/>
                <w:color w:val="000000"/>
                <w:kern w:val="0"/>
                <w:sz w:val="22"/>
              </w:rPr>
            </w:pPr>
          </w:p>
        </w:tc>
        <w:tc>
          <w:tcPr>
            <w:tcW w:w="1411" w:type="dxa"/>
            <w:tcBorders>
              <w:tl2br w:val="nil"/>
              <w:tr2bl w:val="nil"/>
            </w:tcBorders>
            <w:shd w:val="clear" w:color="auto" w:fill="FFFFFF"/>
            <w:vAlign w:val="center"/>
          </w:tcPr>
          <w:p w14:paraId="62DBF26B">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资金分配</w:t>
            </w:r>
          </w:p>
          <w:p w14:paraId="45363765">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合理性</w:t>
            </w:r>
          </w:p>
        </w:tc>
        <w:tc>
          <w:tcPr>
            <w:tcW w:w="2789" w:type="dxa"/>
            <w:tcBorders>
              <w:tl2br w:val="nil"/>
              <w:tr2bl w:val="nil"/>
            </w:tcBorders>
            <w:shd w:val="clear" w:color="auto" w:fill="FFFFFF"/>
            <w:vAlign w:val="center"/>
          </w:tcPr>
          <w:p w14:paraId="45EFF99E">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项目预算资金分配是否有测算依据，与补助单位或地方实际是否相适应，用以反映和考核项目预算资金分配的科学性、合理性情况。</w:t>
            </w:r>
          </w:p>
        </w:tc>
        <w:tc>
          <w:tcPr>
            <w:tcW w:w="7341" w:type="dxa"/>
            <w:tcBorders>
              <w:tl2br w:val="nil"/>
              <w:tr2bl w:val="nil"/>
            </w:tcBorders>
            <w:shd w:val="clear" w:color="auto" w:fill="FFFFFF"/>
            <w:vAlign w:val="center"/>
          </w:tcPr>
          <w:p w14:paraId="4FB72CDD">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①预算资金分配依据是否充分；</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②资金分配额度是否合理，与项目单位或地方实际是否相适应。</w:t>
            </w:r>
          </w:p>
        </w:tc>
      </w:tr>
      <w:tr w14:paraId="50B0B01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1155" w:type="dxa"/>
            <w:vMerge w:val="restart"/>
            <w:tcBorders>
              <w:tl2br w:val="nil"/>
              <w:tr2bl w:val="nil"/>
            </w:tcBorders>
            <w:shd w:val="clear" w:color="auto" w:fill="FFFFFF"/>
            <w:vAlign w:val="center"/>
          </w:tcPr>
          <w:p w14:paraId="2DEC63AB">
            <w:pPr>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过程</w:t>
            </w:r>
          </w:p>
        </w:tc>
        <w:tc>
          <w:tcPr>
            <w:tcW w:w="1199" w:type="dxa"/>
            <w:vMerge w:val="restart"/>
            <w:tcBorders>
              <w:tl2br w:val="nil"/>
              <w:tr2bl w:val="nil"/>
            </w:tcBorders>
            <w:shd w:val="clear" w:color="auto" w:fill="FFFFFF"/>
            <w:vAlign w:val="center"/>
          </w:tcPr>
          <w:p w14:paraId="3D9C2D0B">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资金管理</w:t>
            </w:r>
          </w:p>
        </w:tc>
        <w:tc>
          <w:tcPr>
            <w:tcW w:w="1411" w:type="dxa"/>
            <w:tcBorders>
              <w:tl2br w:val="nil"/>
              <w:tr2bl w:val="nil"/>
            </w:tcBorders>
            <w:shd w:val="clear" w:color="auto" w:fill="FFFFFF"/>
            <w:vAlign w:val="center"/>
          </w:tcPr>
          <w:p w14:paraId="1F3CDAEE">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资金到位率</w:t>
            </w:r>
          </w:p>
        </w:tc>
        <w:tc>
          <w:tcPr>
            <w:tcW w:w="2789" w:type="dxa"/>
            <w:tcBorders>
              <w:tl2br w:val="nil"/>
              <w:tr2bl w:val="nil"/>
            </w:tcBorders>
            <w:shd w:val="clear" w:color="000000" w:fill="FFFFFF"/>
            <w:vAlign w:val="center"/>
          </w:tcPr>
          <w:p w14:paraId="1C068757">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14:paraId="49E3205D">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资金到位率=（实际到位资金/预算资金）×100%。</w:t>
            </w:r>
          </w:p>
          <w:p w14:paraId="03C9D92D">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实际到位资金：一定时期（本年度或项目期）内落实到具体项目的资金。</w:t>
            </w:r>
          </w:p>
          <w:p w14:paraId="256F7778">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预算资金：一定时期（本年度或项目期）内预算安排到具体项目的资金。</w:t>
            </w:r>
          </w:p>
        </w:tc>
      </w:tr>
      <w:tr w14:paraId="0BC2909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1155" w:type="dxa"/>
            <w:vMerge w:val="continue"/>
            <w:tcBorders>
              <w:tl2br w:val="nil"/>
              <w:tr2bl w:val="nil"/>
            </w:tcBorders>
            <w:shd w:val="clear" w:color="auto" w:fill="FFFFFF"/>
            <w:vAlign w:val="center"/>
          </w:tcPr>
          <w:p w14:paraId="4DAF9084">
            <w:pPr>
              <w:ind w:firstLine="0" w:firstLineChars="0"/>
              <w:jc w:val="center"/>
              <w:rPr>
                <w:rFonts w:hint="default"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14:paraId="19E11C0B">
            <w:pPr>
              <w:ind w:firstLine="0" w:firstLineChars="0"/>
              <w:jc w:val="center"/>
              <w:rPr>
                <w:rFonts w:hint="default" w:ascii="Times New Roman" w:hAnsi="Times New Roman" w:eastAsia="宋体" w:cs="Times New Roman"/>
                <w:color w:val="000000"/>
                <w:kern w:val="0"/>
                <w:sz w:val="22"/>
              </w:rPr>
            </w:pPr>
          </w:p>
        </w:tc>
        <w:tc>
          <w:tcPr>
            <w:tcW w:w="1411" w:type="dxa"/>
            <w:tcBorders>
              <w:tl2br w:val="nil"/>
              <w:tr2bl w:val="nil"/>
            </w:tcBorders>
            <w:shd w:val="clear" w:color="auto" w:fill="FFFFFF"/>
            <w:vAlign w:val="center"/>
          </w:tcPr>
          <w:p w14:paraId="4B34E6EE">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预算执行率</w:t>
            </w:r>
          </w:p>
        </w:tc>
        <w:tc>
          <w:tcPr>
            <w:tcW w:w="2789" w:type="dxa"/>
            <w:tcBorders>
              <w:tl2br w:val="nil"/>
              <w:tr2bl w:val="nil"/>
            </w:tcBorders>
            <w:shd w:val="clear" w:color="auto" w:fill="FFFFFF"/>
            <w:vAlign w:val="center"/>
          </w:tcPr>
          <w:p w14:paraId="71755140">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项目预算资金是否按照计划执行，用以反映或考核项目预算执行情况。</w:t>
            </w:r>
          </w:p>
        </w:tc>
        <w:tc>
          <w:tcPr>
            <w:tcW w:w="7341" w:type="dxa"/>
            <w:tcBorders>
              <w:tl2br w:val="nil"/>
              <w:tr2bl w:val="nil"/>
            </w:tcBorders>
            <w:shd w:val="clear" w:color="auto" w:fill="FFFFFF"/>
            <w:vAlign w:val="center"/>
          </w:tcPr>
          <w:p w14:paraId="6F25538D">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预算执行率=（实际支出资金/实际到位资金）×100%。</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实际支出资金：一定时期（本年度或项目期）内项目实际拨付的资金。</w:t>
            </w:r>
          </w:p>
        </w:tc>
      </w:tr>
      <w:tr w14:paraId="586886F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restart"/>
            <w:tcBorders>
              <w:tl2br w:val="nil"/>
              <w:tr2bl w:val="nil"/>
            </w:tcBorders>
            <w:shd w:val="clear" w:color="auto" w:fill="FFFFFF"/>
            <w:vAlign w:val="center"/>
          </w:tcPr>
          <w:p w14:paraId="79487963">
            <w:pPr>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过程</w:t>
            </w:r>
          </w:p>
        </w:tc>
        <w:tc>
          <w:tcPr>
            <w:tcW w:w="1199" w:type="dxa"/>
            <w:tcBorders>
              <w:tl2br w:val="nil"/>
              <w:tr2bl w:val="nil"/>
            </w:tcBorders>
            <w:shd w:val="clear" w:color="auto" w:fill="FFFFFF"/>
            <w:vAlign w:val="center"/>
          </w:tcPr>
          <w:p w14:paraId="04EDC4F8">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资金管理</w:t>
            </w:r>
          </w:p>
        </w:tc>
        <w:tc>
          <w:tcPr>
            <w:tcW w:w="1411" w:type="dxa"/>
            <w:tcBorders>
              <w:tl2br w:val="nil"/>
              <w:tr2bl w:val="nil"/>
            </w:tcBorders>
            <w:shd w:val="clear" w:color="auto" w:fill="FFFFFF"/>
            <w:vAlign w:val="center"/>
          </w:tcPr>
          <w:p w14:paraId="638182FF">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资金使用</w:t>
            </w:r>
          </w:p>
          <w:p w14:paraId="2A639D4B">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合规性</w:t>
            </w:r>
          </w:p>
        </w:tc>
        <w:tc>
          <w:tcPr>
            <w:tcW w:w="2789" w:type="dxa"/>
            <w:tcBorders>
              <w:tl2br w:val="nil"/>
              <w:tr2bl w:val="nil"/>
            </w:tcBorders>
            <w:shd w:val="clear" w:color="000000" w:fill="FFFFFF"/>
            <w:vAlign w:val="center"/>
          </w:tcPr>
          <w:p w14:paraId="712F946A">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项目资金使用是否符合相关的财务管理制度规定，用以反映和考核项目资金的规范运行情况。</w:t>
            </w:r>
          </w:p>
        </w:tc>
        <w:tc>
          <w:tcPr>
            <w:tcW w:w="7341" w:type="dxa"/>
            <w:tcBorders>
              <w:tl2br w:val="nil"/>
              <w:tr2bl w:val="nil"/>
            </w:tcBorders>
            <w:shd w:val="clear" w:color="000000" w:fill="FFFFFF"/>
            <w:vAlign w:val="center"/>
          </w:tcPr>
          <w:p w14:paraId="49688428">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①是否符合国家财经法规和财务管理制度以及有关专项资金管理办法的规定；</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②资金的拨付是否有完整的审批程序和手续；</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③是否符合项目预算批复或合同规定的用途；</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④是否存在截留、挤占、挪用、虚列支出等情况。</w:t>
            </w:r>
          </w:p>
        </w:tc>
      </w:tr>
      <w:tr w14:paraId="26DCAC4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1155" w:type="dxa"/>
            <w:vMerge w:val="continue"/>
            <w:tcBorders>
              <w:tl2br w:val="nil"/>
              <w:tr2bl w:val="nil"/>
            </w:tcBorders>
            <w:shd w:val="clear" w:color="auto" w:fill="FFFFFF"/>
            <w:vAlign w:val="center"/>
          </w:tcPr>
          <w:p w14:paraId="42C81553">
            <w:pPr>
              <w:ind w:firstLine="0" w:firstLineChars="0"/>
              <w:jc w:val="center"/>
              <w:rPr>
                <w:rFonts w:hint="default" w:ascii="Times New Roman" w:hAnsi="Times New Roman" w:eastAsia="宋体" w:cs="Times New Roman"/>
                <w:color w:val="000000"/>
                <w:kern w:val="0"/>
                <w:sz w:val="22"/>
              </w:rPr>
            </w:pPr>
          </w:p>
        </w:tc>
        <w:tc>
          <w:tcPr>
            <w:tcW w:w="1199" w:type="dxa"/>
            <w:vMerge w:val="restart"/>
            <w:tcBorders>
              <w:tl2br w:val="nil"/>
              <w:tr2bl w:val="nil"/>
            </w:tcBorders>
            <w:shd w:val="clear" w:color="auto" w:fill="FFFFFF"/>
            <w:vAlign w:val="center"/>
          </w:tcPr>
          <w:p w14:paraId="21EFC5C2">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组织实施</w:t>
            </w:r>
          </w:p>
        </w:tc>
        <w:tc>
          <w:tcPr>
            <w:tcW w:w="1411" w:type="dxa"/>
            <w:tcBorders>
              <w:tl2br w:val="nil"/>
              <w:tr2bl w:val="nil"/>
            </w:tcBorders>
            <w:shd w:val="clear" w:color="auto" w:fill="FFFFFF"/>
            <w:vAlign w:val="center"/>
          </w:tcPr>
          <w:p w14:paraId="7807BDE9">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管理制度</w:t>
            </w:r>
          </w:p>
          <w:p w14:paraId="074570C2">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健全性</w:t>
            </w:r>
          </w:p>
        </w:tc>
        <w:tc>
          <w:tcPr>
            <w:tcW w:w="2789" w:type="dxa"/>
            <w:tcBorders>
              <w:tl2br w:val="nil"/>
              <w:tr2bl w:val="nil"/>
            </w:tcBorders>
            <w:shd w:val="clear" w:color="000000" w:fill="FFFFFF"/>
            <w:vAlign w:val="center"/>
          </w:tcPr>
          <w:p w14:paraId="08511F25">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14:paraId="19CA1620">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①是否已制定或具有相应的财务和业务管理制度；</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②财务和业务管理制度是否合法、合规、完整。</w:t>
            </w:r>
          </w:p>
        </w:tc>
      </w:tr>
      <w:tr w14:paraId="5A3A0E3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1155" w:type="dxa"/>
            <w:vMerge w:val="continue"/>
            <w:tcBorders>
              <w:tl2br w:val="nil"/>
              <w:tr2bl w:val="nil"/>
            </w:tcBorders>
            <w:shd w:val="clear" w:color="auto" w:fill="FFFFFF"/>
            <w:vAlign w:val="center"/>
          </w:tcPr>
          <w:p w14:paraId="0414C667">
            <w:pPr>
              <w:widowControl/>
              <w:ind w:firstLine="0" w:firstLineChars="0"/>
              <w:jc w:val="center"/>
              <w:rPr>
                <w:rFonts w:hint="default"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14:paraId="2FCAE0B9">
            <w:pPr>
              <w:widowControl/>
              <w:ind w:firstLine="0" w:firstLineChars="0"/>
              <w:jc w:val="center"/>
              <w:rPr>
                <w:rFonts w:hint="default" w:ascii="Times New Roman" w:hAnsi="Times New Roman" w:eastAsia="宋体" w:cs="Times New Roman"/>
                <w:color w:val="000000"/>
                <w:kern w:val="0"/>
                <w:sz w:val="22"/>
              </w:rPr>
            </w:pPr>
          </w:p>
        </w:tc>
        <w:tc>
          <w:tcPr>
            <w:tcW w:w="1411" w:type="dxa"/>
            <w:tcBorders>
              <w:tl2br w:val="nil"/>
              <w:tr2bl w:val="nil"/>
            </w:tcBorders>
            <w:shd w:val="clear" w:color="auto" w:fill="FFFFFF"/>
            <w:vAlign w:val="center"/>
          </w:tcPr>
          <w:p w14:paraId="1E709805">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制度执行</w:t>
            </w:r>
          </w:p>
          <w:p w14:paraId="5AE1F96F">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有效性</w:t>
            </w:r>
          </w:p>
        </w:tc>
        <w:tc>
          <w:tcPr>
            <w:tcW w:w="2789" w:type="dxa"/>
            <w:tcBorders>
              <w:tl2br w:val="nil"/>
              <w:tr2bl w:val="nil"/>
            </w:tcBorders>
            <w:shd w:val="clear" w:color="000000" w:fill="FFFFFF"/>
            <w:vAlign w:val="center"/>
          </w:tcPr>
          <w:p w14:paraId="5204897A">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项目实施是否符合相关管理规定，用以反映和考核相关管理制度的有效执行情况。</w:t>
            </w:r>
          </w:p>
        </w:tc>
        <w:tc>
          <w:tcPr>
            <w:tcW w:w="7341" w:type="dxa"/>
            <w:tcBorders>
              <w:tl2br w:val="nil"/>
              <w:tr2bl w:val="nil"/>
            </w:tcBorders>
            <w:shd w:val="clear" w:color="000000" w:fill="FFFFFF"/>
            <w:vAlign w:val="center"/>
          </w:tcPr>
          <w:p w14:paraId="588A0F25">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①是否遵守相关法律法规和相关管理规定；</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②项目调整及支出调整手续是否完备；</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③项目合同书、验收报告、技术鉴定等资料是否齐全并及时归档；</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④项目实施的人员条件、场地设备、信息支撑等是否落实到位。</w:t>
            </w:r>
          </w:p>
        </w:tc>
      </w:tr>
      <w:tr w14:paraId="15BCD5A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0" w:hRule="atLeast"/>
          <w:jc w:val="center"/>
        </w:trPr>
        <w:tc>
          <w:tcPr>
            <w:tcW w:w="1155" w:type="dxa"/>
            <w:vMerge w:val="restart"/>
            <w:tcBorders>
              <w:tl2br w:val="nil"/>
              <w:tr2bl w:val="nil"/>
            </w:tcBorders>
            <w:shd w:val="clear" w:color="auto" w:fill="FFFFFF"/>
            <w:vAlign w:val="center"/>
          </w:tcPr>
          <w:p w14:paraId="36E1B402">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w:t>
            </w:r>
          </w:p>
        </w:tc>
        <w:tc>
          <w:tcPr>
            <w:tcW w:w="1199" w:type="dxa"/>
            <w:vMerge w:val="restart"/>
            <w:tcBorders>
              <w:tl2br w:val="nil"/>
              <w:tr2bl w:val="nil"/>
            </w:tcBorders>
            <w:shd w:val="clear" w:color="auto" w:fill="FFFFFF"/>
            <w:vAlign w:val="center"/>
          </w:tcPr>
          <w:p w14:paraId="4F553758">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产出数量</w:t>
            </w:r>
          </w:p>
        </w:tc>
        <w:tc>
          <w:tcPr>
            <w:tcW w:w="1411" w:type="dxa"/>
            <w:tcBorders>
              <w:tl2br w:val="nil"/>
              <w:tr2bl w:val="nil"/>
            </w:tcBorders>
            <w:shd w:val="clear" w:color="auto" w:fill="FFFFFF"/>
            <w:vAlign w:val="center"/>
          </w:tcPr>
          <w:p w14:paraId="0581F5EF">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项目体积</w:t>
            </w:r>
          </w:p>
        </w:tc>
        <w:tc>
          <w:tcPr>
            <w:tcW w:w="2789" w:type="dxa"/>
            <w:vMerge w:val="restart"/>
            <w:tcBorders>
              <w:tl2br w:val="nil"/>
              <w:tr2bl w:val="nil"/>
            </w:tcBorders>
            <w:shd w:val="clear" w:color="000000" w:fill="FFFFFF"/>
            <w:vAlign w:val="center"/>
          </w:tcPr>
          <w:p w14:paraId="4F8B4A57">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项目实施的实际产出数与计划产出数的比率，用以反映和考核项目产出数量目标的实现程度。</w:t>
            </w:r>
          </w:p>
        </w:tc>
        <w:tc>
          <w:tcPr>
            <w:tcW w:w="7341" w:type="dxa"/>
            <w:vMerge w:val="restart"/>
            <w:tcBorders>
              <w:tl2br w:val="nil"/>
              <w:tr2bl w:val="nil"/>
            </w:tcBorders>
            <w:shd w:val="clear" w:color="000000" w:fill="FFFFFF"/>
            <w:vAlign w:val="center"/>
          </w:tcPr>
          <w:p w14:paraId="2C85AAB9">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实际完成率=（实际产出数/计划产出数）×100%。</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实际产出数：一定时期（本年度或项目期）内项目实际产出的产品或提供的服务数量。</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计划产出数：项目绩效目标确定的在一定时期（本年度或项目期）内计划产出的产品或提供的服务数量。</w:t>
            </w:r>
          </w:p>
        </w:tc>
      </w:tr>
      <w:tr w14:paraId="2927F84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0" w:hRule="atLeast"/>
          <w:jc w:val="center"/>
        </w:trPr>
        <w:tc>
          <w:tcPr>
            <w:tcW w:w="1155" w:type="dxa"/>
            <w:vMerge w:val="continue"/>
            <w:tcBorders>
              <w:tl2br w:val="nil"/>
              <w:tr2bl w:val="nil"/>
            </w:tcBorders>
            <w:shd w:val="clear" w:color="auto" w:fill="FFFFFF"/>
            <w:vAlign w:val="center"/>
          </w:tcPr>
          <w:p w14:paraId="036798F6">
            <w:pPr>
              <w:widowControl/>
              <w:ind w:firstLine="0" w:firstLineChars="0"/>
              <w:jc w:val="center"/>
              <w:rPr>
                <w:rFonts w:hint="default"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14:paraId="6186FBDB">
            <w:pPr>
              <w:widowControl/>
              <w:ind w:firstLine="0" w:firstLineChars="0"/>
              <w:jc w:val="center"/>
              <w:rPr>
                <w:rFonts w:hint="default" w:ascii="Times New Roman" w:hAnsi="Times New Roman" w:eastAsia="宋体" w:cs="Times New Roman"/>
                <w:color w:val="000000"/>
                <w:kern w:val="0"/>
                <w:sz w:val="22"/>
                <w:highlight w:val="none"/>
              </w:rPr>
            </w:pPr>
          </w:p>
        </w:tc>
        <w:tc>
          <w:tcPr>
            <w:tcW w:w="1411" w:type="dxa"/>
            <w:tcBorders>
              <w:tl2br w:val="nil"/>
              <w:tr2bl w:val="nil"/>
            </w:tcBorders>
            <w:shd w:val="clear" w:color="auto" w:fill="FFFFFF"/>
            <w:vAlign w:val="center"/>
          </w:tcPr>
          <w:p w14:paraId="608DF89F">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室外电缆电线长度</w:t>
            </w:r>
          </w:p>
        </w:tc>
        <w:tc>
          <w:tcPr>
            <w:tcW w:w="2789" w:type="dxa"/>
            <w:vMerge w:val="continue"/>
            <w:tcBorders>
              <w:tl2br w:val="nil"/>
              <w:tr2bl w:val="nil"/>
            </w:tcBorders>
            <w:shd w:val="clear" w:color="000000" w:fill="FFFFFF"/>
            <w:vAlign w:val="center"/>
          </w:tcPr>
          <w:p w14:paraId="24A8FB7E">
            <w:pPr>
              <w:widowControl/>
              <w:ind w:firstLine="0" w:firstLineChars="0"/>
              <w:rPr>
                <w:rFonts w:hint="default" w:ascii="Times New Roman" w:hAnsi="Times New Roman" w:eastAsia="宋体" w:cs="Times New Roman"/>
                <w:color w:val="000000"/>
                <w:kern w:val="0"/>
                <w:sz w:val="22"/>
              </w:rPr>
            </w:pPr>
          </w:p>
        </w:tc>
        <w:tc>
          <w:tcPr>
            <w:tcW w:w="7341" w:type="dxa"/>
            <w:vMerge w:val="continue"/>
            <w:tcBorders>
              <w:tl2br w:val="nil"/>
              <w:tr2bl w:val="nil"/>
            </w:tcBorders>
            <w:shd w:val="clear" w:color="000000" w:fill="FFFFFF"/>
            <w:vAlign w:val="center"/>
          </w:tcPr>
          <w:p w14:paraId="50536E8B">
            <w:pPr>
              <w:widowControl/>
              <w:ind w:firstLine="0" w:firstLineChars="0"/>
              <w:rPr>
                <w:rFonts w:hint="default" w:ascii="Times New Roman" w:hAnsi="Times New Roman" w:eastAsia="宋体" w:cs="Times New Roman"/>
                <w:color w:val="000000"/>
                <w:kern w:val="0"/>
                <w:sz w:val="22"/>
              </w:rPr>
            </w:pPr>
          </w:p>
        </w:tc>
      </w:tr>
      <w:tr w14:paraId="0B8CADC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0" w:hRule="atLeast"/>
          <w:jc w:val="center"/>
        </w:trPr>
        <w:tc>
          <w:tcPr>
            <w:tcW w:w="1155" w:type="dxa"/>
            <w:vMerge w:val="continue"/>
            <w:tcBorders>
              <w:tl2br w:val="nil"/>
              <w:tr2bl w:val="nil"/>
            </w:tcBorders>
            <w:shd w:val="clear" w:color="auto" w:fill="FFFFFF"/>
            <w:vAlign w:val="center"/>
          </w:tcPr>
          <w:p w14:paraId="452ADE48">
            <w:pPr>
              <w:widowControl/>
              <w:ind w:firstLine="0" w:firstLineChars="0"/>
              <w:jc w:val="center"/>
              <w:rPr>
                <w:rFonts w:hint="default"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14:paraId="675E8195">
            <w:pPr>
              <w:widowControl/>
              <w:ind w:firstLine="0" w:firstLineChars="0"/>
              <w:jc w:val="center"/>
              <w:rPr>
                <w:rFonts w:hint="default" w:ascii="Times New Roman" w:hAnsi="Times New Roman" w:eastAsia="宋体" w:cs="Times New Roman"/>
                <w:color w:val="000000"/>
                <w:kern w:val="0"/>
                <w:sz w:val="22"/>
                <w:highlight w:val="none"/>
              </w:rPr>
            </w:pPr>
          </w:p>
        </w:tc>
        <w:tc>
          <w:tcPr>
            <w:tcW w:w="1411" w:type="dxa"/>
            <w:tcBorders>
              <w:tl2br w:val="nil"/>
              <w:tr2bl w:val="nil"/>
            </w:tcBorders>
            <w:shd w:val="clear" w:color="auto" w:fill="FFFFFF"/>
            <w:vAlign w:val="center"/>
          </w:tcPr>
          <w:p w14:paraId="726BAFDE">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GBL配电柜</w:t>
            </w:r>
          </w:p>
        </w:tc>
        <w:tc>
          <w:tcPr>
            <w:tcW w:w="2789" w:type="dxa"/>
            <w:vMerge w:val="continue"/>
            <w:tcBorders>
              <w:tl2br w:val="nil"/>
              <w:tr2bl w:val="nil"/>
            </w:tcBorders>
            <w:shd w:val="clear" w:color="000000" w:fill="FFFFFF"/>
            <w:vAlign w:val="center"/>
          </w:tcPr>
          <w:p w14:paraId="3471DE23">
            <w:pPr>
              <w:widowControl/>
              <w:ind w:firstLine="0" w:firstLineChars="0"/>
              <w:rPr>
                <w:rFonts w:hint="default" w:ascii="Times New Roman" w:hAnsi="Times New Roman" w:eastAsia="宋体" w:cs="Times New Roman"/>
                <w:color w:val="000000"/>
                <w:kern w:val="0"/>
                <w:sz w:val="22"/>
              </w:rPr>
            </w:pPr>
          </w:p>
        </w:tc>
        <w:tc>
          <w:tcPr>
            <w:tcW w:w="7341" w:type="dxa"/>
            <w:vMerge w:val="continue"/>
            <w:tcBorders>
              <w:tl2br w:val="nil"/>
              <w:tr2bl w:val="nil"/>
            </w:tcBorders>
            <w:shd w:val="clear" w:color="000000" w:fill="FFFFFF"/>
            <w:vAlign w:val="center"/>
          </w:tcPr>
          <w:p w14:paraId="3F87AAF9">
            <w:pPr>
              <w:widowControl/>
              <w:ind w:firstLine="0" w:firstLineChars="0"/>
              <w:rPr>
                <w:rFonts w:hint="default" w:ascii="Times New Roman" w:hAnsi="Times New Roman" w:eastAsia="宋体" w:cs="Times New Roman"/>
                <w:color w:val="000000"/>
                <w:kern w:val="0"/>
                <w:sz w:val="22"/>
              </w:rPr>
            </w:pPr>
          </w:p>
        </w:tc>
      </w:tr>
      <w:tr w14:paraId="60A4D5A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88" w:hRule="atLeast"/>
          <w:jc w:val="center"/>
        </w:trPr>
        <w:tc>
          <w:tcPr>
            <w:tcW w:w="1155" w:type="dxa"/>
            <w:vMerge w:val="restart"/>
            <w:tcBorders>
              <w:tl2br w:val="nil"/>
              <w:tr2bl w:val="nil"/>
            </w:tcBorders>
            <w:shd w:val="clear" w:color="auto" w:fill="FFFFFF"/>
            <w:vAlign w:val="center"/>
          </w:tcPr>
          <w:p w14:paraId="17E86464">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w:t>
            </w:r>
          </w:p>
        </w:tc>
        <w:tc>
          <w:tcPr>
            <w:tcW w:w="1199" w:type="dxa"/>
            <w:vMerge w:val="restart"/>
            <w:tcBorders>
              <w:tl2br w:val="nil"/>
              <w:tr2bl w:val="nil"/>
            </w:tcBorders>
            <w:shd w:val="clear" w:color="auto" w:fill="FFFFFF"/>
            <w:vAlign w:val="center"/>
          </w:tcPr>
          <w:p w14:paraId="1C725656">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产出质量</w:t>
            </w:r>
          </w:p>
        </w:tc>
        <w:tc>
          <w:tcPr>
            <w:tcW w:w="1411" w:type="dxa"/>
            <w:tcBorders>
              <w:tl2br w:val="nil"/>
              <w:tr2bl w:val="nil"/>
            </w:tcBorders>
            <w:shd w:val="clear" w:color="auto" w:fill="FFFFFF"/>
            <w:vAlign w:val="center"/>
          </w:tcPr>
          <w:p w14:paraId="5DF8064A">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项目建设合格率</w:t>
            </w:r>
          </w:p>
        </w:tc>
        <w:tc>
          <w:tcPr>
            <w:tcW w:w="2789" w:type="dxa"/>
            <w:vMerge w:val="restart"/>
            <w:tcBorders>
              <w:tl2br w:val="nil"/>
              <w:tr2bl w:val="nil"/>
            </w:tcBorders>
            <w:shd w:val="clear" w:color="000000" w:fill="FFFFFF"/>
            <w:vAlign w:val="center"/>
          </w:tcPr>
          <w:p w14:paraId="5348569B">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项目完成的质量达标产出数与实际产出数的比率，用以反映和考核项目产出质量目标的实现程度。</w:t>
            </w:r>
          </w:p>
        </w:tc>
        <w:tc>
          <w:tcPr>
            <w:tcW w:w="7341" w:type="dxa"/>
            <w:vMerge w:val="restart"/>
            <w:tcBorders>
              <w:tl2br w:val="nil"/>
              <w:tr2bl w:val="nil"/>
            </w:tcBorders>
            <w:shd w:val="clear" w:color="000000" w:fill="FFFFFF"/>
            <w:vAlign w:val="center"/>
          </w:tcPr>
          <w:p w14:paraId="3CD411A7">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质量达标率=（质量达标产出数/实际产出数）×100%。</w:t>
            </w:r>
          </w:p>
          <w:p w14:paraId="3AFB6EB8">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14:paraId="0D8EDD6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58" w:hRule="atLeast"/>
          <w:jc w:val="center"/>
        </w:trPr>
        <w:tc>
          <w:tcPr>
            <w:tcW w:w="1155" w:type="dxa"/>
            <w:vMerge w:val="continue"/>
            <w:tcBorders>
              <w:tl2br w:val="nil"/>
              <w:tr2bl w:val="nil"/>
            </w:tcBorders>
            <w:shd w:val="clear" w:color="auto" w:fill="FFFFFF"/>
            <w:vAlign w:val="center"/>
          </w:tcPr>
          <w:p w14:paraId="596FCAC1">
            <w:pPr>
              <w:widowControl/>
              <w:ind w:firstLine="0" w:firstLineChars="0"/>
              <w:jc w:val="center"/>
              <w:rPr>
                <w:rFonts w:hint="default"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14:paraId="2832CB6D">
            <w:pPr>
              <w:widowControl/>
              <w:ind w:firstLine="0" w:firstLineChars="0"/>
              <w:jc w:val="center"/>
              <w:rPr>
                <w:rFonts w:hint="default" w:ascii="Times New Roman" w:hAnsi="Times New Roman" w:eastAsia="宋体" w:cs="Times New Roman"/>
                <w:color w:val="000000"/>
                <w:kern w:val="0"/>
                <w:sz w:val="22"/>
                <w:highlight w:val="none"/>
              </w:rPr>
            </w:pPr>
          </w:p>
        </w:tc>
        <w:tc>
          <w:tcPr>
            <w:tcW w:w="1411" w:type="dxa"/>
            <w:tcBorders>
              <w:tl2br w:val="nil"/>
              <w:tr2bl w:val="nil"/>
            </w:tcBorders>
            <w:shd w:val="clear" w:color="auto" w:fill="FFFFFF"/>
            <w:vAlign w:val="center"/>
          </w:tcPr>
          <w:p w14:paraId="514A57D9">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产品验收合格率</w:t>
            </w:r>
          </w:p>
        </w:tc>
        <w:tc>
          <w:tcPr>
            <w:tcW w:w="2789" w:type="dxa"/>
            <w:vMerge w:val="continue"/>
            <w:tcBorders>
              <w:tl2br w:val="nil"/>
              <w:tr2bl w:val="nil"/>
            </w:tcBorders>
            <w:shd w:val="clear" w:color="000000" w:fill="FFFFFF"/>
            <w:vAlign w:val="center"/>
          </w:tcPr>
          <w:p w14:paraId="09937C55">
            <w:pPr>
              <w:widowControl/>
              <w:ind w:firstLine="0" w:firstLineChars="0"/>
              <w:rPr>
                <w:rFonts w:hint="default" w:ascii="Times New Roman" w:hAnsi="Times New Roman" w:eastAsia="宋体" w:cs="Times New Roman"/>
                <w:color w:val="000000"/>
                <w:kern w:val="0"/>
                <w:sz w:val="22"/>
              </w:rPr>
            </w:pPr>
          </w:p>
        </w:tc>
        <w:tc>
          <w:tcPr>
            <w:tcW w:w="7341" w:type="dxa"/>
            <w:vMerge w:val="continue"/>
            <w:tcBorders>
              <w:tl2br w:val="nil"/>
              <w:tr2bl w:val="nil"/>
            </w:tcBorders>
            <w:shd w:val="clear" w:color="000000" w:fill="FFFFFF"/>
            <w:vAlign w:val="center"/>
          </w:tcPr>
          <w:p w14:paraId="2DB5D346">
            <w:pPr>
              <w:widowControl/>
              <w:ind w:firstLine="0" w:firstLineChars="0"/>
              <w:rPr>
                <w:rFonts w:hint="default" w:ascii="Times New Roman" w:hAnsi="Times New Roman" w:eastAsia="宋体" w:cs="Times New Roman"/>
                <w:color w:val="000000"/>
                <w:kern w:val="0"/>
                <w:sz w:val="22"/>
              </w:rPr>
            </w:pPr>
          </w:p>
        </w:tc>
      </w:tr>
      <w:tr w14:paraId="1B9D689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60" w:hRule="atLeast"/>
          <w:jc w:val="center"/>
        </w:trPr>
        <w:tc>
          <w:tcPr>
            <w:tcW w:w="1155" w:type="dxa"/>
            <w:vMerge w:val="continue"/>
            <w:tcBorders>
              <w:tl2br w:val="nil"/>
              <w:tr2bl w:val="nil"/>
            </w:tcBorders>
            <w:shd w:val="clear" w:color="auto" w:fill="FFFFFF"/>
            <w:vAlign w:val="center"/>
          </w:tcPr>
          <w:p w14:paraId="600874F2">
            <w:pPr>
              <w:ind w:firstLine="0" w:firstLineChars="0"/>
              <w:jc w:val="center"/>
              <w:rPr>
                <w:rFonts w:hint="default" w:ascii="Times New Roman" w:hAnsi="Times New Roman" w:eastAsia="宋体" w:cs="Times New Roman"/>
                <w:color w:val="000000"/>
                <w:kern w:val="0"/>
                <w:sz w:val="22"/>
                <w:highlight w:val="none"/>
              </w:rPr>
            </w:pPr>
          </w:p>
        </w:tc>
        <w:tc>
          <w:tcPr>
            <w:tcW w:w="1199" w:type="dxa"/>
            <w:tcBorders>
              <w:tl2br w:val="nil"/>
              <w:tr2bl w:val="nil"/>
            </w:tcBorders>
            <w:shd w:val="clear" w:color="auto" w:fill="FFFFFF"/>
            <w:vAlign w:val="center"/>
          </w:tcPr>
          <w:p w14:paraId="7CBF1C3D">
            <w:pPr>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产出时效</w:t>
            </w:r>
          </w:p>
        </w:tc>
        <w:tc>
          <w:tcPr>
            <w:tcW w:w="1411" w:type="dxa"/>
            <w:tcBorders>
              <w:tl2br w:val="nil"/>
              <w:tr2bl w:val="nil"/>
            </w:tcBorders>
            <w:shd w:val="clear" w:color="auto" w:fill="FFFFFF"/>
            <w:vAlign w:val="center"/>
          </w:tcPr>
          <w:p w14:paraId="3D1BF91F">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项目按期完成率</w:t>
            </w:r>
          </w:p>
        </w:tc>
        <w:tc>
          <w:tcPr>
            <w:tcW w:w="2789" w:type="dxa"/>
            <w:tcBorders>
              <w:tl2br w:val="nil"/>
              <w:tr2bl w:val="nil"/>
            </w:tcBorders>
            <w:shd w:val="clear" w:color="000000" w:fill="FFFFFF"/>
            <w:vAlign w:val="center"/>
          </w:tcPr>
          <w:p w14:paraId="5BBDE316">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项目实际完成时间与计划完成时间的比较，用以反映和考核项目产出时效目标的实现程度。</w:t>
            </w:r>
          </w:p>
        </w:tc>
        <w:tc>
          <w:tcPr>
            <w:tcW w:w="7341" w:type="dxa"/>
            <w:tcBorders>
              <w:tl2br w:val="nil"/>
              <w:tr2bl w:val="nil"/>
            </w:tcBorders>
            <w:shd w:val="clear" w:color="000000" w:fill="FFFFFF"/>
            <w:vAlign w:val="center"/>
          </w:tcPr>
          <w:p w14:paraId="20211BFE">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实际完成时间：项目实施单位完成该项目实际所耗用的时间。</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计划完成时间：按照项目实施计划或相关规定完成该项目所需的时间。</w:t>
            </w:r>
          </w:p>
        </w:tc>
      </w:tr>
      <w:tr w14:paraId="0713379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continue"/>
            <w:tcBorders>
              <w:tl2br w:val="nil"/>
              <w:tr2bl w:val="nil"/>
            </w:tcBorders>
            <w:shd w:val="clear" w:color="auto" w:fill="FFFFFF"/>
            <w:vAlign w:val="center"/>
          </w:tcPr>
          <w:p w14:paraId="135C18C8">
            <w:pPr>
              <w:widowControl/>
              <w:ind w:firstLine="0" w:firstLineChars="0"/>
              <w:jc w:val="center"/>
              <w:rPr>
                <w:rFonts w:hint="default" w:ascii="Times New Roman" w:hAnsi="Times New Roman" w:eastAsia="宋体" w:cs="Times New Roman"/>
                <w:color w:val="000000"/>
                <w:kern w:val="0"/>
                <w:sz w:val="22"/>
                <w:highlight w:val="none"/>
              </w:rPr>
            </w:pPr>
          </w:p>
        </w:tc>
        <w:tc>
          <w:tcPr>
            <w:tcW w:w="1199" w:type="dxa"/>
            <w:tcBorders>
              <w:tl2br w:val="nil"/>
              <w:tr2bl w:val="nil"/>
            </w:tcBorders>
            <w:shd w:val="clear" w:color="auto" w:fill="FFFFFF"/>
            <w:vAlign w:val="center"/>
          </w:tcPr>
          <w:p w14:paraId="14631D60">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产出成本</w:t>
            </w:r>
          </w:p>
        </w:tc>
        <w:tc>
          <w:tcPr>
            <w:tcW w:w="1411" w:type="dxa"/>
            <w:tcBorders>
              <w:tl2br w:val="nil"/>
              <w:tr2bl w:val="nil"/>
            </w:tcBorders>
            <w:shd w:val="clear" w:color="auto" w:fill="FFFFFF"/>
            <w:vAlign w:val="center"/>
          </w:tcPr>
          <w:p w14:paraId="2C306760">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成本控制率</w:t>
            </w:r>
          </w:p>
        </w:tc>
        <w:tc>
          <w:tcPr>
            <w:tcW w:w="2789" w:type="dxa"/>
            <w:tcBorders>
              <w:tl2br w:val="nil"/>
              <w:tr2bl w:val="nil"/>
            </w:tcBorders>
            <w:shd w:val="clear" w:color="000000" w:fill="FFFFFF"/>
            <w:vAlign w:val="center"/>
          </w:tcPr>
          <w:p w14:paraId="75A087E1">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完成项目计划工作目标的实际节约成本与计划成本的比率，用以反映和考核项目的成本节约程度。</w:t>
            </w:r>
          </w:p>
        </w:tc>
        <w:tc>
          <w:tcPr>
            <w:tcW w:w="7341" w:type="dxa"/>
            <w:tcBorders>
              <w:tl2br w:val="nil"/>
              <w:tr2bl w:val="nil"/>
            </w:tcBorders>
            <w:shd w:val="clear" w:color="000000" w:fill="FFFFFF"/>
            <w:vAlign w:val="center"/>
          </w:tcPr>
          <w:p w14:paraId="4BA4DEB4">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成本节约率=[（计划成本-实际成本）/计划成本]×100%。</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实际成本：项目实施单位如期、保质、保量完成既定工作目标实际所耗费的支出。</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计划成本：项目实施单位为完成工作目标计划安排的支出，一般以项目预算为参考。</w:t>
            </w:r>
          </w:p>
        </w:tc>
      </w:tr>
      <w:tr w14:paraId="50FD46C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1155" w:type="dxa"/>
            <w:vMerge w:val="restart"/>
            <w:tcBorders>
              <w:tl2br w:val="nil"/>
              <w:tr2bl w:val="nil"/>
            </w:tcBorders>
            <w:shd w:val="clear" w:color="auto" w:fill="FFFFFF"/>
            <w:vAlign w:val="center"/>
          </w:tcPr>
          <w:p w14:paraId="2B8E20AA">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效益</w:t>
            </w:r>
          </w:p>
        </w:tc>
        <w:tc>
          <w:tcPr>
            <w:tcW w:w="1199" w:type="dxa"/>
            <w:tcBorders>
              <w:tl2br w:val="nil"/>
              <w:tr2bl w:val="nil"/>
            </w:tcBorders>
            <w:shd w:val="clear" w:color="auto" w:fill="FFFFFF"/>
            <w:vAlign w:val="center"/>
          </w:tcPr>
          <w:p w14:paraId="6277B1ED">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社会效益指标</w:t>
            </w:r>
          </w:p>
        </w:tc>
        <w:tc>
          <w:tcPr>
            <w:tcW w:w="1411" w:type="dxa"/>
            <w:tcBorders>
              <w:tl2br w:val="nil"/>
              <w:tr2bl w:val="nil"/>
            </w:tcBorders>
            <w:shd w:val="clear" w:color="auto" w:fill="FFFFFF"/>
            <w:vAlign w:val="center"/>
          </w:tcPr>
          <w:p w14:paraId="54841153">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保障师生的生命安全和学校的财产安全</w:t>
            </w:r>
          </w:p>
        </w:tc>
        <w:tc>
          <w:tcPr>
            <w:tcW w:w="2789" w:type="dxa"/>
            <w:vMerge w:val="restart"/>
            <w:tcBorders>
              <w:tl2br w:val="nil"/>
              <w:tr2bl w:val="nil"/>
            </w:tcBorders>
            <w:shd w:val="clear" w:color="auto" w:fill="FFFFFF"/>
            <w:vAlign w:val="center"/>
          </w:tcPr>
          <w:p w14:paraId="62DC4E82">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项目实施所产生的效益。</w:t>
            </w:r>
          </w:p>
        </w:tc>
        <w:tc>
          <w:tcPr>
            <w:tcW w:w="7341" w:type="dxa"/>
            <w:tcBorders>
              <w:tl2br w:val="nil"/>
              <w:tr2bl w:val="nil"/>
            </w:tcBorders>
            <w:shd w:val="clear" w:color="auto" w:fill="FFFFFF"/>
            <w:vAlign w:val="center"/>
          </w:tcPr>
          <w:p w14:paraId="0F7C2DC5">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项目实施所产生的社会效益、经济效益、生态效益、可持续影响等。可根据项目实际情况有选择地设置和细化。</w:t>
            </w:r>
          </w:p>
        </w:tc>
      </w:tr>
      <w:tr w14:paraId="46198FD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155" w:type="dxa"/>
            <w:vMerge w:val="continue"/>
            <w:tcBorders>
              <w:tl2br w:val="nil"/>
              <w:tr2bl w:val="nil"/>
            </w:tcBorders>
            <w:shd w:val="clear" w:color="auto" w:fill="FFFFFF"/>
            <w:vAlign w:val="center"/>
          </w:tcPr>
          <w:p w14:paraId="7FD92731">
            <w:pPr>
              <w:widowControl/>
              <w:ind w:firstLine="0" w:firstLineChars="0"/>
              <w:jc w:val="center"/>
              <w:rPr>
                <w:rFonts w:hint="default" w:ascii="Times New Roman" w:hAnsi="Times New Roman" w:eastAsia="宋体" w:cs="Times New Roman"/>
                <w:color w:val="000000"/>
                <w:kern w:val="0"/>
                <w:sz w:val="22"/>
                <w:highlight w:val="none"/>
              </w:rPr>
            </w:pPr>
          </w:p>
        </w:tc>
        <w:tc>
          <w:tcPr>
            <w:tcW w:w="1199" w:type="dxa"/>
            <w:tcBorders>
              <w:tl2br w:val="nil"/>
              <w:tr2bl w:val="nil"/>
            </w:tcBorders>
            <w:shd w:val="clear" w:color="auto" w:fill="FFFFFF"/>
            <w:vAlign w:val="center"/>
          </w:tcPr>
          <w:p w14:paraId="397C8028">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可持续影响指标</w:t>
            </w:r>
          </w:p>
        </w:tc>
        <w:tc>
          <w:tcPr>
            <w:tcW w:w="1411" w:type="dxa"/>
            <w:tcBorders>
              <w:tl2br w:val="nil"/>
              <w:tr2bl w:val="nil"/>
            </w:tcBorders>
            <w:shd w:val="clear" w:color="auto" w:fill="FFFFFF"/>
            <w:vAlign w:val="center"/>
          </w:tcPr>
          <w:p w14:paraId="4C784FE7">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降低火灾的发生率</w:t>
            </w:r>
          </w:p>
        </w:tc>
        <w:tc>
          <w:tcPr>
            <w:tcW w:w="2789" w:type="dxa"/>
            <w:vMerge w:val="continue"/>
            <w:tcBorders>
              <w:tl2br w:val="nil"/>
              <w:tr2bl w:val="nil"/>
            </w:tcBorders>
            <w:shd w:val="clear" w:color="000000" w:fill="FFFFFF"/>
            <w:vAlign w:val="center"/>
          </w:tcPr>
          <w:p w14:paraId="221F7C44">
            <w:pPr>
              <w:widowControl/>
              <w:ind w:firstLine="0" w:firstLineChars="0"/>
              <w:rPr>
                <w:rFonts w:hint="default" w:ascii="Times New Roman" w:hAnsi="Times New Roman" w:eastAsia="宋体" w:cs="Times New Roman"/>
                <w:color w:val="000000"/>
                <w:kern w:val="0"/>
                <w:sz w:val="22"/>
              </w:rPr>
            </w:pPr>
          </w:p>
        </w:tc>
        <w:tc>
          <w:tcPr>
            <w:tcW w:w="7341" w:type="dxa"/>
            <w:tcBorders>
              <w:tl2br w:val="nil"/>
              <w:tr2bl w:val="nil"/>
            </w:tcBorders>
            <w:shd w:val="clear" w:color="000000" w:fill="FFFFFF"/>
            <w:vAlign w:val="center"/>
          </w:tcPr>
          <w:p w14:paraId="19FB732E">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社会公众或服务对象是指因该项目实施而受到影响的部门（单位）、群体或个人。一般采取社会调查的方式。</w:t>
            </w:r>
          </w:p>
        </w:tc>
      </w:tr>
      <w:tr w14:paraId="3EE4557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155" w:type="dxa"/>
            <w:tcBorders>
              <w:tl2br w:val="nil"/>
              <w:tr2bl w:val="nil"/>
            </w:tcBorders>
            <w:shd w:val="clear" w:color="auto" w:fill="FFFFFF"/>
            <w:vAlign w:val="center"/>
          </w:tcPr>
          <w:p w14:paraId="17CFD755">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满意度指标完成情况分析</w:t>
            </w:r>
          </w:p>
        </w:tc>
        <w:tc>
          <w:tcPr>
            <w:tcW w:w="1199" w:type="dxa"/>
            <w:tcBorders>
              <w:tl2br w:val="nil"/>
              <w:tr2bl w:val="nil"/>
            </w:tcBorders>
            <w:shd w:val="clear" w:color="auto" w:fill="FFFFFF"/>
            <w:vAlign w:val="center"/>
          </w:tcPr>
          <w:p w14:paraId="3E415F8C">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满意度指标</w:t>
            </w:r>
          </w:p>
        </w:tc>
        <w:tc>
          <w:tcPr>
            <w:tcW w:w="1411" w:type="dxa"/>
            <w:tcBorders>
              <w:tl2br w:val="nil"/>
              <w:tr2bl w:val="nil"/>
            </w:tcBorders>
            <w:shd w:val="clear" w:color="auto" w:fill="FFFFFF"/>
            <w:vAlign w:val="center"/>
          </w:tcPr>
          <w:p w14:paraId="75520700">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师生满意度</w:t>
            </w:r>
          </w:p>
        </w:tc>
        <w:tc>
          <w:tcPr>
            <w:tcW w:w="2789" w:type="dxa"/>
            <w:tcBorders>
              <w:tl2br w:val="nil"/>
              <w:tr2bl w:val="nil"/>
            </w:tcBorders>
            <w:shd w:val="clear" w:color="000000" w:fill="FFFFFF"/>
            <w:vAlign w:val="center"/>
          </w:tcPr>
          <w:p w14:paraId="5AAE9E32">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社会公众或服务对象对项目实施效果的满意程度。</w:t>
            </w:r>
          </w:p>
        </w:tc>
        <w:tc>
          <w:tcPr>
            <w:tcW w:w="7341" w:type="dxa"/>
            <w:tcBorders>
              <w:tl2br w:val="nil"/>
              <w:tr2bl w:val="nil"/>
            </w:tcBorders>
            <w:shd w:val="clear" w:color="000000" w:fill="FFFFFF"/>
            <w:vAlign w:val="center"/>
          </w:tcPr>
          <w:p w14:paraId="69A1FC37">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社会公众或服务对象是指因该项目实施而受到影响的部门（单位）、群体或个人。一般采取社会调查的方式。</w:t>
            </w:r>
          </w:p>
        </w:tc>
      </w:tr>
    </w:tbl>
    <w:p w14:paraId="4C166C9E">
      <w:pPr>
        <w:ind w:firstLine="0" w:firstLineChars="0"/>
        <w:jc w:val="center"/>
        <w:rPr>
          <w:rFonts w:hint="default" w:ascii="Times New Roman" w:hAnsi="Times New Roman" w:cs="Times New Roman"/>
        </w:rPr>
      </w:pPr>
    </w:p>
    <w:p w14:paraId="683B8DEE">
      <w:pPr>
        <w:ind w:firstLine="0" w:firstLineChars="0"/>
        <w:jc w:val="center"/>
        <w:rPr>
          <w:rFonts w:hint="default" w:ascii="Times New Roman" w:hAnsi="Times New Roman" w:cs="Times New Roman"/>
        </w:rPr>
      </w:pPr>
    </w:p>
    <w:p w14:paraId="4280CCC1">
      <w:pPr>
        <w:ind w:firstLine="0" w:firstLineChars="0"/>
        <w:jc w:val="center"/>
        <w:rPr>
          <w:rFonts w:hint="default" w:ascii="Times New Roman" w:hAnsi="Times New Roman" w:cs="Times New Roman"/>
        </w:rPr>
      </w:pPr>
    </w:p>
    <w:p w14:paraId="0A390227">
      <w:pPr>
        <w:ind w:firstLine="0" w:firstLineChars="0"/>
        <w:jc w:val="center"/>
        <w:rPr>
          <w:rFonts w:hint="default" w:ascii="Times New Roman" w:hAnsi="Times New Roman" w:cs="Times New Roman"/>
        </w:rPr>
        <w:sectPr>
          <w:footnotePr>
            <w:numFmt w:val="decimalEnclosedCircleChinese"/>
          </w:footnotePr>
          <w:pgSz w:w="16838" w:h="11906" w:orient="landscape"/>
          <w:pgMar w:top="1800" w:right="1440" w:bottom="1800" w:left="1440" w:header="1276" w:footer="992" w:gutter="0"/>
          <w:cols w:space="425" w:num="1"/>
          <w:docGrid w:type="lines" w:linePitch="381" w:charSpace="0"/>
        </w:sectPr>
      </w:pPr>
    </w:p>
    <w:p w14:paraId="4AE45CA5">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18" w:name="_Toc100784593"/>
      <w:bookmarkStart w:id="19" w:name="_Hlk67586038"/>
      <w:r>
        <w:rPr>
          <w:rFonts w:hint="default" w:ascii="Times New Roman" w:hAnsi="Times New Roman" w:eastAsia="仿宋" w:cs="Times New Roman"/>
          <w:sz w:val="32"/>
          <w:szCs w:val="32"/>
          <w:lang w:bidi="en-US"/>
        </w:rPr>
        <w:t>3.评价方法</w:t>
      </w:r>
      <w:bookmarkEnd w:id="18"/>
    </w:p>
    <w:bookmarkEnd w:id="19"/>
    <w:p w14:paraId="6D41E472">
      <w:pPr>
        <w:spacing w:line="360" w:lineRule="auto"/>
        <w:ind w:firstLine="560"/>
        <w:rPr>
          <w:rFonts w:hint="default" w:ascii="Times New Roman" w:hAnsi="Times New Roman" w:cs="Times New Roman"/>
        </w:rPr>
      </w:pPr>
      <w:r>
        <w:rPr>
          <w:rFonts w:hint="default" w:ascii="Times New Roman" w:hAnsi="Times New Roman" w:cs="Times New Roman"/>
        </w:rPr>
        <w:t>《关于印发&lt;项目支出绩效评价管理办法&gt;的通知》（财预〔2020〕10号）文件指出部门评价的方法主要包括成本效益分析法、比较法、因素分析法、最低成本法、公众评判法、标杆管理法等。</w:t>
      </w:r>
    </w:p>
    <w:p w14:paraId="6BE85F66">
      <w:pPr>
        <w:spacing w:line="360" w:lineRule="auto"/>
        <w:ind w:firstLine="560"/>
        <w:rPr>
          <w:rFonts w:hint="default" w:ascii="Times New Roman" w:hAnsi="Times New Roman" w:cs="Times New Roman"/>
        </w:rPr>
      </w:pPr>
      <w:r>
        <w:rPr>
          <w:rFonts w:hint="default" w:ascii="Times New Roman" w:hAnsi="Times New Roman" w:cs="Times New Roman"/>
        </w:rPr>
        <w:t>（1）成本效益分析法。是指将投入与产出、效益进行关联性分析的方法。</w:t>
      </w:r>
    </w:p>
    <w:p w14:paraId="26075ED8">
      <w:pPr>
        <w:spacing w:line="360" w:lineRule="auto"/>
        <w:ind w:firstLine="560"/>
        <w:rPr>
          <w:rFonts w:hint="default" w:ascii="Times New Roman" w:hAnsi="Times New Roman" w:cs="Times New Roman"/>
        </w:rPr>
      </w:pPr>
      <w:r>
        <w:rPr>
          <w:rFonts w:hint="default" w:ascii="Times New Roman" w:hAnsi="Times New Roman" w:cs="Times New Roman"/>
        </w:rPr>
        <w:t>（2）比较法。是指将实施情况与绩效目标、历史情况、不同部门和地区同类支出情况进行比较的方法。</w:t>
      </w:r>
    </w:p>
    <w:p w14:paraId="78F2F8B0">
      <w:pPr>
        <w:spacing w:line="360" w:lineRule="auto"/>
        <w:ind w:firstLine="560"/>
        <w:rPr>
          <w:rFonts w:hint="default" w:ascii="Times New Roman" w:hAnsi="Times New Roman" w:cs="Times New Roman"/>
        </w:rPr>
      </w:pPr>
      <w:r>
        <w:rPr>
          <w:rFonts w:hint="default" w:ascii="Times New Roman" w:hAnsi="Times New Roman" w:cs="Times New Roman"/>
        </w:rPr>
        <w:t>（3）因素分析法。是指综合分析影响绩效目标实现、实施效果的内外部因素的方法。</w:t>
      </w:r>
    </w:p>
    <w:p w14:paraId="7C3E7A64">
      <w:pPr>
        <w:spacing w:line="360" w:lineRule="auto"/>
        <w:ind w:firstLine="560"/>
        <w:rPr>
          <w:rFonts w:hint="default" w:ascii="Times New Roman" w:hAnsi="Times New Roman" w:cs="Times New Roman"/>
        </w:rPr>
      </w:pPr>
      <w:r>
        <w:rPr>
          <w:rFonts w:hint="default" w:ascii="Times New Roman" w:hAnsi="Times New Roman" w:cs="Times New Roman"/>
        </w:rPr>
        <w:t>（4）最低成本法。是指在绩效目标确定的前提下，成本最小者为优的方法。</w:t>
      </w:r>
    </w:p>
    <w:p w14:paraId="1942ED8F">
      <w:pPr>
        <w:spacing w:line="360" w:lineRule="auto"/>
        <w:ind w:firstLine="560"/>
        <w:rPr>
          <w:rFonts w:hint="default" w:ascii="Times New Roman" w:hAnsi="Times New Roman" w:cs="Times New Roman"/>
        </w:rPr>
      </w:pPr>
      <w:r>
        <w:rPr>
          <w:rFonts w:hint="default" w:ascii="Times New Roman" w:hAnsi="Times New Roman" w:cs="Times New Roman"/>
        </w:rPr>
        <w:t>（5）公众评判法。是指通过专家评估、公众问卷及抽样调查等方式进行评判的方法。</w:t>
      </w:r>
    </w:p>
    <w:p w14:paraId="22A78AF5">
      <w:pPr>
        <w:spacing w:line="360" w:lineRule="auto"/>
        <w:ind w:firstLine="560"/>
        <w:rPr>
          <w:rFonts w:hint="default" w:ascii="Times New Roman" w:hAnsi="Times New Roman" w:cs="Times New Roman"/>
        </w:rPr>
      </w:pPr>
      <w:r>
        <w:rPr>
          <w:rFonts w:hint="default" w:ascii="Times New Roman" w:hAnsi="Times New Roman" w:cs="Times New Roman"/>
        </w:rPr>
        <w:t>（6）标杆管理法。是指以国内外同行业中较高的绩效水平为标杆进行评判的方法。</w:t>
      </w:r>
    </w:p>
    <w:p w14:paraId="15308BC6">
      <w:pPr>
        <w:spacing w:line="360" w:lineRule="auto"/>
        <w:ind w:firstLine="560"/>
        <w:rPr>
          <w:rFonts w:hint="default" w:ascii="Times New Roman" w:hAnsi="Times New Roman" w:cs="Times New Roman"/>
        </w:rPr>
      </w:pPr>
      <w:r>
        <w:rPr>
          <w:rFonts w:hint="default" w:ascii="Times New Roman" w:hAnsi="Times New Roman" w:cs="Times New Roman"/>
        </w:rPr>
        <w:t>（7）其他评价方法。</w:t>
      </w:r>
    </w:p>
    <w:p w14:paraId="60F88AE8">
      <w:pPr>
        <w:spacing w:line="360" w:lineRule="auto"/>
        <w:ind w:firstLine="560"/>
        <w:rPr>
          <w:rFonts w:hint="default" w:ascii="Times New Roman" w:hAnsi="Times New Roman" w:eastAsia="仿宋_GB2312" w:cs="Times New Roman"/>
          <w:lang w:val="en-US" w:eastAsia="zh-CN"/>
        </w:rPr>
      </w:pPr>
      <w:r>
        <w:rPr>
          <w:rFonts w:hint="default" w:ascii="Times New Roman" w:hAnsi="Times New Roman" w:cs="Times New Roman"/>
        </w:rPr>
        <w:t>根据本项目（乌财科教【2021】96号关于提前下达2022年城乡义务教育项目直达资金校舍安全保障机制经费</w:t>
      </w:r>
      <w:r>
        <w:rPr>
          <w:rFonts w:hint="eastAsia" w:ascii="Times New Roman" w:hAnsi="Times New Roman" w:cs="Times New Roman"/>
          <w:lang w:eastAsia="zh-CN"/>
        </w:rPr>
        <w:t>）</w:t>
      </w:r>
      <w:r>
        <w:rPr>
          <w:rFonts w:hint="default" w:ascii="Times New Roman" w:hAnsi="Times New Roman" w:cs="Times New Roman"/>
        </w:rPr>
        <w:t>特点，本次评价主要采用</w:t>
      </w:r>
      <w:r>
        <w:rPr>
          <w:rFonts w:hint="eastAsia" w:ascii="Times New Roman" w:hAnsi="Times New Roman" w:cs="Times New Roman"/>
          <w:lang w:val="en-US" w:eastAsia="zh-CN"/>
        </w:rPr>
        <w:t>因素分析法</w:t>
      </w:r>
      <w:r>
        <w:rPr>
          <w:rFonts w:hint="default" w:ascii="Times New Roman" w:hAnsi="Times New Roman" w:cs="Times New Roman"/>
        </w:rPr>
        <w:t>，</w:t>
      </w:r>
      <w:r>
        <w:rPr>
          <w:rFonts w:hint="eastAsia" w:ascii="Times New Roman" w:hAnsi="Times New Roman" w:cs="Times New Roman"/>
          <w:lang w:val="en-US" w:eastAsia="zh-CN"/>
        </w:rPr>
        <w:t>该项目计划2022年建成完工投入使用，工期进行到2022年8月份，因为疫情原因的影响，该项目停工3个月，导致该项目未完工验收，2022年实际支付了214.64万元，结余25.36万元未做支付，计划2023年完工验收，完成支付。</w:t>
      </w:r>
    </w:p>
    <w:p w14:paraId="17053A3D">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20" w:name="_Toc100784594"/>
      <w:r>
        <w:rPr>
          <w:rFonts w:hint="default" w:ascii="Times New Roman" w:hAnsi="Times New Roman" w:eastAsia="仿宋" w:cs="Times New Roman"/>
          <w:sz w:val="32"/>
          <w:szCs w:val="32"/>
          <w:lang w:bidi="en-US"/>
        </w:rPr>
        <w:t>4.评价标准</w:t>
      </w:r>
      <w:bookmarkEnd w:id="20"/>
    </w:p>
    <w:p w14:paraId="2E00FD07">
      <w:pPr>
        <w:spacing w:line="360" w:lineRule="auto"/>
        <w:ind w:firstLine="560"/>
        <w:rPr>
          <w:rFonts w:hint="default" w:ascii="Times New Roman" w:hAnsi="Times New Roman" w:cs="Times New Roman"/>
        </w:rPr>
      </w:pPr>
      <w:r>
        <w:rPr>
          <w:rFonts w:hint="default" w:ascii="Times New Roman" w:hAnsi="Times New Roman" w:cs="Times New Roman"/>
        </w:rPr>
        <w:t>绩效评价标准主要包括计划标准、行业标准、历史标准等，用于对绩效指标完成情况进行比较。</w:t>
      </w:r>
    </w:p>
    <w:p w14:paraId="68F19D08">
      <w:pPr>
        <w:spacing w:line="360" w:lineRule="auto"/>
        <w:ind w:firstLine="560"/>
        <w:rPr>
          <w:rFonts w:hint="default" w:ascii="Times New Roman" w:hAnsi="Times New Roman" w:cs="Times New Roman"/>
        </w:rPr>
      </w:pPr>
      <w:r>
        <w:rPr>
          <w:rFonts w:hint="default" w:ascii="Times New Roman" w:hAnsi="Times New Roman" w:cs="Times New Roman"/>
        </w:rPr>
        <w:t>（1）计划标准。指以预先制定的目标、计划、预算、定额等作为评价标准。</w:t>
      </w:r>
    </w:p>
    <w:p w14:paraId="111FDD6C">
      <w:pPr>
        <w:spacing w:line="360" w:lineRule="auto"/>
        <w:ind w:firstLine="560"/>
        <w:rPr>
          <w:rFonts w:hint="default" w:ascii="Times New Roman" w:hAnsi="Times New Roman" w:cs="Times New Roman"/>
        </w:rPr>
      </w:pPr>
      <w:r>
        <w:rPr>
          <w:rFonts w:hint="default" w:ascii="Times New Roman" w:hAnsi="Times New Roman" w:cs="Times New Roman"/>
        </w:rPr>
        <w:t>（2）行业标准。指参照国家公布的行业指标数据制定的评价标准。</w:t>
      </w:r>
    </w:p>
    <w:p w14:paraId="425D05DE">
      <w:pPr>
        <w:spacing w:line="360" w:lineRule="auto"/>
        <w:ind w:firstLine="560"/>
        <w:rPr>
          <w:rFonts w:hint="default" w:ascii="Times New Roman" w:hAnsi="Times New Roman" w:cs="Times New Roman"/>
        </w:rPr>
      </w:pPr>
      <w:r>
        <w:rPr>
          <w:rFonts w:hint="default" w:ascii="Times New Roman" w:hAnsi="Times New Roman" w:cs="Times New Roman"/>
        </w:rPr>
        <w:t>（3）历史标准。指参照历史数据制定的评价标准，为体现绩效改进的原则，在可实现的条件下应当确定相对较高的评价标准。</w:t>
      </w:r>
    </w:p>
    <w:p w14:paraId="30228D62">
      <w:pPr>
        <w:spacing w:line="360" w:lineRule="auto"/>
        <w:ind w:firstLine="560"/>
        <w:rPr>
          <w:rFonts w:hint="default" w:ascii="Times New Roman" w:hAnsi="Times New Roman" w:cs="Times New Roman"/>
        </w:rPr>
      </w:pPr>
      <w:r>
        <w:rPr>
          <w:rFonts w:hint="default" w:ascii="Times New Roman" w:hAnsi="Times New Roman" w:cs="Times New Roman"/>
        </w:rPr>
        <w:t>在上述评价标准的基础上，本次评价依据以下文件为重要指导和准绳：</w:t>
      </w:r>
    </w:p>
    <w:p w14:paraId="4C05C10A">
      <w:pPr>
        <w:spacing w:line="360" w:lineRule="auto"/>
        <w:ind w:firstLine="560"/>
        <w:rPr>
          <w:rFonts w:hint="default" w:ascii="Times New Roman" w:hAnsi="Times New Roman" w:cs="Times New Roman"/>
        </w:rPr>
      </w:pPr>
      <w:r>
        <w:rPr>
          <w:rFonts w:hint="default" w:ascii="Times New Roman" w:hAnsi="Times New Roman" w:eastAsia="黑体" w:cs="Times New Roman"/>
          <w:szCs w:val="28"/>
        </w:rPr>
        <w:t>·</w:t>
      </w:r>
      <w:r>
        <w:rPr>
          <w:rFonts w:hint="default" w:ascii="Times New Roman" w:hAnsi="Times New Roman" w:cs="Times New Roman"/>
        </w:rPr>
        <w:t>《中共中央国务院关于全面实施预算绩效管理的意见》（中发〔2018〕34号）</w:t>
      </w:r>
    </w:p>
    <w:p w14:paraId="653BD6AB">
      <w:pPr>
        <w:spacing w:line="360" w:lineRule="auto"/>
        <w:ind w:firstLine="560"/>
        <w:rPr>
          <w:rFonts w:hint="default" w:ascii="Times New Roman" w:hAnsi="Times New Roman" w:cs="Times New Roman"/>
        </w:rPr>
      </w:pPr>
      <w:r>
        <w:rPr>
          <w:rFonts w:hint="default" w:ascii="Times New Roman" w:hAnsi="Times New Roman" w:eastAsia="黑体" w:cs="Times New Roman"/>
          <w:szCs w:val="28"/>
        </w:rPr>
        <w:t>·</w:t>
      </w:r>
      <w:r>
        <w:rPr>
          <w:rFonts w:hint="default" w:ascii="Times New Roman" w:hAnsi="Times New Roman" w:cs="Times New Roman"/>
        </w:rPr>
        <w:t>《关于印发&lt;乌鲁木齐市本级部门预算绩效目标管理暂行办法&gt;的通知》（乌财预〔2018〕56号）</w:t>
      </w:r>
    </w:p>
    <w:p w14:paraId="16DAB1E2">
      <w:pPr>
        <w:spacing w:line="360" w:lineRule="auto"/>
        <w:ind w:firstLine="560" w:firstLineChars="0"/>
        <w:rPr>
          <w:rFonts w:hint="default" w:ascii="Times New Roman" w:hAnsi="Times New Roman" w:cs="Times New Roman"/>
        </w:rPr>
      </w:pPr>
      <w:r>
        <w:rPr>
          <w:rFonts w:hint="default" w:ascii="Times New Roman" w:hAnsi="Times New Roman" w:eastAsia="黑体" w:cs="Times New Roman"/>
          <w:szCs w:val="28"/>
        </w:rPr>
        <w:t>·</w:t>
      </w:r>
      <w:r>
        <w:rPr>
          <w:rFonts w:hint="default" w:ascii="Times New Roman" w:hAnsi="Times New Roman" w:cs="Times New Roman"/>
        </w:rPr>
        <w:t>《关于做好2019年部门预算项目支出绩效目标管理有关事宜的通知》（乌财预〔2018〕76号）</w:t>
      </w:r>
    </w:p>
    <w:p w14:paraId="5BA657BC">
      <w:pPr>
        <w:spacing w:line="360" w:lineRule="auto"/>
        <w:ind w:firstLine="560"/>
        <w:rPr>
          <w:rFonts w:hint="default" w:ascii="Times New Roman" w:hAnsi="Times New Roman" w:cs="Times New Roman"/>
        </w:rPr>
      </w:pPr>
      <w:r>
        <w:rPr>
          <w:rFonts w:hint="default" w:ascii="Times New Roman" w:hAnsi="Times New Roman" w:eastAsia="黑体" w:cs="Times New Roman"/>
          <w:szCs w:val="28"/>
        </w:rPr>
        <w:t>·</w:t>
      </w:r>
      <w:r>
        <w:rPr>
          <w:rFonts w:hint="default" w:ascii="Times New Roman" w:hAnsi="Times New Roman" w:cs="Times New Roman"/>
        </w:rPr>
        <w:t>《项目支出绩效评价管理办法》（财预〔2020〕10号）</w:t>
      </w:r>
    </w:p>
    <w:p w14:paraId="1AA044B8">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r>
        <w:rPr>
          <w:rFonts w:hint="default" w:ascii="Times New Roman" w:hAnsi="Times New Roman" w:eastAsia="仿宋" w:cs="Times New Roman"/>
          <w:sz w:val="32"/>
          <w:szCs w:val="32"/>
          <w:lang w:val="en-US" w:eastAsia="zh-CN" w:bidi="en-US"/>
        </w:rPr>
        <w:t xml:space="preserve"> </w:t>
      </w:r>
      <w:bookmarkStart w:id="21" w:name="_Toc100784595"/>
      <w:bookmarkStart w:id="22" w:name="_Toc67911607"/>
      <w:r>
        <w:rPr>
          <w:rFonts w:hint="default" w:ascii="Times New Roman" w:hAnsi="Times New Roman" w:eastAsia="仿宋" w:cs="Times New Roman"/>
          <w:sz w:val="32"/>
          <w:szCs w:val="32"/>
          <w:lang w:val="en-US" w:eastAsia="zh-CN" w:bidi="en-US"/>
        </w:rPr>
        <w:t>（三）绩效评价工作过程</w:t>
      </w:r>
      <w:bookmarkEnd w:id="21"/>
      <w:bookmarkEnd w:id="22"/>
    </w:p>
    <w:p w14:paraId="20E9C3A3">
      <w:pPr>
        <w:spacing w:line="360" w:lineRule="auto"/>
        <w:ind w:firstLine="560"/>
        <w:rPr>
          <w:rFonts w:hint="default" w:ascii="Times New Roman" w:hAnsi="Times New Roman" w:cs="Times New Roman"/>
        </w:rPr>
      </w:pPr>
      <w:r>
        <w:rPr>
          <w:rFonts w:hint="default" w:ascii="Times New Roman" w:hAnsi="Times New Roman" w:cs="Times New Roman"/>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w:t>
      </w:r>
      <w:r>
        <w:rPr>
          <w:rStyle w:val="21"/>
          <w:rFonts w:hint="default" w:ascii="Times New Roman" w:hAnsi="Times New Roman" w:cs="Times New Roman"/>
        </w:rPr>
        <w:footnoteReference w:id="0"/>
      </w:r>
      <w:r>
        <w:rPr>
          <w:rFonts w:hint="default" w:ascii="Times New Roman" w:hAnsi="Times New Roman" w:cs="Times New Roman"/>
        </w:rPr>
        <w:t>、材料审核分析、现场核查评价、综合分析评价及报告撰写，评价项目实施情况，展现资金使用效益。</w:t>
      </w:r>
    </w:p>
    <w:p w14:paraId="70C39B3A">
      <w:pPr>
        <w:pStyle w:val="2"/>
        <w:keepNext/>
        <w:keepLines/>
        <w:pageBreakBefore w:val="0"/>
        <w:widowControl w:val="0"/>
        <w:kinsoku/>
        <w:wordWrap/>
        <w:overflowPunct/>
        <w:topLinePunct w:val="0"/>
        <w:autoSpaceDE/>
        <w:autoSpaceDN/>
        <w:bidi w:val="0"/>
        <w:adjustRightInd/>
        <w:snapToGrid/>
        <w:spacing w:before="0" w:after="0" w:line="560" w:lineRule="exact"/>
        <w:ind w:firstLine="723" w:firstLineChars="200"/>
        <w:jc w:val="left"/>
        <w:textAlignment w:val="auto"/>
        <w:rPr>
          <w:rFonts w:hint="default" w:ascii="Times New Roman" w:hAnsi="Times New Roman" w:eastAsia="仿宋" w:cs="Times New Roman"/>
          <w:sz w:val="36"/>
          <w:szCs w:val="36"/>
          <w:lang w:bidi="en-US"/>
        </w:rPr>
      </w:pPr>
      <w:bookmarkStart w:id="23" w:name="_Toc67911608"/>
      <w:bookmarkStart w:id="24" w:name="_Toc100784596"/>
    </w:p>
    <w:p w14:paraId="40E2486F">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r>
        <w:rPr>
          <w:rFonts w:hint="default" w:ascii="Times New Roman" w:hAnsi="Times New Roman" w:eastAsia="仿宋" w:cs="Times New Roman"/>
          <w:sz w:val="36"/>
          <w:szCs w:val="36"/>
          <w:lang w:bidi="en-US"/>
        </w:rPr>
        <w:t>三、综合评价情况及评价结论</w:t>
      </w:r>
      <w:bookmarkEnd w:id="23"/>
      <w:bookmarkEnd w:id="24"/>
    </w:p>
    <w:p w14:paraId="6C57C0A8">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bookmarkStart w:id="25" w:name="_Toc67911609"/>
      <w:bookmarkStart w:id="26" w:name="_Toc100784597"/>
      <w:r>
        <w:rPr>
          <w:rFonts w:hint="default" w:ascii="Times New Roman" w:hAnsi="Times New Roman" w:eastAsia="仿宋" w:cs="Times New Roman"/>
          <w:sz w:val="32"/>
          <w:szCs w:val="32"/>
          <w:lang w:val="en-US" w:eastAsia="zh-CN" w:bidi="en-US"/>
        </w:rPr>
        <w:t>（一）评价结论</w:t>
      </w:r>
      <w:bookmarkEnd w:id="25"/>
      <w:bookmarkEnd w:id="26"/>
    </w:p>
    <w:p w14:paraId="03162B88">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结合项目特点，制定符合项目实际的绩效评价指标体系及评分标准，通过数据采集、问卷调查及访谈等形式，对2022年乌财科教【2021】96号关于提前下达2022年城乡义务教育项目直达资金校舍安全保障机制经费 进行客观评价，最终评分结果为：总分为</w:t>
      </w:r>
      <w:r>
        <w:rPr>
          <w:rFonts w:hint="eastAsia" w:ascii="Times New Roman" w:hAnsi="Times New Roman" w:cs="Times New Roman"/>
          <w:szCs w:val="28"/>
          <w:lang w:val="en-US" w:eastAsia="zh-CN"/>
        </w:rPr>
        <w:t>97.47</w:t>
      </w:r>
      <w:r>
        <w:rPr>
          <w:rFonts w:hint="default" w:ascii="Times New Roman" w:hAnsi="Times New Roman" w:cs="Times New Roman"/>
          <w:szCs w:val="28"/>
        </w:rPr>
        <w:t>分，绩效评级为“</w:t>
      </w:r>
      <w:r>
        <w:rPr>
          <w:rFonts w:hint="eastAsia" w:ascii="Times New Roman" w:hAnsi="Times New Roman" w:cs="Times New Roman"/>
          <w:szCs w:val="28"/>
          <w:lang w:val="en-US" w:eastAsia="zh-CN"/>
        </w:rPr>
        <w:t>优</w:t>
      </w:r>
      <w:r>
        <w:rPr>
          <w:rFonts w:hint="default" w:ascii="Times New Roman" w:hAnsi="Times New Roman" w:cs="Times New Roman"/>
          <w:szCs w:val="28"/>
        </w:rPr>
        <w:t>”</w:t>
      </w:r>
      <w:r>
        <w:rPr>
          <w:rStyle w:val="21"/>
          <w:rFonts w:hint="default" w:ascii="Times New Roman" w:hAnsi="Times New Roman" w:cs="Times New Roman"/>
          <w:szCs w:val="28"/>
        </w:rPr>
        <w:footnoteReference w:id="1"/>
      </w:r>
      <w:r>
        <w:rPr>
          <w:rFonts w:hint="default" w:ascii="Times New Roman" w:hAnsi="Times New Roman" w:cs="Times New Roman"/>
          <w:szCs w:val="28"/>
        </w:rPr>
        <w:t>。</w:t>
      </w:r>
    </w:p>
    <w:p w14:paraId="2DAF9488">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项目各部分权重和绩效分值如附表所示：</w:t>
      </w:r>
    </w:p>
    <w:p w14:paraId="6865059F">
      <w:pPr>
        <w:spacing w:line="360" w:lineRule="auto"/>
        <w:ind w:firstLine="0" w:firstLineChars="0"/>
        <w:jc w:val="center"/>
        <w:rPr>
          <w:rFonts w:hint="default" w:ascii="Times New Roman" w:hAnsi="Times New Roman" w:cs="Times New Roman"/>
          <w:b/>
          <w:bCs/>
          <w:szCs w:val="28"/>
        </w:rPr>
      </w:pPr>
      <w:r>
        <w:rPr>
          <w:rFonts w:hint="default" w:ascii="Times New Roman" w:hAnsi="Times New Roman" w:cs="Times New Roman"/>
          <w:b/>
          <w:bCs/>
          <w:szCs w:val="28"/>
        </w:rPr>
        <w:t xml:space="preserve">  项目各部分权重和绩效分值</w:t>
      </w:r>
    </w:p>
    <w:tbl>
      <w:tblPr>
        <w:tblStyle w:val="15"/>
        <w:tblW w:w="9062"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777"/>
        <w:gridCol w:w="1757"/>
        <w:gridCol w:w="2693"/>
        <w:gridCol w:w="898"/>
        <w:gridCol w:w="898"/>
        <w:gridCol w:w="1039"/>
      </w:tblGrid>
      <w:tr w14:paraId="0F70CF7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tblHeader/>
          <w:jc w:val="center"/>
        </w:trPr>
        <w:tc>
          <w:tcPr>
            <w:tcW w:w="1777" w:type="dxa"/>
            <w:tcBorders>
              <w:tl2br w:val="nil"/>
              <w:tr2bl w:val="nil"/>
            </w:tcBorders>
            <w:shd w:val="clear" w:color="auto" w:fill="D0CECE" w:themeFill="background2" w:themeFillShade="E6"/>
            <w:vAlign w:val="center"/>
          </w:tcPr>
          <w:p w14:paraId="2926D488">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一级指标</w:t>
            </w:r>
          </w:p>
        </w:tc>
        <w:tc>
          <w:tcPr>
            <w:tcW w:w="1757" w:type="dxa"/>
            <w:tcBorders>
              <w:tl2br w:val="nil"/>
              <w:tr2bl w:val="nil"/>
            </w:tcBorders>
            <w:shd w:val="clear" w:color="auto" w:fill="D0CECE" w:themeFill="background2" w:themeFillShade="E6"/>
            <w:vAlign w:val="center"/>
          </w:tcPr>
          <w:p w14:paraId="77366656">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二级指标</w:t>
            </w:r>
          </w:p>
        </w:tc>
        <w:tc>
          <w:tcPr>
            <w:tcW w:w="2693" w:type="dxa"/>
            <w:tcBorders>
              <w:tl2br w:val="nil"/>
              <w:tr2bl w:val="nil"/>
            </w:tcBorders>
            <w:shd w:val="clear" w:color="auto" w:fill="D0CECE" w:themeFill="background2" w:themeFillShade="E6"/>
            <w:vAlign w:val="center"/>
          </w:tcPr>
          <w:p w14:paraId="37D7DF9F">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三级指标</w:t>
            </w:r>
          </w:p>
        </w:tc>
        <w:tc>
          <w:tcPr>
            <w:tcW w:w="898" w:type="dxa"/>
            <w:tcBorders>
              <w:tl2br w:val="nil"/>
              <w:tr2bl w:val="nil"/>
            </w:tcBorders>
            <w:shd w:val="clear" w:color="auto" w:fill="D0CECE" w:themeFill="background2" w:themeFillShade="E6"/>
            <w:vAlign w:val="center"/>
          </w:tcPr>
          <w:p w14:paraId="54B83E68">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分值</w:t>
            </w:r>
          </w:p>
        </w:tc>
        <w:tc>
          <w:tcPr>
            <w:tcW w:w="898" w:type="dxa"/>
            <w:tcBorders>
              <w:tl2br w:val="nil"/>
              <w:tr2bl w:val="nil"/>
            </w:tcBorders>
            <w:shd w:val="clear" w:color="auto" w:fill="D0CECE" w:themeFill="background2" w:themeFillShade="E6"/>
            <w:vAlign w:val="center"/>
          </w:tcPr>
          <w:p w14:paraId="06B65456">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得分</w:t>
            </w:r>
          </w:p>
        </w:tc>
        <w:tc>
          <w:tcPr>
            <w:tcW w:w="1039" w:type="dxa"/>
            <w:tcBorders>
              <w:tl2br w:val="nil"/>
              <w:tr2bl w:val="nil"/>
            </w:tcBorders>
            <w:shd w:val="clear" w:color="auto" w:fill="D0CECE" w:themeFill="background2" w:themeFillShade="E6"/>
            <w:vAlign w:val="center"/>
          </w:tcPr>
          <w:p w14:paraId="09081121">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得分率</w:t>
            </w:r>
          </w:p>
        </w:tc>
      </w:tr>
      <w:tr w14:paraId="6345D5E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14:paraId="75B0015B">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决策</w:t>
            </w:r>
          </w:p>
        </w:tc>
        <w:tc>
          <w:tcPr>
            <w:tcW w:w="1757" w:type="dxa"/>
            <w:vMerge w:val="restart"/>
            <w:tcBorders>
              <w:tl2br w:val="nil"/>
              <w:tr2bl w:val="nil"/>
            </w:tcBorders>
            <w:shd w:val="clear" w:color="auto" w:fill="FFFFFF"/>
            <w:vAlign w:val="center"/>
          </w:tcPr>
          <w:p w14:paraId="2A1430F2">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项目立项</w:t>
            </w:r>
          </w:p>
        </w:tc>
        <w:tc>
          <w:tcPr>
            <w:tcW w:w="2693" w:type="dxa"/>
            <w:tcBorders>
              <w:tl2br w:val="nil"/>
              <w:tr2bl w:val="nil"/>
            </w:tcBorders>
            <w:shd w:val="clear" w:color="auto" w:fill="FFFFFF"/>
            <w:vAlign w:val="center"/>
          </w:tcPr>
          <w:p w14:paraId="6E2DC8F6">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立项依据充分性</w:t>
            </w:r>
          </w:p>
        </w:tc>
        <w:tc>
          <w:tcPr>
            <w:tcW w:w="898" w:type="dxa"/>
            <w:tcBorders>
              <w:tl2br w:val="nil"/>
              <w:tr2bl w:val="nil"/>
            </w:tcBorders>
            <w:shd w:val="clear" w:color="auto" w:fill="FFFFFF"/>
            <w:vAlign w:val="center"/>
          </w:tcPr>
          <w:p w14:paraId="0B9432FF">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4</w:t>
            </w:r>
          </w:p>
        </w:tc>
        <w:tc>
          <w:tcPr>
            <w:tcW w:w="898" w:type="dxa"/>
            <w:tcBorders>
              <w:tl2br w:val="nil"/>
              <w:tr2bl w:val="nil"/>
            </w:tcBorders>
            <w:shd w:val="clear" w:color="auto" w:fill="FFFFFF"/>
            <w:vAlign w:val="center"/>
          </w:tcPr>
          <w:p w14:paraId="6A5547C7">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4</w:t>
            </w:r>
          </w:p>
        </w:tc>
        <w:tc>
          <w:tcPr>
            <w:tcW w:w="1039" w:type="dxa"/>
            <w:tcBorders>
              <w:tl2br w:val="nil"/>
              <w:tr2bl w:val="nil"/>
            </w:tcBorders>
            <w:shd w:val="clear" w:color="auto" w:fill="FFFFFF"/>
            <w:vAlign w:val="center"/>
          </w:tcPr>
          <w:p w14:paraId="0B4DD25F">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14:paraId="56B4F45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14:paraId="20FD3517">
            <w:pPr>
              <w:ind w:firstLine="48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14:paraId="2CA35812">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14:paraId="41A4B76D">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立项程序规范性</w:t>
            </w:r>
          </w:p>
        </w:tc>
        <w:tc>
          <w:tcPr>
            <w:tcW w:w="898" w:type="dxa"/>
            <w:tcBorders>
              <w:tl2br w:val="nil"/>
              <w:tr2bl w:val="nil"/>
            </w:tcBorders>
            <w:shd w:val="clear" w:color="auto" w:fill="FFFFFF"/>
            <w:vAlign w:val="center"/>
          </w:tcPr>
          <w:p w14:paraId="49DDE426">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4</w:t>
            </w:r>
          </w:p>
        </w:tc>
        <w:tc>
          <w:tcPr>
            <w:tcW w:w="898" w:type="dxa"/>
            <w:tcBorders>
              <w:tl2br w:val="nil"/>
              <w:tr2bl w:val="nil"/>
            </w:tcBorders>
            <w:shd w:val="clear" w:color="auto" w:fill="FFFFFF"/>
            <w:vAlign w:val="center"/>
          </w:tcPr>
          <w:p w14:paraId="0CC991E3">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4</w:t>
            </w:r>
          </w:p>
        </w:tc>
        <w:tc>
          <w:tcPr>
            <w:tcW w:w="1039" w:type="dxa"/>
            <w:tcBorders>
              <w:tl2br w:val="nil"/>
              <w:tr2bl w:val="nil"/>
            </w:tcBorders>
            <w:shd w:val="clear" w:color="auto" w:fill="FFFFFF"/>
            <w:vAlign w:val="center"/>
          </w:tcPr>
          <w:p w14:paraId="5CA27070">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14:paraId="392FBDD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14:paraId="1B552432">
            <w:pPr>
              <w:ind w:firstLine="480"/>
              <w:jc w:val="center"/>
              <w:rPr>
                <w:rFonts w:hint="default" w:ascii="Times New Roman" w:hAnsi="Times New Roman" w:cs="Times New Roman"/>
                <w:kern w:val="0"/>
                <w:sz w:val="24"/>
                <w:szCs w:val="24"/>
              </w:rPr>
            </w:pPr>
          </w:p>
        </w:tc>
        <w:tc>
          <w:tcPr>
            <w:tcW w:w="1757" w:type="dxa"/>
            <w:vMerge w:val="restart"/>
            <w:tcBorders>
              <w:tl2br w:val="nil"/>
              <w:tr2bl w:val="nil"/>
            </w:tcBorders>
            <w:shd w:val="clear" w:color="auto" w:fill="FFFFFF"/>
            <w:vAlign w:val="center"/>
          </w:tcPr>
          <w:p w14:paraId="13B32CF5">
            <w:pPr>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绩效目标</w:t>
            </w:r>
          </w:p>
        </w:tc>
        <w:tc>
          <w:tcPr>
            <w:tcW w:w="2693" w:type="dxa"/>
            <w:tcBorders>
              <w:tl2br w:val="nil"/>
              <w:tr2bl w:val="nil"/>
            </w:tcBorders>
            <w:shd w:val="clear" w:color="auto" w:fill="FFFFFF"/>
            <w:vAlign w:val="center"/>
          </w:tcPr>
          <w:p w14:paraId="248F43C6">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绩效目标合理性</w:t>
            </w:r>
          </w:p>
        </w:tc>
        <w:tc>
          <w:tcPr>
            <w:tcW w:w="898" w:type="dxa"/>
            <w:tcBorders>
              <w:tl2br w:val="nil"/>
              <w:tr2bl w:val="nil"/>
            </w:tcBorders>
            <w:shd w:val="clear" w:color="000000" w:fill="FFFFFF"/>
            <w:vAlign w:val="center"/>
          </w:tcPr>
          <w:p w14:paraId="72775EDE">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000000" w:fill="FFFFFF"/>
            <w:vAlign w:val="center"/>
          </w:tcPr>
          <w:p w14:paraId="73841FC1">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000000" w:fill="FFFFFF"/>
            <w:vAlign w:val="center"/>
          </w:tcPr>
          <w:p w14:paraId="7EF405A6">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14:paraId="0E2ED4D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14:paraId="1A170F5F">
            <w:pPr>
              <w:widowControl/>
              <w:ind w:firstLine="0" w:firstLineChars="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14:paraId="6409AC07">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14:paraId="5CCACFF4">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绩效指标明确性</w:t>
            </w:r>
          </w:p>
        </w:tc>
        <w:tc>
          <w:tcPr>
            <w:tcW w:w="898" w:type="dxa"/>
            <w:tcBorders>
              <w:tl2br w:val="nil"/>
              <w:tr2bl w:val="nil"/>
            </w:tcBorders>
            <w:shd w:val="clear" w:color="000000" w:fill="FFFFFF"/>
            <w:vAlign w:val="center"/>
          </w:tcPr>
          <w:p w14:paraId="1DA0B0FC">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000000" w:fill="FFFFFF"/>
            <w:vAlign w:val="center"/>
          </w:tcPr>
          <w:p w14:paraId="60DE9C94">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000000" w:fill="FFFFFF"/>
            <w:vAlign w:val="center"/>
          </w:tcPr>
          <w:p w14:paraId="126BF6DC">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14:paraId="7357AF7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14:paraId="04EBB858">
            <w:pPr>
              <w:ind w:firstLine="0" w:firstLineChars="0"/>
              <w:jc w:val="center"/>
              <w:rPr>
                <w:rFonts w:hint="default" w:ascii="Times New Roman" w:hAnsi="Times New Roman" w:cs="Times New Roman"/>
                <w:kern w:val="0"/>
                <w:sz w:val="24"/>
                <w:szCs w:val="24"/>
              </w:rPr>
            </w:pPr>
          </w:p>
        </w:tc>
        <w:tc>
          <w:tcPr>
            <w:tcW w:w="1757" w:type="dxa"/>
            <w:vMerge w:val="restart"/>
            <w:tcBorders>
              <w:tl2br w:val="nil"/>
              <w:tr2bl w:val="nil"/>
            </w:tcBorders>
            <w:shd w:val="clear" w:color="auto" w:fill="FFFFFF"/>
            <w:vAlign w:val="center"/>
          </w:tcPr>
          <w:p w14:paraId="6D7DFD8B">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资金投入</w:t>
            </w:r>
          </w:p>
        </w:tc>
        <w:tc>
          <w:tcPr>
            <w:tcW w:w="2693" w:type="dxa"/>
            <w:tcBorders>
              <w:tl2br w:val="nil"/>
              <w:tr2bl w:val="nil"/>
            </w:tcBorders>
            <w:shd w:val="clear" w:color="auto" w:fill="FFFFFF"/>
            <w:vAlign w:val="center"/>
          </w:tcPr>
          <w:p w14:paraId="528F9E47">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预算编制科学性</w:t>
            </w:r>
          </w:p>
        </w:tc>
        <w:tc>
          <w:tcPr>
            <w:tcW w:w="898" w:type="dxa"/>
            <w:tcBorders>
              <w:tl2br w:val="nil"/>
              <w:tr2bl w:val="nil"/>
            </w:tcBorders>
            <w:shd w:val="clear" w:color="auto" w:fill="FFFFFF"/>
            <w:vAlign w:val="center"/>
          </w:tcPr>
          <w:p w14:paraId="2982CE62">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auto" w:fill="FFFFFF"/>
            <w:vAlign w:val="center"/>
          </w:tcPr>
          <w:p w14:paraId="7D6EC2CB">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auto" w:fill="FFFFFF"/>
            <w:vAlign w:val="center"/>
          </w:tcPr>
          <w:p w14:paraId="2A21DEFC">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14:paraId="398187F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14:paraId="4E2B8E2A">
            <w:pPr>
              <w:widowControl/>
              <w:ind w:firstLine="0" w:firstLineChars="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14:paraId="5EA7A866">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14:paraId="09E2876B">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资金分配合理性</w:t>
            </w:r>
          </w:p>
        </w:tc>
        <w:tc>
          <w:tcPr>
            <w:tcW w:w="898" w:type="dxa"/>
            <w:tcBorders>
              <w:tl2br w:val="nil"/>
              <w:tr2bl w:val="nil"/>
            </w:tcBorders>
            <w:shd w:val="clear" w:color="auto" w:fill="FFFFFF"/>
            <w:vAlign w:val="center"/>
          </w:tcPr>
          <w:p w14:paraId="427E6F17">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auto" w:fill="FFFFFF"/>
            <w:vAlign w:val="center"/>
          </w:tcPr>
          <w:p w14:paraId="4A06A375">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auto" w:fill="FFFFFF"/>
            <w:vAlign w:val="center"/>
          </w:tcPr>
          <w:p w14:paraId="3CB1531A">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14:paraId="7CD3990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14:paraId="7BE13C17">
            <w:pPr>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过程</w:t>
            </w:r>
          </w:p>
        </w:tc>
        <w:tc>
          <w:tcPr>
            <w:tcW w:w="1757" w:type="dxa"/>
            <w:vMerge w:val="restart"/>
            <w:tcBorders>
              <w:tl2br w:val="nil"/>
              <w:tr2bl w:val="nil"/>
            </w:tcBorders>
            <w:shd w:val="clear" w:color="auto" w:fill="FFFFFF"/>
            <w:vAlign w:val="center"/>
          </w:tcPr>
          <w:p w14:paraId="38ADC401">
            <w:pPr>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资金管理</w:t>
            </w:r>
          </w:p>
        </w:tc>
        <w:tc>
          <w:tcPr>
            <w:tcW w:w="2693" w:type="dxa"/>
            <w:tcBorders>
              <w:tl2br w:val="nil"/>
              <w:tr2bl w:val="nil"/>
            </w:tcBorders>
            <w:shd w:val="clear" w:color="auto" w:fill="FFFFFF"/>
            <w:vAlign w:val="center"/>
          </w:tcPr>
          <w:p w14:paraId="76B82629">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资金到位率</w:t>
            </w:r>
          </w:p>
        </w:tc>
        <w:tc>
          <w:tcPr>
            <w:tcW w:w="898" w:type="dxa"/>
            <w:tcBorders>
              <w:tl2br w:val="nil"/>
              <w:tr2bl w:val="nil"/>
            </w:tcBorders>
            <w:shd w:val="clear" w:color="000000" w:fill="FFFFFF"/>
            <w:vAlign w:val="center"/>
          </w:tcPr>
          <w:p w14:paraId="31FDA57C">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5</w:t>
            </w:r>
          </w:p>
        </w:tc>
        <w:tc>
          <w:tcPr>
            <w:tcW w:w="898" w:type="dxa"/>
            <w:tcBorders>
              <w:tl2br w:val="nil"/>
              <w:tr2bl w:val="nil"/>
            </w:tcBorders>
            <w:shd w:val="clear" w:color="000000" w:fill="FFFFFF"/>
            <w:vAlign w:val="center"/>
          </w:tcPr>
          <w:p w14:paraId="1E4FB11B">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1039" w:type="dxa"/>
            <w:tcBorders>
              <w:tl2br w:val="nil"/>
              <w:tr2bl w:val="nil"/>
            </w:tcBorders>
            <w:shd w:val="clear" w:color="000000" w:fill="FFFFFF"/>
            <w:vAlign w:val="center"/>
          </w:tcPr>
          <w:p w14:paraId="5DEFFCFB">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14:paraId="68DBF79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14:paraId="489BAF3F">
            <w:pPr>
              <w:ind w:firstLine="48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14:paraId="099B1111">
            <w:pPr>
              <w:ind w:firstLine="48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14:paraId="4D9A9C08">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预算执行率</w:t>
            </w:r>
          </w:p>
        </w:tc>
        <w:tc>
          <w:tcPr>
            <w:tcW w:w="898" w:type="dxa"/>
            <w:tcBorders>
              <w:tl2br w:val="nil"/>
              <w:tr2bl w:val="nil"/>
            </w:tcBorders>
            <w:shd w:val="clear" w:color="auto" w:fill="FFFFFF"/>
            <w:vAlign w:val="center"/>
          </w:tcPr>
          <w:p w14:paraId="2CFDDA30">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5</w:t>
            </w:r>
          </w:p>
        </w:tc>
        <w:tc>
          <w:tcPr>
            <w:tcW w:w="898" w:type="dxa"/>
            <w:tcBorders>
              <w:tl2br w:val="nil"/>
              <w:tr2bl w:val="nil"/>
            </w:tcBorders>
            <w:shd w:val="clear" w:color="auto" w:fill="FFFFFF"/>
            <w:vAlign w:val="center"/>
          </w:tcPr>
          <w:p w14:paraId="21F9993B">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4.47</w:t>
            </w:r>
          </w:p>
        </w:tc>
        <w:tc>
          <w:tcPr>
            <w:tcW w:w="1039" w:type="dxa"/>
            <w:tcBorders>
              <w:tl2br w:val="nil"/>
              <w:tr2bl w:val="nil"/>
            </w:tcBorders>
            <w:shd w:val="clear" w:color="auto" w:fill="FFFFFF"/>
            <w:vAlign w:val="center"/>
          </w:tcPr>
          <w:p w14:paraId="237E4D1D">
            <w:pPr>
              <w:widowControl/>
              <w:ind w:firstLine="0" w:firstLineChars="0"/>
              <w:jc w:val="center"/>
              <w:rPr>
                <w:rFonts w:hint="default" w:ascii="Times New Roman" w:hAnsi="Times New Roman" w:cs="Times New Roman"/>
                <w:kern w:val="0"/>
                <w:sz w:val="24"/>
                <w:szCs w:val="24"/>
                <w:lang w:val="en-US"/>
              </w:rPr>
            </w:pPr>
            <w:r>
              <w:rPr>
                <w:rFonts w:hint="eastAsia" w:ascii="Times New Roman" w:hAnsi="Times New Roman" w:cs="Times New Roman"/>
                <w:kern w:val="0"/>
                <w:sz w:val="24"/>
                <w:szCs w:val="24"/>
                <w:lang w:val="en-US" w:eastAsia="zh-CN"/>
              </w:rPr>
              <w:t>89.4%</w:t>
            </w:r>
          </w:p>
        </w:tc>
      </w:tr>
      <w:tr w14:paraId="444FC98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14:paraId="71F4BAC8">
            <w:pPr>
              <w:ind w:firstLine="0" w:firstLineChars="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14:paraId="67DAD9F6">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14:paraId="2D6B86E9">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资金使用合规性</w:t>
            </w:r>
          </w:p>
        </w:tc>
        <w:tc>
          <w:tcPr>
            <w:tcW w:w="898" w:type="dxa"/>
            <w:tcBorders>
              <w:tl2br w:val="nil"/>
              <w:tr2bl w:val="nil"/>
            </w:tcBorders>
            <w:shd w:val="clear" w:color="000000" w:fill="FFFFFF"/>
            <w:vAlign w:val="center"/>
          </w:tcPr>
          <w:p w14:paraId="784871D0">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000000" w:fill="FFFFFF"/>
            <w:vAlign w:val="center"/>
          </w:tcPr>
          <w:p w14:paraId="64CE68A7">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000000" w:fill="FFFFFF"/>
            <w:vAlign w:val="center"/>
          </w:tcPr>
          <w:p w14:paraId="19B5C6A5">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14:paraId="4681094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14:paraId="58B22F95">
            <w:pPr>
              <w:ind w:firstLine="0" w:firstLineChars="0"/>
              <w:jc w:val="center"/>
              <w:rPr>
                <w:rFonts w:hint="default" w:ascii="Times New Roman" w:hAnsi="Times New Roman" w:cs="Times New Roman"/>
                <w:kern w:val="0"/>
                <w:sz w:val="24"/>
                <w:szCs w:val="24"/>
              </w:rPr>
            </w:pPr>
          </w:p>
        </w:tc>
        <w:tc>
          <w:tcPr>
            <w:tcW w:w="1757" w:type="dxa"/>
            <w:vMerge w:val="restart"/>
            <w:tcBorders>
              <w:tl2br w:val="nil"/>
              <w:tr2bl w:val="nil"/>
            </w:tcBorders>
            <w:shd w:val="clear" w:color="auto" w:fill="FFFFFF"/>
            <w:vAlign w:val="center"/>
          </w:tcPr>
          <w:p w14:paraId="2121C2DD">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组织实施</w:t>
            </w:r>
          </w:p>
        </w:tc>
        <w:tc>
          <w:tcPr>
            <w:tcW w:w="2693" w:type="dxa"/>
            <w:tcBorders>
              <w:tl2br w:val="nil"/>
              <w:tr2bl w:val="nil"/>
            </w:tcBorders>
            <w:shd w:val="clear" w:color="auto" w:fill="FFFFFF"/>
            <w:vAlign w:val="center"/>
          </w:tcPr>
          <w:p w14:paraId="430FA30E">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管理制度健全性</w:t>
            </w:r>
          </w:p>
        </w:tc>
        <w:tc>
          <w:tcPr>
            <w:tcW w:w="898" w:type="dxa"/>
            <w:tcBorders>
              <w:tl2br w:val="nil"/>
              <w:tr2bl w:val="nil"/>
            </w:tcBorders>
            <w:shd w:val="clear" w:color="000000" w:fill="FFFFFF"/>
            <w:vAlign w:val="center"/>
          </w:tcPr>
          <w:p w14:paraId="64449DDA">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000000" w:fill="FFFFFF"/>
            <w:vAlign w:val="center"/>
          </w:tcPr>
          <w:p w14:paraId="2C8FDFEE">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2</w:t>
            </w:r>
          </w:p>
        </w:tc>
        <w:tc>
          <w:tcPr>
            <w:tcW w:w="1039" w:type="dxa"/>
            <w:tcBorders>
              <w:tl2br w:val="nil"/>
              <w:tr2bl w:val="nil"/>
            </w:tcBorders>
            <w:shd w:val="clear" w:color="000000" w:fill="FFFFFF"/>
            <w:vAlign w:val="center"/>
          </w:tcPr>
          <w:p w14:paraId="54CCD397">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66.67%</w:t>
            </w:r>
          </w:p>
        </w:tc>
      </w:tr>
      <w:tr w14:paraId="6A62F44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14:paraId="4F10CA96">
            <w:pPr>
              <w:widowControl/>
              <w:ind w:firstLine="0" w:firstLineChars="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14:paraId="1A455B5E">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14:paraId="4D6B1718">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制度执行有效性</w:t>
            </w:r>
          </w:p>
        </w:tc>
        <w:tc>
          <w:tcPr>
            <w:tcW w:w="898" w:type="dxa"/>
            <w:tcBorders>
              <w:tl2br w:val="nil"/>
              <w:tr2bl w:val="nil"/>
            </w:tcBorders>
            <w:shd w:val="clear" w:color="000000" w:fill="FFFFFF"/>
            <w:vAlign w:val="center"/>
          </w:tcPr>
          <w:p w14:paraId="5DA50179">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4</w:t>
            </w:r>
          </w:p>
        </w:tc>
        <w:tc>
          <w:tcPr>
            <w:tcW w:w="898" w:type="dxa"/>
            <w:tcBorders>
              <w:tl2br w:val="nil"/>
              <w:tr2bl w:val="nil"/>
            </w:tcBorders>
            <w:shd w:val="clear" w:color="000000" w:fill="FFFFFF"/>
            <w:vAlign w:val="center"/>
          </w:tcPr>
          <w:p w14:paraId="10746FFC">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000000" w:fill="FFFFFF"/>
            <w:vAlign w:val="center"/>
          </w:tcPr>
          <w:p w14:paraId="5E8D0738">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75%</w:t>
            </w:r>
          </w:p>
        </w:tc>
      </w:tr>
      <w:tr w14:paraId="02CB990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8" w:hRule="atLeast"/>
          <w:jc w:val="center"/>
        </w:trPr>
        <w:tc>
          <w:tcPr>
            <w:tcW w:w="1777" w:type="dxa"/>
            <w:vMerge w:val="restart"/>
            <w:tcBorders>
              <w:tl2br w:val="nil"/>
              <w:tr2bl w:val="nil"/>
            </w:tcBorders>
            <w:shd w:val="clear" w:color="auto" w:fill="FFFFFF"/>
            <w:vAlign w:val="center"/>
          </w:tcPr>
          <w:p w14:paraId="1DC00BEE">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产出</w:t>
            </w:r>
          </w:p>
        </w:tc>
        <w:tc>
          <w:tcPr>
            <w:tcW w:w="1757" w:type="dxa"/>
            <w:vMerge w:val="restart"/>
            <w:tcBorders>
              <w:tl2br w:val="nil"/>
              <w:tr2bl w:val="nil"/>
            </w:tcBorders>
            <w:shd w:val="clear" w:color="auto" w:fill="FFFFFF"/>
            <w:vAlign w:val="center"/>
          </w:tcPr>
          <w:p w14:paraId="65D885DA">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产出数量</w:t>
            </w:r>
          </w:p>
        </w:tc>
        <w:tc>
          <w:tcPr>
            <w:tcW w:w="2693" w:type="dxa"/>
            <w:tcBorders>
              <w:tl2br w:val="nil"/>
              <w:tr2bl w:val="nil"/>
            </w:tcBorders>
            <w:shd w:val="clear" w:color="auto" w:fill="FFFFFF"/>
          </w:tcPr>
          <w:p w14:paraId="012541D4">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项目体积</w:t>
            </w:r>
          </w:p>
        </w:tc>
        <w:tc>
          <w:tcPr>
            <w:tcW w:w="898" w:type="dxa"/>
            <w:tcBorders>
              <w:tl2br w:val="nil"/>
              <w:tr2bl w:val="nil"/>
            </w:tcBorders>
            <w:shd w:val="clear" w:color="000000" w:fill="FFFFFF"/>
            <w:vAlign w:val="center"/>
          </w:tcPr>
          <w:p w14:paraId="26CE5DDC">
            <w:pPr>
              <w:widowControl/>
              <w:ind w:firstLine="0" w:firstLineChars="0"/>
              <w:jc w:val="center"/>
              <w:rPr>
                <w:rFonts w:hint="eastAsia" w:ascii="Times New Roman" w:hAnsi="Times New Roman" w:cs="Times New Roman"/>
                <w:kern w:val="0"/>
                <w:sz w:val="24"/>
                <w:szCs w:val="24"/>
                <w:lang w:eastAsia="zh-CN"/>
              </w:rPr>
            </w:pPr>
            <w:r>
              <w:rPr>
                <w:rFonts w:hint="eastAsia" w:ascii="Times New Roman" w:hAnsi="Times New Roman" w:cs="Times New Roman"/>
                <w:kern w:val="0"/>
                <w:sz w:val="24"/>
                <w:szCs w:val="24"/>
                <w:lang w:val="en-US" w:eastAsia="zh-CN"/>
              </w:rPr>
              <w:t>4</w:t>
            </w:r>
          </w:p>
        </w:tc>
        <w:tc>
          <w:tcPr>
            <w:tcW w:w="898" w:type="dxa"/>
            <w:tcBorders>
              <w:tl2br w:val="nil"/>
              <w:tr2bl w:val="nil"/>
            </w:tcBorders>
            <w:shd w:val="clear" w:color="000000" w:fill="FFFFFF"/>
            <w:vAlign w:val="center"/>
          </w:tcPr>
          <w:p w14:paraId="6658E738">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4</w:t>
            </w:r>
          </w:p>
        </w:tc>
        <w:tc>
          <w:tcPr>
            <w:tcW w:w="1039" w:type="dxa"/>
            <w:tcBorders>
              <w:tl2br w:val="nil"/>
              <w:tr2bl w:val="nil"/>
            </w:tcBorders>
            <w:shd w:val="clear" w:color="000000" w:fill="FFFFFF"/>
            <w:vAlign w:val="center"/>
          </w:tcPr>
          <w:p w14:paraId="53FF3E0D">
            <w:pPr>
              <w:widowControl/>
              <w:ind w:firstLine="0" w:firstLineChars="0"/>
              <w:jc w:val="center"/>
              <w:rPr>
                <w:rFonts w:hint="eastAsia"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14:paraId="763506D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 w:hRule="atLeast"/>
          <w:jc w:val="center"/>
        </w:trPr>
        <w:tc>
          <w:tcPr>
            <w:tcW w:w="1777" w:type="dxa"/>
            <w:vMerge w:val="continue"/>
            <w:tcBorders>
              <w:tl2br w:val="nil"/>
              <w:tr2bl w:val="nil"/>
            </w:tcBorders>
            <w:shd w:val="clear" w:color="auto" w:fill="FFFFFF"/>
            <w:vAlign w:val="center"/>
          </w:tcPr>
          <w:p w14:paraId="20E18254">
            <w:pPr>
              <w:widowControl/>
              <w:ind w:firstLine="0" w:firstLineChars="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14:paraId="088AAED7">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tcPr>
          <w:p w14:paraId="63A08432">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室外电缆电线长度</w:t>
            </w:r>
          </w:p>
        </w:tc>
        <w:tc>
          <w:tcPr>
            <w:tcW w:w="898" w:type="dxa"/>
            <w:tcBorders>
              <w:tl2br w:val="nil"/>
              <w:tr2bl w:val="nil"/>
            </w:tcBorders>
            <w:shd w:val="clear" w:color="000000" w:fill="FFFFFF"/>
            <w:vAlign w:val="center"/>
          </w:tcPr>
          <w:p w14:paraId="3DF845F0">
            <w:pPr>
              <w:widowControl/>
              <w:ind w:firstLine="0" w:firstLineChars="0"/>
              <w:jc w:val="center"/>
              <w:rPr>
                <w:rFonts w:hint="eastAsia" w:ascii="Times New Roman" w:hAnsi="Times New Roman" w:cs="Times New Roman"/>
                <w:kern w:val="0"/>
                <w:sz w:val="24"/>
                <w:szCs w:val="24"/>
                <w:lang w:eastAsia="zh-CN"/>
              </w:rPr>
            </w:pPr>
            <w:r>
              <w:rPr>
                <w:rFonts w:hint="eastAsia" w:ascii="Times New Roman" w:hAnsi="Times New Roman" w:cs="Times New Roman"/>
                <w:kern w:val="0"/>
                <w:sz w:val="24"/>
                <w:szCs w:val="24"/>
                <w:lang w:val="en-US" w:eastAsia="zh-CN"/>
              </w:rPr>
              <w:t>3</w:t>
            </w:r>
          </w:p>
        </w:tc>
        <w:tc>
          <w:tcPr>
            <w:tcW w:w="898" w:type="dxa"/>
            <w:tcBorders>
              <w:tl2br w:val="nil"/>
              <w:tr2bl w:val="nil"/>
            </w:tcBorders>
            <w:shd w:val="clear" w:color="000000" w:fill="FFFFFF"/>
            <w:vAlign w:val="center"/>
          </w:tcPr>
          <w:p w14:paraId="39BD7E36">
            <w:pPr>
              <w:widowControl/>
              <w:ind w:firstLine="0" w:firstLineChars="0"/>
              <w:jc w:val="center"/>
              <w:rPr>
                <w:rFonts w:hint="eastAsia"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000000" w:fill="FFFFFF"/>
            <w:vAlign w:val="center"/>
          </w:tcPr>
          <w:p w14:paraId="6D04A947">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14:paraId="2991B81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 w:hRule="atLeast"/>
          <w:jc w:val="center"/>
        </w:trPr>
        <w:tc>
          <w:tcPr>
            <w:tcW w:w="1777" w:type="dxa"/>
            <w:vMerge w:val="continue"/>
            <w:tcBorders>
              <w:tl2br w:val="nil"/>
              <w:tr2bl w:val="nil"/>
            </w:tcBorders>
            <w:shd w:val="clear" w:color="auto" w:fill="FFFFFF"/>
            <w:vAlign w:val="center"/>
          </w:tcPr>
          <w:p w14:paraId="01EA9533">
            <w:pPr>
              <w:widowControl/>
              <w:ind w:firstLine="0" w:firstLineChars="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14:paraId="2EC826D2">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tcPr>
          <w:p w14:paraId="3D2A5E12">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GBL配电柜</w:t>
            </w:r>
          </w:p>
        </w:tc>
        <w:tc>
          <w:tcPr>
            <w:tcW w:w="898" w:type="dxa"/>
            <w:tcBorders>
              <w:tl2br w:val="nil"/>
              <w:tr2bl w:val="nil"/>
            </w:tcBorders>
            <w:shd w:val="clear" w:color="000000" w:fill="FFFFFF"/>
            <w:vAlign w:val="center"/>
          </w:tcPr>
          <w:p w14:paraId="0806E8C2">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3</w:t>
            </w:r>
          </w:p>
        </w:tc>
        <w:tc>
          <w:tcPr>
            <w:tcW w:w="898" w:type="dxa"/>
            <w:tcBorders>
              <w:tl2br w:val="nil"/>
              <w:tr2bl w:val="nil"/>
            </w:tcBorders>
            <w:shd w:val="clear" w:color="000000" w:fill="FFFFFF"/>
            <w:vAlign w:val="center"/>
          </w:tcPr>
          <w:p w14:paraId="37662554">
            <w:pPr>
              <w:widowControl/>
              <w:ind w:firstLine="0" w:firstLineChars="0"/>
              <w:jc w:val="center"/>
              <w:rPr>
                <w:rFonts w:hint="eastAsia"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000000" w:fill="FFFFFF"/>
            <w:vAlign w:val="center"/>
          </w:tcPr>
          <w:p w14:paraId="4BD59397">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14:paraId="7F5DE17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14:paraId="6A3A450B">
            <w:pPr>
              <w:widowControl/>
              <w:ind w:firstLine="0" w:firstLineChars="0"/>
              <w:jc w:val="center"/>
              <w:rPr>
                <w:rFonts w:hint="default" w:ascii="Times New Roman" w:hAnsi="Times New Roman" w:cs="Times New Roman"/>
                <w:kern w:val="0"/>
                <w:sz w:val="24"/>
                <w:szCs w:val="24"/>
              </w:rPr>
            </w:pPr>
          </w:p>
        </w:tc>
        <w:tc>
          <w:tcPr>
            <w:tcW w:w="1757" w:type="dxa"/>
            <w:vMerge w:val="restart"/>
            <w:tcBorders>
              <w:tl2br w:val="nil"/>
              <w:tr2bl w:val="nil"/>
            </w:tcBorders>
            <w:shd w:val="clear" w:color="auto" w:fill="FFFFFF"/>
            <w:vAlign w:val="center"/>
          </w:tcPr>
          <w:p w14:paraId="4525E4CD">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产出质量</w:t>
            </w:r>
          </w:p>
        </w:tc>
        <w:tc>
          <w:tcPr>
            <w:tcW w:w="2693" w:type="dxa"/>
            <w:tcBorders>
              <w:tl2br w:val="nil"/>
              <w:tr2bl w:val="nil"/>
            </w:tcBorders>
            <w:shd w:val="clear" w:color="auto" w:fill="FFFFFF"/>
            <w:vAlign w:val="center"/>
          </w:tcPr>
          <w:p w14:paraId="4EC45350">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项目建设合格率</w:t>
            </w:r>
          </w:p>
        </w:tc>
        <w:tc>
          <w:tcPr>
            <w:tcW w:w="898" w:type="dxa"/>
            <w:tcBorders>
              <w:tl2br w:val="nil"/>
              <w:tr2bl w:val="nil"/>
            </w:tcBorders>
            <w:shd w:val="clear" w:color="000000" w:fill="FFFFFF"/>
            <w:vAlign w:val="center"/>
          </w:tcPr>
          <w:p w14:paraId="519AA062">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898" w:type="dxa"/>
            <w:tcBorders>
              <w:tl2br w:val="nil"/>
              <w:tr2bl w:val="nil"/>
            </w:tcBorders>
            <w:shd w:val="clear" w:color="000000" w:fill="FFFFFF"/>
            <w:vAlign w:val="center"/>
          </w:tcPr>
          <w:p w14:paraId="096F5E90">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1039" w:type="dxa"/>
            <w:tcBorders>
              <w:tl2br w:val="nil"/>
              <w:tr2bl w:val="nil"/>
            </w:tcBorders>
            <w:shd w:val="clear" w:color="000000" w:fill="FFFFFF"/>
            <w:vAlign w:val="center"/>
          </w:tcPr>
          <w:p w14:paraId="197F8516">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14:paraId="3052228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14:paraId="37AF9FF1">
            <w:pPr>
              <w:widowControl/>
              <w:ind w:firstLine="0" w:firstLineChars="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14:paraId="3A53E19C">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14:paraId="38737C15">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产品验收合格率</w:t>
            </w:r>
          </w:p>
        </w:tc>
        <w:tc>
          <w:tcPr>
            <w:tcW w:w="898" w:type="dxa"/>
            <w:tcBorders>
              <w:tl2br w:val="nil"/>
              <w:tr2bl w:val="nil"/>
            </w:tcBorders>
            <w:shd w:val="clear" w:color="000000" w:fill="FFFFFF"/>
            <w:vAlign w:val="center"/>
          </w:tcPr>
          <w:p w14:paraId="71C4B2DC">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898" w:type="dxa"/>
            <w:tcBorders>
              <w:tl2br w:val="nil"/>
              <w:tr2bl w:val="nil"/>
            </w:tcBorders>
            <w:shd w:val="clear" w:color="000000" w:fill="FFFFFF"/>
            <w:vAlign w:val="center"/>
          </w:tcPr>
          <w:p w14:paraId="576D46E0">
            <w:pPr>
              <w:widowControl/>
              <w:ind w:firstLine="0" w:firstLineChars="0"/>
              <w:jc w:val="center"/>
              <w:rPr>
                <w:rFonts w:hint="eastAsia"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1039" w:type="dxa"/>
            <w:tcBorders>
              <w:tl2br w:val="nil"/>
              <w:tr2bl w:val="nil"/>
            </w:tcBorders>
            <w:shd w:val="clear" w:color="000000" w:fill="FFFFFF"/>
            <w:vAlign w:val="center"/>
          </w:tcPr>
          <w:p w14:paraId="0795D20D">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14:paraId="4EB2A36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0" w:hRule="atLeast"/>
          <w:jc w:val="center"/>
        </w:trPr>
        <w:tc>
          <w:tcPr>
            <w:tcW w:w="1777" w:type="dxa"/>
            <w:vMerge w:val="continue"/>
            <w:tcBorders>
              <w:tl2br w:val="nil"/>
              <w:tr2bl w:val="nil"/>
            </w:tcBorders>
            <w:shd w:val="clear" w:color="auto" w:fill="FFFFFF"/>
            <w:vAlign w:val="center"/>
          </w:tcPr>
          <w:p w14:paraId="3D5B5FF0">
            <w:pPr>
              <w:ind w:firstLine="0" w:firstLineChars="0"/>
              <w:jc w:val="center"/>
              <w:rPr>
                <w:rFonts w:hint="default" w:ascii="Times New Roman" w:hAnsi="Times New Roman" w:cs="Times New Roman"/>
                <w:kern w:val="0"/>
                <w:sz w:val="24"/>
                <w:szCs w:val="24"/>
              </w:rPr>
            </w:pPr>
          </w:p>
        </w:tc>
        <w:tc>
          <w:tcPr>
            <w:tcW w:w="1757" w:type="dxa"/>
            <w:tcBorders>
              <w:tl2br w:val="nil"/>
              <w:tr2bl w:val="nil"/>
            </w:tcBorders>
            <w:shd w:val="clear" w:color="auto" w:fill="FFFFFF"/>
            <w:vAlign w:val="center"/>
          </w:tcPr>
          <w:p w14:paraId="151F14D1">
            <w:pPr>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产出时效</w:t>
            </w:r>
          </w:p>
        </w:tc>
        <w:tc>
          <w:tcPr>
            <w:tcW w:w="2693" w:type="dxa"/>
            <w:tcBorders>
              <w:tl2br w:val="nil"/>
              <w:tr2bl w:val="nil"/>
            </w:tcBorders>
            <w:shd w:val="clear" w:color="auto" w:fill="FFFFFF"/>
            <w:vAlign w:val="center"/>
          </w:tcPr>
          <w:p w14:paraId="779DD148">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项目按期完成率</w:t>
            </w:r>
          </w:p>
        </w:tc>
        <w:tc>
          <w:tcPr>
            <w:tcW w:w="898" w:type="dxa"/>
            <w:tcBorders>
              <w:tl2br w:val="nil"/>
              <w:tr2bl w:val="nil"/>
            </w:tcBorders>
            <w:shd w:val="clear" w:color="000000" w:fill="FFFFFF"/>
            <w:vAlign w:val="center"/>
          </w:tcPr>
          <w:p w14:paraId="1026B0FF">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898" w:type="dxa"/>
            <w:tcBorders>
              <w:tl2br w:val="nil"/>
              <w:tr2bl w:val="nil"/>
            </w:tcBorders>
            <w:shd w:val="clear" w:color="000000" w:fill="FFFFFF"/>
            <w:vAlign w:val="center"/>
          </w:tcPr>
          <w:p w14:paraId="07391167">
            <w:pPr>
              <w:widowControl/>
              <w:ind w:firstLine="0" w:firstLineChars="0"/>
              <w:jc w:val="center"/>
              <w:rPr>
                <w:rFonts w:hint="eastAsia"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1039" w:type="dxa"/>
            <w:tcBorders>
              <w:tl2br w:val="nil"/>
              <w:tr2bl w:val="nil"/>
            </w:tcBorders>
            <w:shd w:val="clear" w:color="000000" w:fill="FFFFFF"/>
            <w:vAlign w:val="center"/>
          </w:tcPr>
          <w:p w14:paraId="6ED001E3">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14:paraId="6B4ECCC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14:paraId="6BF7B9FC">
            <w:pPr>
              <w:widowControl/>
              <w:ind w:firstLine="0" w:firstLineChars="0"/>
              <w:jc w:val="center"/>
              <w:rPr>
                <w:rFonts w:hint="default" w:ascii="Times New Roman" w:hAnsi="Times New Roman" w:cs="Times New Roman"/>
                <w:kern w:val="0"/>
                <w:sz w:val="24"/>
                <w:szCs w:val="24"/>
              </w:rPr>
            </w:pPr>
          </w:p>
        </w:tc>
        <w:tc>
          <w:tcPr>
            <w:tcW w:w="1757" w:type="dxa"/>
            <w:tcBorders>
              <w:tl2br w:val="nil"/>
              <w:tr2bl w:val="nil"/>
            </w:tcBorders>
            <w:shd w:val="clear" w:color="auto" w:fill="FFFFFF"/>
            <w:vAlign w:val="center"/>
          </w:tcPr>
          <w:p w14:paraId="57E7264F">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产出成本</w:t>
            </w:r>
          </w:p>
        </w:tc>
        <w:tc>
          <w:tcPr>
            <w:tcW w:w="2693" w:type="dxa"/>
            <w:tcBorders>
              <w:tl2br w:val="nil"/>
              <w:tr2bl w:val="nil"/>
            </w:tcBorders>
            <w:shd w:val="clear" w:color="auto" w:fill="FFFFFF"/>
            <w:vAlign w:val="center"/>
          </w:tcPr>
          <w:p w14:paraId="0467F6AB">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成本控制率</w:t>
            </w:r>
          </w:p>
        </w:tc>
        <w:tc>
          <w:tcPr>
            <w:tcW w:w="898" w:type="dxa"/>
            <w:tcBorders>
              <w:tl2br w:val="nil"/>
              <w:tr2bl w:val="nil"/>
            </w:tcBorders>
            <w:shd w:val="clear" w:color="000000" w:fill="FFFFFF"/>
            <w:vAlign w:val="center"/>
          </w:tcPr>
          <w:p w14:paraId="3529B7A2">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898" w:type="dxa"/>
            <w:tcBorders>
              <w:tl2br w:val="nil"/>
              <w:tr2bl w:val="nil"/>
            </w:tcBorders>
            <w:shd w:val="clear" w:color="000000" w:fill="FFFFFF"/>
            <w:vAlign w:val="center"/>
          </w:tcPr>
          <w:p w14:paraId="74ACF4DD">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1039" w:type="dxa"/>
            <w:tcBorders>
              <w:tl2br w:val="nil"/>
              <w:tr2bl w:val="nil"/>
            </w:tcBorders>
            <w:shd w:val="clear" w:color="000000" w:fill="FFFFFF"/>
            <w:vAlign w:val="center"/>
          </w:tcPr>
          <w:p w14:paraId="6B414B69">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14:paraId="36A0DB5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14:paraId="2BF091E6">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效益</w:t>
            </w:r>
          </w:p>
        </w:tc>
        <w:tc>
          <w:tcPr>
            <w:tcW w:w="1757" w:type="dxa"/>
            <w:vMerge w:val="restart"/>
            <w:tcBorders>
              <w:tl2br w:val="nil"/>
              <w:tr2bl w:val="nil"/>
            </w:tcBorders>
            <w:shd w:val="clear" w:color="auto" w:fill="FFFFFF"/>
            <w:vAlign w:val="center"/>
          </w:tcPr>
          <w:p w14:paraId="266D5F68">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项目效益</w:t>
            </w:r>
          </w:p>
        </w:tc>
        <w:tc>
          <w:tcPr>
            <w:tcW w:w="2693" w:type="dxa"/>
            <w:tcBorders>
              <w:tl2br w:val="nil"/>
              <w:tr2bl w:val="nil"/>
            </w:tcBorders>
            <w:shd w:val="clear" w:color="auto" w:fill="FFFFFF"/>
            <w:vAlign w:val="center"/>
          </w:tcPr>
          <w:p w14:paraId="15AB0683">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保障师生的生命安全和学校的财产安全</w:t>
            </w:r>
          </w:p>
        </w:tc>
        <w:tc>
          <w:tcPr>
            <w:tcW w:w="898" w:type="dxa"/>
            <w:tcBorders>
              <w:tl2br w:val="nil"/>
              <w:tr2bl w:val="nil"/>
            </w:tcBorders>
            <w:shd w:val="clear" w:color="auto" w:fill="FFFFFF"/>
            <w:vAlign w:val="center"/>
          </w:tcPr>
          <w:p w14:paraId="1DD418A3">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898" w:type="dxa"/>
            <w:tcBorders>
              <w:tl2br w:val="nil"/>
              <w:tr2bl w:val="nil"/>
            </w:tcBorders>
            <w:shd w:val="clear" w:color="auto" w:fill="FFFFFF"/>
            <w:vAlign w:val="center"/>
          </w:tcPr>
          <w:p w14:paraId="5635AB4B">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1039" w:type="dxa"/>
            <w:tcBorders>
              <w:tl2br w:val="nil"/>
              <w:tr2bl w:val="nil"/>
            </w:tcBorders>
            <w:shd w:val="clear" w:color="auto" w:fill="FFFFFF"/>
            <w:vAlign w:val="center"/>
          </w:tcPr>
          <w:p w14:paraId="1103C429">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14:paraId="1EE4283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14:paraId="3C309571">
            <w:pPr>
              <w:widowControl/>
              <w:ind w:firstLine="0" w:firstLineChars="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14:paraId="4E9AEC37">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14:paraId="577027D5">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降低火灾的发生率</w:t>
            </w:r>
          </w:p>
        </w:tc>
        <w:tc>
          <w:tcPr>
            <w:tcW w:w="898" w:type="dxa"/>
            <w:tcBorders>
              <w:tl2br w:val="nil"/>
              <w:tr2bl w:val="nil"/>
            </w:tcBorders>
            <w:shd w:val="clear" w:color="000000" w:fill="FFFFFF"/>
            <w:vAlign w:val="center"/>
          </w:tcPr>
          <w:p w14:paraId="2302B6B2">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5</w:t>
            </w:r>
          </w:p>
        </w:tc>
        <w:tc>
          <w:tcPr>
            <w:tcW w:w="898" w:type="dxa"/>
            <w:tcBorders>
              <w:tl2br w:val="nil"/>
              <w:tr2bl w:val="nil"/>
            </w:tcBorders>
            <w:shd w:val="clear" w:color="000000" w:fill="FFFFFF"/>
            <w:vAlign w:val="center"/>
          </w:tcPr>
          <w:p w14:paraId="7B78771B">
            <w:pPr>
              <w:widowControl/>
              <w:ind w:firstLine="0" w:firstLineChars="0"/>
              <w:jc w:val="center"/>
              <w:rPr>
                <w:rFonts w:hint="eastAsia"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1039" w:type="dxa"/>
            <w:tcBorders>
              <w:tl2br w:val="nil"/>
              <w:tr2bl w:val="nil"/>
            </w:tcBorders>
            <w:shd w:val="clear" w:color="000000" w:fill="FFFFFF"/>
            <w:vAlign w:val="center"/>
          </w:tcPr>
          <w:p w14:paraId="1D30E3E3">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14:paraId="14959ED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tcBorders>
              <w:tl2br w:val="nil"/>
              <w:tr2bl w:val="nil"/>
            </w:tcBorders>
            <w:shd w:val="clear" w:color="auto" w:fill="FFFFFF"/>
            <w:vAlign w:val="center"/>
          </w:tcPr>
          <w:p w14:paraId="54DFCFD0">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满意度指标完成情况分析</w:t>
            </w:r>
          </w:p>
        </w:tc>
        <w:tc>
          <w:tcPr>
            <w:tcW w:w="1757" w:type="dxa"/>
            <w:tcBorders>
              <w:tl2br w:val="nil"/>
              <w:tr2bl w:val="nil"/>
            </w:tcBorders>
            <w:shd w:val="clear" w:color="auto" w:fill="FFFFFF"/>
            <w:vAlign w:val="center"/>
          </w:tcPr>
          <w:p w14:paraId="24A322E8">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满意度指标</w:t>
            </w:r>
          </w:p>
        </w:tc>
        <w:tc>
          <w:tcPr>
            <w:tcW w:w="2693" w:type="dxa"/>
            <w:tcBorders>
              <w:tl2br w:val="nil"/>
              <w:tr2bl w:val="nil"/>
            </w:tcBorders>
            <w:shd w:val="clear" w:color="auto" w:fill="FFFFFF"/>
            <w:vAlign w:val="center"/>
          </w:tcPr>
          <w:p w14:paraId="66056F30">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师生满意度</w:t>
            </w:r>
          </w:p>
        </w:tc>
        <w:tc>
          <w:tcPr>
            <w:tcW w:w="898" w:type="dxa"/>
            <w:tcBorders>
              <w:tl2br w:val="nil"/>
              <w:tr2bl w:val="nil"/>
            </w:tcBorders>
            <w:shd w:val="clear" w:color="000000" w:fill="FFFFFF"/>
            <w:vAlign w:val="center"/>
          </w:tcPr>
          <w:p w14:paraId="3991B4B4">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898" w:type="dxa"/>
            <w:tcBorders>
              <w:tl2br w:val="nil"/>
              <w:tr2bl w:val="nil"/>
            </w:tcBorders>
            <w:shd w:val="clear" w:color="000000" w:fill="FFFFFF"/>
            <w:vAlign w:val="center"/>
          </w:tcPr>
          <w:p w14:paraId="28B73F0B">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1039" w:type="dxa"/>
            <w:tcBorders>
              <w:tl2br w:val="nil"/>
              <w:tr2bl w:val="nil"/>
            </w:tcBorders>
            <w:shd w:val="clear" w:color="000000" w:fill="FFFFFF"/>
            <w:vAlign w:val="center"/>
          </w:tcPr>
          <w:p w14:paraId="6F450141">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14:paraId="3D7960D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55" w:hRule="atLeast"/>
          <w:jc w:val="center"/>
        </w:trPr>
        <w:tc>
          <w:tcPr>
            <w:tcW w:w="1777" w:type="dxa"/>
            <w:tcBorders>
              <w:tl2br w:val="nil"/>
              <w:tr2bl w:val="nil"/>
            </w:tcBorders>
            <w:shd w:val="clear" w:color="auto" w:fill="FFFFFF"/>
            <w:vAlign w:val="center"/>
          </w:tcPr>
          <w:p w14:paraId="0ADF322D">
            <w:pPr>
              <w:widowControl/>
              <w:ind w:firstLine="0" w:firstLineChars="0"/>
              <w:jc w:val="center"/>
              <w:rPr>
                <w:rFonts w:hint="eastAsia" w:ascii="Times New Roman" w:hAnsi="Times New Roman" w:eastAsia="仿宋_GB2312" w:cs="Times New Roman"/>
                <w:kern w:val="0"/>
                <w:sz w:val="24"/>
                <w:szCs w:val="24"/>
                <w:lang w:eastAsia="zh-CN"/>
              </w:rPr>
            </w:pPr>
            <w:bookmarkStart w:id="27" w:name="_Toc100784598"/>
            <w:bookmarkStart w:id="28" w:name="_Toc67911610"/>
            <w:r>
              <w:rPr>
                <w:rFonts w:hint="eastAsia" w:ascii="Times New Roman" w:hAnsi="Times New Roman" w:cs="Times New Roman"/>
                <w:b/>
                <w:bCs/>
                <w:kern w:val="0"/>
                <w:sz w:val="24"/>
                <w:szCs w:val="24"/>
                <w:lang w:eastAsia="zh-CN"/>
              </w:rPr>
              <w:t>合计</w:t>
            </w:r>
          </w:p>
        </w:tc>
        <w:tc>
          <w:tcPr>
            <w:tcW w:w="1757" w:type="dxa"/>
            <w:tcBorders>
              <w:tl2br w:val="nil"/>
              <w:tr2bl w:val="nil"/>
            </w:tcBorders>
            <w:shd w:val="clear" w:color="auto" w:fill="FFFFFF"/>
            <w:vAlign w:val="center"/>
          </w:tcPr>
          <w:p w14:paraId="11535DE5">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14:paraId="3DFBD34D">
            <w:pPr>
              <w:widowControl/>
              <w:ind w:firstLine="0" w:firstLineChars="0"/>
              <w:jc w:val="center"/>
              <w:rPr>
                <w:rFonts w:hint="default" w:ascii="Times New Roman" w:hAnsi="Times New Roman" w:eastAsia="宋体" w:cs="Times New Roman"/>
                <w:color w:val="000000"/>
                <w:kern w:val="0"/>
                <w:sz w:val="22"/>
              </w:rPr>
            </w:pPr>
          </w:p>
        </w:tc>
        <w:tc>
          <w:tcPr>
            <w:tcW w:w="898" w:type="dxa"/>
            <w:tcBorders>
              <w:tl2br w:val="nil"/>
              <w:tr2bl w:val="nil"/>
            </w:tcBorders>
            <w:shd w:val="clear" w:color="000000" w:fill="FFFFFF"/>
            <w:vAlign w:val="center"/>
          </w:tcPr>
          <w:p w14:paraId="59902639">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100</w:t>
            </w:r>
          </w:p>
        </w:tc>
        <w:tc>
          <w:tcPr>
            <w:tcW w:w="898" w:type="dxa"/>
            <w:tcBorders>
              <w:tl2br w:val="nil"/>
              <w:tr2bl w:val="nil"/>
            </w:tcBorders>
            <w:shd w:val="clear" w:color="000000" w:fill="FFFFFF"/>
            <w:vAlign w:val="center"/>
          </w:tcPr>
          <w:p w14:paraId="62785BF1">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97.47</w:t>
            </w:r>
          </w:p>
        </w:tc>
        <w:tc>
          <w:tcPr>
            <w:tcW w:w="1039" w:type="dxa"/>
            <w:tcBorders>
              <w:tl2br w:val="nil"/>
              <w:tr2bl w:val="nil"/>
            </w:tcBorders>
            <w:shd w:val="clear" w:color="000000" w:fill="FFFFFF"/>
            <w:vAlign w:val="center"/>
          </w:tcPr>
          <w:p w14:paraId="1DD1F571">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97.47%</w:t>
            </w:r>
          </w:p>
        </w:tc>
      </w:tr>
    </w:tbl>
    <w:p w14:paraId="62DAD499">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val="en-US" w:eastAsia="zh-CN" w:bidi="en-US"/>
        </w:rPr>
      </w:pPr>
    </w:p>
    <w:p w14:paraId="533DFBC1">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r>
        <w:rPr>
          <w:rFonts w:hint="default" w:ascii="Times New Roman" w:hAnsi="Times New Roman" w:eastAsia="仿宋" w:cs="Times New Roman"/>
          <w:sz w:val="32"/>
          <w:szCs w:val="32"/>
          <w:lang w:val="en-US" w:eastAsia="zh-CN" w:bidi="en-US"/>
        </w:rPr>
        <w:t>（二）主要绩效</w:t>
      </w:r>
      <w:bookmarkEnd w:id="27"/>
      <w:bookmarkEnd w:id="28"/>
    </w:p>
    <w:p w14:paraId="1DE194C2">
      <w:pPr>
        <w:spacing w:line="360" w:lineRule="auto"/>
        <w:ind w:firstLine="560"/>
        <w:rPr>
          <w:rFonts w:hint="default" w:ascii="Times New Roman" w:hAnsi="Times New Roman" w:cs="Times New Roman"/>
          <w:szCs w:val="28"/>
          <w:lang w:val="en-US" w:eastAsia="zh-CN"/>
        </w:rPr>
      </w:pPr>
      <w:r>
        <w:rPr>
          <w:rFonts w:hint="default" w:ascii="Times New Roman" w:hAnsi="Times New Roman" w:cs="Times New Roman"/>
          <w:szCs w:val="28"/>
        </w:rPr>
        <w:t>该项目资金财政及时拨付，单位在此次评价期间内，该项目绩效规划总用地面积</w:t>
      </w:r>
      <w:r>
        <w:rPr>
          <w:rFonts w:hint="eastAsia" w:ascii="Times New Roman" w:hAnsi="Times New Roman" w:cs="Times New Roman"/>
          <w:szCs w:val="28"/>
          <w:lang w:val="en-US" w:eastAsia="zh-CN"/>
        </w:rPr>
        <w:t>300m³</w:t>
      </w:r>
      <w:r>
        <w:rPr>
          <w:rFonts w:hint="eastAsia" w:ascii="Times New Roman" w:hAnsi="Times New Roman" w:cs="Times New Roman"/>
          <w:szCs w:val="28"/>
          <w:lang w:eastAsia="zh-CN"/>
        </w:rPr>
        <w:t>，</w:t>
      </w:r>
      <w:r>
        <w:rPr>
          <w:rFonts w:hint="eastAsia" w:ascii="Times New Roman" w:hAnsi="Times New Roman" w:cs="Times New Roman"/>
          <w:szCs w:val="28"/>
          <w:lang w:val="en-US" w:eastAsia="zh-CN"/>
        </w:rPr>
        <w:t>完成了开挖蓄水池，保障消防用水的及时供应，与之配套的还有315米的室外电缆电线和配电柜。项目</w:t>
      </w:r>
      <w:r>
        <w:rPr>
          <w:rFonts w:hint="default" w:ascii="Times New Roman" w:hAnsi="Times New Roman" w:cs="Times New Roman"/>
          <w:szCs w:val="28"/>
        </w:rPr>
        <w:t>计划完成</w:t>
      </w:r>
      <w:r>
        <w:rPr>
          <w:rFonts w:hint="eastAsia" w:ascii="Times New Roman" w:hAnsi="Times New Roman" w:cs="Times New Roman"/>
          <w:szCs w:val="28"/>
          <w:lang w:val="en-US" w:eastAsia="zh-CN"/>
        </w:rPr>
        <w:t>小东沟小学消防水池及附属设施</w:t>
      </w:r>
      <w:r>
        <w:rPr>
          <w:rFonts w:hint="default" w:ascii="Times New Roman" w:hAnsi="Times New Roman" w:cs="Times New Roman"/>
          <w:szCs w:val="28"/>
        </w:rPr>
        <w:t>、消防设施年度维保检测项目的实施，将保证我校消防设施系统正常运行，使消防设施维保工作系统化，规范化，使整个消防系统良好运转，从而提高防御火灾的能力，确保学校的财产安全及师生的人身安全。</w:t>
      </w:r>
      <w:r>
        <w:rPr>
          <w:rFonts w:hint="eastAsia" w:ascii="Times New Roman" w:hAnsi="Times New Roman" w:cs="Times New Roman"/>
          <w:szCs w:val="28"/>
          <w:lang w:val="en-US" w:eastAsia="zh-CN"/>
        </w:rPr>
        <w:t>项目预算资金240万元，实际支付214.64万元。</w:t>
      </w:r>
    </w:p>
    <w:p w14:paraId="252C5ECF">
      <w:pPr>
        <w:spacing w:line="360" w:lineRule="auto"/>
        <w:ind w:firstLine="548" w:firstLineChars="196"/>
        <w:rPr>
          <w:rFonts w:hint="default" w:ascii="Times New Roman" w:hAnsi="Times New Roman" w:cs="Times New Roman"/>
          <w:bCs/>
          <w:szCs w:val="28"/>
        </w:rPr>
      </w:pPr>
    </w:p>
    <w:p w14:paraId="495364C2">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bookmarkStart w:id="29" w:name="_Toc67911611"/>
      <w:bookmarkStart w:id="30" w:name="_Toc100784599"/>
    </w:p>
    <w:p w14:paraId="28CE8E43">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r>
        <w:rPr>
          <w:rFonts w:hint="default" w:ascii="Times New Roman" w:hAnsi="Times New Roman" w:eastAsia="仿宋" w:cs="Times New Roman"/>
          <w:sz w:val="36"/>
          <w:szCs w:val="36"/>
          <w:lang w:bidi="en-US"/>
        </w:rPr>
        <w:t>四、绩效评价指标分析</w:t>
      </w:r>
      <w:bookmarkEnd w:id="29"/>
      <w:bookmarkEnd w:id="30"/>
    </w:p>
    <w:p w14:paraId="358D260B">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bidi="en-US"/>
        </w:rPr>
      </w:pPr>
      <w:bookmarkStart w:id="31" w:name="_Toc67911612"/>
      <w:bookmarkStart w:id="32" w:name="_Toc100784600"/>
      <w:r>
        <w:rPr>
          <w:rFonts w:hint="default" w:ascii="Times New Roman" w:hAnsi="Times New Roman" w:eastAsia="仿宋" w:cs="Times New Roman"/>
          <w:sz w:val="32"/>
          <w:szCs w:val="32"/>
          <w:lang w:bidi="en-US"/>
        </w:rPr>
        <w:t>（一）项目决策情况</w:t>
      </w:r>
      <w:bookmarkEnd w:id="31"/>
      <w:bookmarkEnd w:id="32"/>
    </w:p>
    <w:p w14:paraId="6B685196">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项目决算指标由3个二级指标和6个三级指标构成，权重为20分，实际得分</w:t>
      </w:r>
      <w:r>
        <w:rPr>
          <w:rFonts w:hint="eastAsia" w:ascii="Times New Roman" w:hAnsi="Times New Roman" w:cs="Times New Roman"/>
          <w:szCs w:val="28"/>
          <w:lang w:val="en-US" w:eastAsia="zh-CN"/>
        </w:rPr>
        <w:t>20</w:t>
      </w:r>
      <w:r>
        <w:rPr>
          <w:rFonts w:hint="default" w:ascii="Times New Roman" w:hAnsi="Times New Roman" w:cs="Times New Roman"/>
          <w:szCs w:val="28"/>
        </w:rPr>
        <w:t>分。</w:t>
      </w:r>
    </w:p>
    <w:p w14:paraId="7900BB21">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33" w:name="_Toc100784601"/>
      <w:r>
        <w:rPr>
          <w:rFonts w:hint="default" w:ascii="Times New Roman" w:hAnsi="Times New Roman" w:eastAsia="仿宋" w:cs="Times New Roman"/>
          <w:sz w:val="32"/>
          <w:szCs w:val="32"/>
          <w:lang w:bidi="en-US"/>
        </w:rPr>
        <w:t>1.项目立项</w:t>
      </w:r>
      <w:bookmarkEnd w:id="33"/>
    </w:p>
    <w:p w14:paraId="0D99F56E">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立项依据充分性：</w:t>
      </w:r>
      <w:r>
        <w:rPr>
          <w:rFonts w:hint="default" w:ascii="Times New Roman" w:hAnsi="Times New Roman" w:cs="Times New Roman"/>
          <w:szCs w:val="28"/>
        </w:rPr>
        <w:t>项目立项符合国家法律法规、政策要求。同时，项目与部门职责范围相符，属于部门履职所需。此外，本项目属于公共财政支持范围，符合中央、地方事权支出责任划分原则。因此，立项依据充分，得4分。</w:t>
      </w:r>
    </w:p>
    <w:p w14:paraId="39991077">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立项程序规范性:</w:t>
      </w:r>
      <w:r>
        <w:rPr>
          <w:rFonts w:hint="default" w:ascii="Times New Roman" w:hAnsi="Times New Roman" w:cs="Times New Roman"/>
        </w:rPr>
        <w:t xml:space="preserve"> </w:t>
      </w:r>
      <w:r>
        <w:rPr>
          <w:rFonts w:hint="default" w:ascii="Times New Roman" w:hAnsi="Times New Roman" w:cs="Times New Roman"/>
          <w:szCs w:val="28"/>
        </w:rPr>
        <w:t>项目按照规定的程序申请设立，审批文件、材料符合相关要求，故立项程序规范，得4分。</w:t>
      </w:r>
    </w:p>
    <w:p w14:paraId="4EE94B5C">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综上，该指标满分8分，得分8分。</w:t>
      </w:r>
    </w:p>
    <w:p w14:paraId="176D215D">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34" w:name="_Toc100784602"/>
      <w:r>
        <w:rPr>
          <w:rFonts w:hint="default" w:ascii="Times New Roman" w:hAnsi="Times New Roman" w:eastAsia="仿宋" w:cs="Times New Roman"/>
          <w:sz w:val="32"/>
          <w:szCs w:val="32"/>
          <w:lang w:bidi="en-US"/>
        </w:rPr>
        <w:t>2.绩效目标</w:t>
      </w:r>
      <w:bookmarkEnd w:id="34"/>
    </w:p>
    <w:p w14:paraId="5017B1D3">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绩效目标合理性：</w:t>
      </w:r>
      <w:r>
        <w:rPr>
          <w:rFonts w:hint="default" w:ascii="Times New Roman" w:hAnsi="Times New Roman" w:cs="Times New Roman"/>
          <w:szCs w:val="28"/>
        </w:rPr>
        <w:t>本项目的绩效目标按照产出、效益和满意度构建绩效评价指标，且具有明确性、可衡量性、可实现性、相关性和时限性等特点，能较为全面地反映本项目的产出和效益，故绩效目标合理性指标得分3分。</w:t>
      </w:r>
    </w:p>
    <w:p w14:paraId="02CAA101">
      <w:pPr>
        <w:autoSpaceDE w:val="0"/>
        <w:spacing w:line="600" w:lineRule="exact"/>
        <w:ind w:firstLine="562"/>
        <w:rPr>
          <w:rFonts w:hint="default" w:ascii="Times New Roman" w:hAnsi="Times New Roman" w:cs="Times New Roman"/>
          <w:kern w:val="0"/>
          <w:szCs w:val="28"/>
        </w:rPr>
      </w:pPr>
      <w:r>
        <w:rPr>
          <w:rFonts w:hint="default" w:ascii="Times New Roman" w:hAnsi="Times New Roman" w:cs="Times New Roman"/>
          <w:b/>
          <w:kern w:val="0"/>
          <w:szCs w:val="28"/>
        </w:rPr>
        <w:t>绩效目标明确性：</w:t>
      </w:r>
      <w:r>
        <w:rPr>
          <w:rFonts w:hint="eastAsia" w:ascii="Times New Roman" w:hAnsi="Times New Roman" w:cs="Times New Roman"/>
          <w:kern w:val="0"/>
          <w:szCs w:val="28"/>
          <w:lang w:val="en-US" w:eastAsia="zh-CN"/>
        </w:rPr>
        <w:t>本单位年初《绩效目标申报表》依据充分</w:t>
      </w:r>
      <w:r>
        <w:rPr>
          <w:rFonts w:hint="default" w:ascii="Times New Roman" w:hAnsi="Times New Roman" w:cs="Times New Roman"/>
          <w:kern w:val="0"/>
          <w:szCs w:val="28"/>
        </w:rPr>
        <w:t>。其中，目标已细化为具体的绩效指标，可通过数量指标、质量指标、时效指标和成本指标予以量化，并具有确切的评价标准，且指标设定均与目标相关。各项指标均能在现实条件下收集到相关数据进行佐证，并与当年项目年度计划相对应，故绩效目标明确性指标得分3分。</w:t>
      </w:r>
    </w:p>
    <w:p w14:paraId="0871AF92">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综上，该指标满分6分，得分6分。</w:t>
      </w:r>
    </w:p>
    <w:p w14:paraId="62995E45">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35" w:name="_Toc100784603"/>
      <w:r>
        <w:rPr>
          <w:rFonts w:hint="default" w:ascii="Times New Roman" w:hAnsi="Times New Roman" w:eastAsia="仿宋" w:cs="Times New Roman"/>
          <w:sz w:val="32"/>
          <w:szCs w:val="32"/>
          <w:lang w:bidi="en-US"/>
        </w:rPr>
        <w:t>3.资金投入</w:t>
      </w:r>
      <w:bookmarkEnd w:id="35"/>
    </w:p>
    <w:p w14:paraId="60EF9FF3">
      <w:pPr>
        <w:autoSpaceDE w:val="0"/>
        <w:spacing w:line="600" w:lineRule="exact"/>
        <w:ind w:firstLine="562"/>
        <w:rPr>
          <w:rFonts w:hint="default" w:ascii="Times New Roman" w:hAnsi="Times New Roman" w:cs="Times New Roman"/>
          <w:bCs/>
          <w:kern w:val="0"/>
          <w:szCs w:val="28"/>
        </w:rPr>
      </w:pPr>
      <w:r>
        <w:rPr>
          <w:rFonts w:hint="default" w:ascii="Times New Roman" w:hAnsi="Times New Roman" w:cs="Times New Roman"/>
          <w:b/>
          <w:kern w:val="0"/>
          <w:szCs w:val="28"/>
        </w:rPr>
        <w:t>预算编制科学性：</w:t>
      </w:r>
      <w:r>
        <w:rPr>
          <w:rFonts w:hint="eastAsia" w:ascii="仿宋_GB2312" w:hAnsi="仿宋_GB2312" w:eastAsia="仿宋_GB2312" w:cs="仿宋_GB2312"/>
          <w:sz w:val="28"/>
          <w:szCs w:val="28"/>
        </w:rPr>
        <w:t>项</w:t>
      </w:r>
      <w:r>
        <w:rPr>
          <w:rFonts w:hint="eastAsia" w:ascii="Times New Roman" w:hAnsi="Times New Roman" w:cs="Times New Roman"/>
          <w:kern w:val="0"/>
          <w:szCs w:val="28"/>
          <w:lang w:val="en-US" w:eastAsia="zh-CN"/>
        </w:rPr>
        <w:t>目预算编制有明确的标准，资金与年度目标相适应。</w:t>
      </w:r>
      <w:r>
        <w:rPr>
          <w:rFonts w:hint="default" w:ascii="Times New Roman" w:hAnsi="Times New Roman" w:cs="Times New Roman"/>
          <w:kern w:val="0"/>
          <w:szCs w:val="28"/>
          <w:lang w:val="en-US" w:eastAsia="zh-CN"/>
        </w:rPr>
        <w:t>乌财科教【2021】96号关于提前下达2022年城乡义务教育项目直达资金校舍安全保障机制经费</w:t>
      </w:r>
      <w:r>
        <w:rPr>
          <w:rFonts w:hint="eastAsia" w:ascii="Times New Roman" w:hAnsi="Times New Roman" w:cs="Times New Roman"/>
          <w:kern w:val="0"/>
          <w:szCs w:val="28"/>
          <w:lang w:val="en-US" w:eastAsia="zh-CN"/>
        </w:rPr>
        <w:t>的通知，2022年中央资金，共安排预算240万元，于2022年年中追加资金，资金安排到位情况240万元，故预算编制科学性指标得分3分。</w:t>
      </w:r>
    </w:p>
    <w:p w14:paraId="302146F9">
      <w:pPr>
        <w:spacing w:line="360" w:lineRule="auto"/>
        <w:ind w:firstLine="560"/>
        <w:rPr>
          <w:rFonts w:hint="default" w:ascii="Times New Roman" w:hAnsi="Times New Roman" w:cs="Times New Roman"/>
          <w:kern w:val="0"/>
          <w:szCs w:val="28"/>
          <w:lang w:val="en-US" w:eastAsia="zh-CN"/>
        </w:rPr>
      </w:pPr>
      <w:r>
        <w:rPr>
          <w:rFonts w:hint="default" w:ascii="Times New Roman" w:hAnsi="Times New Roman" w:cs="Times New Roman"/>
          <w:b/>
          <w:bCs/>
        </w:rPr>
        <w:t>资金分配合理性</w:t>
      </w:r>
      <w:r>
        <w:rPr>
          <w:rFonts w:hint="default" w:ascii="Times New Roman" w:hAnsi="Times New Roman" w:cs="Times New Roman"/>
        </w:rPr>
        <w:t>：</w:t>
      </w:r>
      <w:r>
        <w:rPr>
          <w:rFonts w:hint="eastAsia" w:ascii="Times New Roman" w:hAnsi="Times New Roman" w:cs="Times New Roman"/>
          <w:kern w:val="0"/>
          <w:szCs w:val="28"/>
          <w:lang w:val="en-US" w:eastAsia="zh-CN"/>
        </w:rPr>
        <w:t>我单位项目预算资金有详细的测算依据，与单位实际相适应，该项目资金分配情况：设计费13.18万元、监理费5.50万元、勘察费2.35万元、工程款193.61万元、其他附属费用25.36万元。2022年中央资金，共安排预算240万元，于2022年年中追加资金，资金安排到位情况240万元，截至2022年12月31日，</w:t>
      </w:r>
      <w:r>
        <w:rPr>
          <w:rFonts w:hint="default" w:ascii="Times New Roman" w:hAnsi="Times New Roman" w:cs="Times New Roman"/>
          <w:kern w:val="0"/>
          <w:szCs w:val="28"/>
          <w:lang w:val="en-US" w:eastAsia="zh-CN"/>
        </w:rPr>
        <w:t>乌财科教【2021】96号关于提前下达2022年城乡义务教育项目直达资金校舍安全保障机制经费</w:t>
      </w:r>
      <w:r>
        <w:rPr>
          <w:rFonts w:hint="eastAsia" w:ascii="Times New Roman" w:hAnsi="Times New Roman" w:cs="Times New Roman"/>
          <w:kern w:val="0"/>
          <w:szCs w:val="28"/>
          <w:lang w:val="en-US" w:eastAsia="zh-CN"/>
        </w:rPr>
        <w:t>的通知经费共支出214.64万元，执行率为89.43%，在项目运作后，可以完全覆盖成本</w:t>
      </w:r>
      <w:r>
        <w:rPr>
          <w:rFonts w:hint="default" w:ascii="Times New Roman" w:hAnsi="Times New Roman" w:cs="Times New Roman"/>
          <w:kern w:val="0"/>
          <w:szCs w:val="28"/>
          <w:lang w:val="en-US" w:eastAsia="zh-CN"/>
        </w:rPr>
        <w:t>。故资金分配合理性指标得分3分。</w:t>
      </w:r>
    </w:p>
    <w:p w14:paraId="5E81556E">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综上，该指标满分6分，得分</w:t>
      </w:r>
      <w:r>
        <w:rPr>
          <w:rFonts w:hint="eastAsia" w:ascii="Times New Roman" w:hAnsi="Times New Roman" w:cs="Times New Roman"/>
          <w:b/>
          <w:kern w:val="0"/>
          <w:szCs w:val="28"/>
          <w:lang w:val="en-US" w:eastAsia="zh-CN"/>
        </w:rPr>
        <w:t>6</w:t>
      </w:r>
      <w:r>
        <w:rPr>
          <w:rFonts w:hint="default" w:ascii="Times New Roman" w:hAnsi="Times New Roman" w:cs="Times New Roman"/>
          <w:b/>
          <w:kern w:val="0"/>
          <w:szCs w:val="28"/>
        </w:rPr>
        <w:t>分。</w:t>
      </w:r>
    </w:p>
    <w:p w14:paraId="24011710">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bidi="en-US"/>
        </w:rPr>
      </w:pPr>
      <w:bookmarkStart w:id="36" w:name="_Toc100784604"/>
      <w:bookmarkStart w:id="37" w:name="_Toc67911613"/>
      <w:r>
        <w:rPr>
          <w:rFonts w:hint="default" w:ascii="Times New Roman" w:hAnsi="Times New Roman" w:eastAsia="仿宋" w:cs="Times New Roman"/>
          <w:sz w:val="32"/>
          <w:szCs w:val="32"/>
          <w:lang w:bidi="en-US"/>
        </w:rPr>
        <w:t>（二）项目过程情况</w:t>
      </w:r>
      <w:bookmarkEnd w:id="36"/>
      <w:bookmarkEnd w:id="37"/>
    </w:p>
    <w:p w14:paraId="6459C5DB">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项目过程指标由2个二级指标和5个三级指标构成，权重为20分，实际得分</w:t>
      </w:r>
      <w:r>
        <w:rPr>
          <w:rFonts w:hint="eastAsia" w:ascii="Times New Roman" w:hAnsi="Times New Roman" w:cs="Times New Roman"/>
          <w:szCs w:val="28"/>
          <w:lang w:val="en-US" w:eastAsia="zh-CN"/>
        </w:rPr>
        <w:t>17.47</w:t>
      </w:r>
      <w:r>
        <w:rPr>
          <w:rFonts w:hint="default" w:ascii="Times New Roman" w:hAnsi="Times New Roman" w:cs="Times New Roman"/>
          <w:szCs w:val="28"/>
        </w:rPr>
        <w:t>分。</w:t>
      </w:r>
    </w:p>
    <w:p w14:paraId="55125DAF">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38" w:name="_Toc100784605"/>
      <w:r>
        <w:rPr>
          <w:rFonts w:hint="default" w:ascii="Times New Roman" w:hAnsi="Times New Roman" w:eastAsia="仿宋" w:cs="Times New Roman"/>
          <w:sz w:val="32"/>
          <w:szCs w:val="32"/>
          <w:lang w:bidi="en-US"/>
        </w:rPr>
        <w:t>1.资金管理</w:t>
      </w:r>
      <w:bookmarkEnd w:id="38"/>
    </w:p>
    <w:p w14:paraId="1EB0C231">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资金到位率：</w:t>
      </w:r>
      <w:r>
        <w:rPr>
          <w:rFonts w:hint="default" w:ascii="Times New Roman" w:hAnsi="Times New Roman" w:cs="Times New Roman"/>
          <w:lang w:val="en-US" w:eastAsia="zh-CN"/>
        </w:rPr>
        <w:t>乌财科教【2021】96号关于提前下达2022年城乡义务教育项目直达资金校舍安全保障机制经费</w:t>
      </w:r>
      <w:r>
        <w:rPr>
          <w:rFonts w:hint="eastAsia" w:ascii="Times New Roman" w:hAnsi="Times New Roman" w:cs="Times New Roman"/>
          <w:lang w:val="en-US" w:eastAsia="zh-CN"/>
        </w:rPr>
        <w:t>的通知</w:t>
      </w:r>
      <w:r>
        <w:rPr>
          <w:rFonts w:hint="default" w:ascii="Times New Roman" w:hAnsi="Times New Roman" w:cs="Times New Roman"/>
          <w:b/>
          <w:kern w:val="0"/>
          <w:szCs w:val="28"/>
        </w:rPr>
        <w:t>。</w:t>
      </w:r>
      <w:r>
        <w:rPr>
          <w:rFonts w:hint="eastAsia" w:ascii="Times New Roman" w:hAnsi="Times New Roman" w:cs="Times New Roman"/>
          <w:b w:val="0"/>
          <w:bCs/>
          <w:kern w:val="0"/>
          <w:szCs w:val="28"/>
          <w:lang w:val="en-US" w:eastAsia="zh-CN"/>
        </w:rPr>
        <w:t>2022年1月份，</w:t>
      </w:r>
      <w:r>
        <w:rPr>
          <w:rFonts w:hint="eastAsia" w:ascii="Times New Roman" w:hAnsi="Times New Roman" w:cs="Times New Roman"/>
          <w:b w:val="0"/>
          <w:bCs/>
          <w:kern w:val="0"/>
          <w:szCs w:val="28"/>
          <w:lang w:eastAsia="zh-CN"/>
        </w:rPr>
        <w:t>收到中央资金</w:t>
      </w:r>
      <w:r>
        <w:rPr>
          <w:rFonts w:hint="eastAsia" w:ascii="Times New Roman" w:hAnsi="Times New Roman" w:cs="Times New Roman"/>
          <w:b w:val="0"/>
          <w:bCs/>
          <w:kern w:val="0"/>
          <w:szCs w:val="28"/>
          <w:lang w:val="en-US" w:eastAsia="zh-CN"/>
        </w:rPr>
        <w:t>240万元，资金到位率100%</w:t>
      </w:r>
      <w:r>
        <w:rPr>
          <w:rFonts w:hint="default" w:ascii="Times New Roman" w:hAnsi="Times New Roman" w:cs="Times New Roman"/>
          <w:b/>
          <w:kern w:val="0"/>
          <w:szCs w:val="28"/>
        </w:rPr>
        <w:t>。</w:t>
      </w:r>
      <w:r>
        <w:rPr>
          <w:rFonts w:hint="default" w:ascii="Times New Roman" w:hAnsi="Times New Roman" w:cs="Times New Roman"/>
          <w:kern w:val="0"/>
          <w:szCs w:val="28"/>
        </w:rPr>
        <w:t>故资金到位率指标得分</w:t>
      </w:r>
      <w:r>
        <w:rPr>
          <w:rFonts w:hint="eastAsia" w:ascii="Times New Roman" w:hAnsi="Times New Roman" w:cs="Times New Roman"/>
          <w:kern w:val="0"/>
          <w:szCs w:val="28"/>
          <w:lang w:val="en-US" w:eastAsia="zh-CN"/>
        </w:rPr>
        <w:t>5</w:t>
      </w:r>
      <w:r>
        <w:rPr>
          <w:rFonts w:hint="default" w:ascii="Times New Roman" w:hAnsi="Times New Roman" w:cs="Times New Roman"/>
          <w:kern w:val="0"/>
          <w:szCs w:val="28"/>
        </w:rPr>
        <w:t>分。</w:t>
      </w:r>
    </w:p>
    <w:p w14:paraId="021F0B97">
      <w:pPr>
        <w:spacing w:line="360" w:lineRule="auto"/>
        <w:ind w:firstLine="560"/>
        <w:rPr>
          <w:rFonts w:hint="default" w:ascii="Times New Roman" w:hAnsi="Times New Roman" w:cs="Times New Roman"/>
          <w:lang w:val="en-US" w:eastAsia="zh-CN"/>
        </w:rPr>
      </w:pPr>
      <w:r>
        <w:rPr>
          <w:rFonts w:hint="default" w:ascii="Times New Roman" w:hAnsi="Times New Roman" w:cs="Times New Roman"/>
          <w:b/>
          <w:bCs/>
          <w:szCs w:val="28"/>
        </w:rPr>
        <w:t>预算执行率：</w:t>
      </w:r>
      <w:r>
        <w:rPr>
          <w:rFonts w:hint="default" w:ascii="Times New Roman" w:hAnsi="Times New Roman" w:cs="Times New Roman"/>
          <w:lang w:val="en-US" w:eastAsia="zh-CN"/>
        </w:rPr>
        <w:t>乌财科教【2021】96号关于提前下达2022年城乡义务教育项目直达资金校舍安全保障机制经费</w:t>
      </w:r>
      <w:r>
        <w:rPr>
          <w:rFonts w:hint="eastAsia" w:ascii="Times New Roman" w:hAnsi="Times New Roman" w:cs="Times New Roman"/>
          <w:lang w:val="en-US" w:eastAsia="zh-CN"/>
        </w:rPr>
        <w:t>的通知截止2022年12月31日经费共支出214.64万元，执行率为89.43%。</w:t>
      </w:r>
      <w:r>
        <w:rPr>
          <w:rFonts w:hint="default" w:ascii="Times New Roman" w:hAnsi="Times New Roman" w:cs="Times New Roman"/>
          <w:lang w:val="en-US" w:eastAsia="zh-CN"/>
        </w:rPr>
        <w:t>故预算执行率得分为</w:t>
      </w:r>
      <w:r>
        <w:rPr>
          <w:rFonts w:hint="eastAsia" w:ascii="Times New Roman" w:hAnsi="Times New Roman" w:cs="Times New Roman"/>
          <w:lang w:val="en-US" w:eastAsia="zh-CN"/>
        </w:rPr>
        <w:t>4.47</w:t>
      </w:r>
      <w:r>
        <w:rPr>
          <w:rFonts w:hint="default" w:ascii="Times New Roman" w:hAnsi="Times New Roman" w:cs="Times New Roman"/>
          <w:lang w:val="en-US" w:eastAsia="zh-CN"/>
        </w:rPr>
        <w:t>分。</w:t>
      </w:r>
    </w:p>
    <w:p w14:paraId="2A5C0881">
      <w:pPr>
        <w:spacing w:line="360" w:lineRule="auto"/>
        <w:ind w:firstLine="560"/>
        <w:rPr>
          <w:rFonts w:hint="default"/>
          <w:lang w:val="en-US" w:eastAsia="zh-CN"/>
        </w:rPr>
      </w:pPr>
      <w:r>
        <w:rPr>
          <w:rFonts w:hint="eastAsia"/>
          <w:lang w:val="en-US" w:eastAsia="zh-CN"/>
        </w:rPr>
        <w:t>具体支付情况如下：（1）</w:t>
      </w:r>
      <w:r>
        <w:rPr>
          <w:rFonts w:hint="eastAsia" w:ascii="Times New Roman" w:hAnsi="Times New Roman" w:cs="Times New Roman"/>
          <w:szCs w:val="28"/>
          <w:lang w:val="en-US" w:eastAsia="zh-CN"/>
        </w:rPr>
        <w:t>设计费：2022年8月份支付给新疆路智兴项目管理有限责任公司，实际支付13.18万元；（2）监理费：2022年12月份支付给新疆路智兴项目管理有限责任公司，实际支付5.50万元；（3）勘察费：2022年8月份支付给新疆岩土工程勘察设计研究院有限公司乌鲁木齐县分公司，实际支付2.35万；（4）工程款：2022年12月份支付给乌鲁木齐典创国际工程施工有限公司，实际支付193.61万元。</w:t>
      </w:r>
    </w:p>
    <w:p w14:paraId="4B574E78">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资金使用合规性：</w:t>
      </w:r>
      <w:r>
        <w:rPr>
          <w:rFonts w:hint="default" w:ascii="Times New Roman" w:hAnsi="Times New Roman" w:cs="Times New Roman"/>
          <w:szCs w:val="28"/>
        </w:rPr>
        <w:t>本项目资金的使用符合国家财经法规和财务管理制度以及有关专项资金管理办法的规定。同时，资金的拨付有完整的审批程序和手续，符合项目预算批复或合同规定的用途，不存在截留、挤占、挪用、虚列支出等情况。故资金使用合规性得分为3分。</w:t>
      </w:r>
    </w:p>
    <w:p w14:paraId="7D2A25EF">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综上，该指标满分13分，得分</w:t>
      </w:r>
      <w:r>
        <w:rPr>
          <w:rFonts w:hint="eastAsia" w:ascii="Times New Roman" w:hAnsi="Times New Roman" w:cs="Times New Roman"/>
          <w:b/>
          <w:kern w:val="0"/>
          <w:szCs w:val="28"/>
          <w:lang w:val="en-US" w:eastAsia="zh-CN"/>
        </w:rPr>
        <w:t>12.47</w:t>
      </w:r>
      <w:r>
        <w:rPr>
          <w:rFonts w:hint="default" w:ascii="Times New Roman" w:hAnsi="Times New Roman" w:cs="Times New Roman"/>
          <w:b/>
          <w:kern w:val="0"/>
          <w:szCs w:val="28"/>
        </w:rPr>
        <w:t>分。</w:t>
      </w:r>
    </w:p>
    <w:p w14:paraId="23DDCE78">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39" w:name="_Toc100784606"/>
      <w:r>
        <w:rPr>
          <w:rFonts w:hint="default" w:ascii="Times New Roman" w:hAnsi="Times New Roman" w:eastAsia="仿宋" w:cs="Times New Roman"/>
          <w:sz w:val="32"/>
          <w:szCs w:val="32"/>
          <w:lang w:bidi="en-US"/>
        </w:rPr>
        <w:t>2.组织实施</w:t>
      </w:r>
      <w:bookmarkEnd w:id="39"/>
    </w:p>
    <w:p w14:paraId="5FE333F5">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管理制度健全性</w:t>
      </w:r>
      <w:r>
        <w:rPr>
          <w:rFonts w:hint="default" w:ascii="Times New Roman" w:hAnsi="Times New Roman" w:cs="Times New Roman"/>
          <w:szCs w:val="28"/>
        </w:rPr>
        <w:t>：</w:t>
      </w:r>
      <w:r>
        <w:rPr>
          <w:rFonts w:hint="eastAsia" w:ascii="Times New Roman" w:hAnsi="Times New Roman" w:cs="Times New Roman"/>
          <w:szCs w:val="28"/>
          <w:lang w:val="en-US" w:eastAsia="zh-CN"/>
        </w:rPr>
        <w:t>乌鲁木齐县小东沟小学</w:t>
      </w:r>
      <w:r>
        <w:rPr>
          <w:rFonts w:hint="default" w:ascii="Times New Roman" w:hAnsi="Times New Roman" w:cs="Times New Roman"/>
          <w:szCs w:val="28"/>
        </w:rPr>
        <w:t>已制定相应的财务和业务管理制度，且制度合法、合规、完整，为项目顺利实施提供重要保障。</w:t>
      </w:r>
      <w:r>
        <w:rPr>
          <w:rFonts w:hint="eastAsia" w:ascii="Times New Roman" w:hAnsi="Times New Roman" w:cs="Times New Roman"/>
          <w:szCs w:val="28"/>
        </w:rPr>
        <w:t>各项财务和业务管理制度随着业务和经济发展需要不断的完善和优化。</w:t>
      </w:r>
      <w:r>
        <w:rPr>
          <w:rFonts w:ascii="Times New Roman" w:hAnsi="Times New Roman" w:cs="Times New Roman"/>
          <w:szCs w:val="28"/>
        </w:rPr>
        <w:t>故管理制度健全性得分为</w:t>
      </w:r>
      <w:r>
        <w:rPr>
          <w:rFonts w:hint="eastAsia" w:ascii="Times New Roman" w:hAnsi="Times New Roman" w:cs="Times New Roman"/>
          <w:szCs w:val="28"/>
          <w:lang w:val="en-US" w:eastAsia="zh-CN"/>
        </w:rPr>
        <w:t>2</w:t>
      </w:r>
      <w:r>
        <w:rPr>
          <w:rFonts w:ascii="Times New Roman" w:hAnsi="Times New Roman" w:cs="Times New Roman"/>
          <w:szCs w:val="28"/>
        </w:rPr>
        <w:t>分</w:t>
      </w:r>
      <w:r>
        <w:rPr>
          <w:rFonts w:hint="default" w:ascii="Times New Roman" w:hAnsi="Times New Roman" w:cs="Times New Roman"/>
          <w:szCs w:val="28"/>
        </w:rPr>
        <w:t>。</w:t>
      </w:r>
    </w:p>
    <w:p w14:paraId="3416D5C8">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制度执行有效性：</w:t>
      </w:r>
      <w:r>
        <w:rPr>
          <w:rFonts w:hint="default" w:ascii="Times New Roman" w:hAnsi="Times New Roman" w:cs="Times New Roman"/>
          <w:szCs w:val="28"/>
        </w:rPr>
        <w:t>根据现场调研和资料抽查情况，</w:t>
      </w:r>
      <w:r>
        <w:rPr>
          <w:rFonts w:hint="eastAsia" w:ascii="Times New Roman" w:hAnsi="Times New Roman" w:cs="Times New Roman"/>
          <w:szCs w:val="28"/>
          <w:lang w:val="en-US" w:eastAsia="zh-CN"/>
        </w:rPr>
        <w:t>乌鲁木齐县小东沟小学</w:t>
      </w:r>
      <w:r>
        <w:rPr>
          <w:rFonts w:hint="default" w:ascii="Times New Roman" w:hAnsi="Times New Roman" w:cs="Times New Roman"/>
          <w:szCs w:val="28"/>
        </w:rPr>
        <w:t>严格遵守相关法律法规和相关管理规定，项目调整及支出调整手续完备，整体管理合理有序，项目完成后，及时将会计凭证、固定资产入库单等相关资料分类归档，制度执行</w:t>
      </w:r>
      <w:r>
        <w:rPr>
          <w:rFonts w:hint="eastAsia" w:ascii="Times New Roman" w:hAnsi="Times New Roman" w:cs="Times New Roman"/>
          <w:szCs w:val="28"/>
          <w:lang w:val="en-US" w:eastAsia="zh-CN"/>
        </w:rPr>
        <w:t>情况有待进一步提高</w:t>
      </w:r>
      <w:r>
        <w:rPr>
          <w:rFonts w:hint="default" w:ascii="Times New Roman" w:hAnsi="Times New Roman" w:cs="Times New Roman"/>
          <w:szCs w:val="28"/>
        </w:rPr>
        <w:t>。故制度执行有效性指标得分</w:t>
      </w:r>
      <w:r>
        <w:rPr>
          <w:rFonts w:hint="eastAsia" w:ascii="Times New Roman" w:hAnsi="Times New Roman" w:cs="Times New Roman"/>
          <w:szCs w:val="28"/>
          <w:lang w:val="en-US" w:eastAsia="zh-CN"/>
        </w:rPr>
        <w:t>3</w:t>
      </w:r>
      <w:r>
        <w:rPr>
          <w:rFonts w:hint="default" w:ascii="Times New Roman" w:hAnsi="Times New Roman" w:cs="Times New Roman"/>
          <w:szCs w:val="28"/>
        </w:rPr>
        <w:t>分。</w:t>
      </w:r>
    </w:p>
    <w:p w14:paraId="1C455817">
      <w:pPr>
        <w:autoSpaceDE w:val="0"/>
        <w:spacing w:line="600" w:lineRule="exact"/>
        <w:ind w:firstLine="562"/>
        <w:rPr>
          <w:rFonts w:hint="default" w:ascii="Times New Roman" w:hAnsi="Times New Roman" w:cs="Times New Roman"/>
          <w:b/>
          <w:kern w:val="0"/>
          <w:szCs w:val="28"/>
        </w:rPr>
      </w:pPr>
      <w:bookmarkStart w:id="40" w:name="_Hlk67670213"/>
      <w:r>
        <w:rPr>
          <w:rFonts w:hint="default" w:ascii="Times New Roman" w:hAnsi="Times New Roman" w:cs="Times New Roman"/>
          <w:b/>
          <w:kern w:val="0"/>
          <w:szCs w:val="28"/>
        </w:rPr>
        <w:t>综上，该指标满分7分，得分</w:t>
      </w:r>
      <w:r>
        <w:rPr>
          <w:rFonts w:hint="eastAsia" w:ascii="Times New Roman" w:hAnsi="Times New Roman" w:cs="Times New Roman"/>
          <w:b/>
          <w:kern w:val="0"/>
          <w:szCs w:val="28"/>
          <w:lang w:val="en-US" w:eastAsia="zh-CN"/>
        </w:rPr>
        <w:t>5</w:t>
      </w:r>
      <w:r>
        <w:rPr>
          <w:rFonts w:hint="default" w:ascii="Times New Roman" w:hAnsi="Times New Roman" w:cs="Times New Roman"/>
          <w:b/>
          <w:kern w:val="0"/>
          <w:szCs w:val="28"/>
        </w:rPr>
        <w:t>分。</w:t>
      </w:r>
    </w:p>
    <w:bookmarkEnd w:id="40"/>
    <w:p w14:paraId="18D03005">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bidi="en-US"/>
        </w:rPr>
      </w:pPr>
      <w:bookmarkStart w:id="41" w:name="_Toc67911614"/>
      <w:bookmarkStart w:id="42" w:name="_Toc100784607"/>
      <w:r>
        <w:rPr>
          <w:rFonts w:hint="default" w:ascii="Times New Roman" w:hAnsi="Times New Roman" w:eastAsia="仿宋" w:cs="Times New Roman"/>
          <w:sz w:val="32"/>
          <w:szCs w:val="32"/>
          <w:lang w:bidi="en-US"/>
        </w:rPr>
        <w:t>（三）项目产出情况</w:t>
      </w:r>
      <w:bookmarkEnd w:id="41"/>
      <w:bookmarkEnd w:id="42"/>
    </w:p>
    <w:p w14:paraId="05FA9B12">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项目产出指标由4个二级指标和</w:t>
      </w:r>
      <w:r>
        <w:rPr>
          <w:rFonts w:hint="eastAsia" w:ascii="Times New Roman" w:hAnsi="Times New Roman" w:cs="Times New Roman"/>
          <w:szCs w:val="28"/>
          <w:lang w:val="en-US" w:eastAsia="zh-CN"/>
        </w:rPr>
        <w:t>7</w:t>
      </w:r>
      <w:r>
        <w:rPr>
          <w:rFonts w:hint="default" w:ascii="Times New Roman" w:hAnsi="Times New Roman" w:cs="Times New Roman"/>
          <w:szCs w:val="28"/>
        </w:rPr>
        <w:t>个三级指标构成，权重为40分，实际得分</w:t>
      </w:r>
      <w:r>
        <w:rPr>
          <w:rFonts w:hint="eastAsia" w:ascii="Times New Roman" w:hAnsi="Times New Roman" w:cs="Times New Roman"/>
          <w:szCs w:val="28"/>
          <w:lang w:val="en-US" w:eastAsia="zh-CN"/>
        </w:rPr>
        <w:t>40</w:t>
      </w:r>
      <w:r>
        <w:rPr>
          <w:rFonts w:hint="default" w:ascii="Times New Roman" w:hAnsi="Times New Roman" w:cs="Times New Roman"/>
          <w:szCs w:val="28"/>
        </w:rPr>
        <w:t>分。</w:t>
      </w:r>
    </w:p>
    <w:p w14:paraId="1AD4FDB0">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43" w:name="_Toc100784608"/>
      <w:r>
        <w:rPr>
          <w:rFonts w:hint="default" w:ascii="Times New Roman" w:hAnsi="Times New Roman" w:eastAsia="仿宋" w:cs="Times New Roman"/>
          <w:sz w:val="32"/>
          <w:szCs w:val="32"/>
          <w:lang w:bidi="en-US"/>
        </w:rPr>
        <w:t>1.产出数量</w:t>
      </w:r>
      <w:bookmarkEnd w:id="43"/>
    </w:p>
    <w:p w14:paraId="1C7CC7A1">
      <w:pPr>
        <w:spacing w:line="360" w:lineRule="auto"/>
        <w:ind w:firstLine="560"/>
        <w:rPr>
          <w:rFonts w:hint="eastAsia" w:ascii="Times New Roman" w:hAnsi="Times New Roman" w:cs="Times New Roman"/>
          <w:bCs/>
          <w:szCs w:val="28"/>
          <w:lang w:val="en-US" w:eastAsia="zh-CN"/>
        </w:rPr>
      </w:pPr>
      <w:r>
        <w:rPr>
          <w:rFonts w:hint="default" w:ascii="Times New Roman" w:hAnsi="Times New Roman" w:cs="Times New Roman"/>
          <w:bCs/>
          <w:szCs w:val="28"/>
        </w:rPr>
        <w:t>数量指标“</w:t>
      </w:r>
      <w:r>
        <w:rPr>
          <w:rFonts w:hint="eastAsia" w:ascii="Times New Roman" w:hAnsi="Times New Roman" w:cs="Times New Roman"/>
          <w:bCs/>
          <w:szCs w:val="28"/>
          <w:lang w:val="en-US" w:eastAsia="zh-CN"/>
        </w:rPr>
        <w:t>项目体积</w:t>
      </w:r>
      <w:r>
        <w:rPr>
          <w:rFonts w:hint="default" w:ascii="Times New Roman" w:hAnsi="Times New Roman" w:cs="Times New Roman"/>
          <w:bCs/>
          <w:szCs w:val="28"/>
        </w:rPr>
        <w:t>”的目标值是</w:t>
      </w:r>
      <w:r>
        <w:rPr>
          <w:rFonts w:hint="eastAsia" w:ascii="Times New Roman" w:hAnsi="Times New Roman" w:cs="Times New Roman"/>
          <w:bCs/>
          <w:szCs w:val="28"/>
          <w:lang w:val="en-US" w:eastAsia="zh-CN"/>
        </w:rPr>
        <w:t>300立方米</w:t>
      </w:r>
      <w:r>
        <w:rPr>
          <w:rFonts w:hint="default" w:ascii="Times New Roman" w:hAnsi="Times New Roman" w:cs="Times New Roman"/>
          <w:bCs/>
          <w:szCs w:val="28"/>
        </w:rPr>
        <w:t>，2022年度我单位实际完成</w:t>
      </w:r>
      <w:r>
        <w:rPr>
          <w:rFonts w:hint="eastAsia" w:ascii="Times New Roman" w:hAnsi="Times New Roman" w:cs="Times New Roman"/>
          <w:bCs/>
          <w:szCs w:val="28"/>
          <w:lang w:val="en-US" w:eastAsia="zh-CN"/>
        </w:rPr>
        <w:t>300立方米；</w:t>
      </w:r>
    </w:p>
    <w:p w14:paraId="317D6C3F">
      <w:pPr>
        <w:spacing w:line="360" w:lineRule="auto"/>
        <w:ind w:firstLine="560"/>
        <w:rPr>
          <w:rFonts w:hint="eastAsia" w:ascii="Times New Roman" w:hAnsi="Times New Roman" w:cs="Times New Roman"/>
          <w:bCs/>
          <w:szCs w:val="28"/>
          <w:lang w:val="en-US" w:eastAsia="zh-CN"/>
        </w:rPr>
      </w:pPr>
      <w:r>
        <w:rPr>
          <w:rFonts w:hint="default" w:ascii="Times New Roman" w:hAnsi="Times New Roman" w:cs="Times New Roman"/>
          <w:bCs/>
          <w:szCs w:val="28"/>
        </w:rPr>
        <w:t>数量指标“标准厂房”的目标值是室外电缆电线长度</w:t>
      </w:r>
      <w:r>
        <w:rPr>
          <w:rFonts w:hint="eastAsia" w:ascii="Times New Roman" w:hAnsi="Times New Roman" w:cs="Times New Roman"/>
          <w:bCs/>
          <w:szCs w:val="28"/>
          <w:lang w:val="en-US" w:eastAsia="zh-CN"/>
        </w:rPr>
        <w:t>315米</w:t>
      </w:r>
      <w:r>
        <w:rPr>
          <w:rFonts w:hint="default" w:ascii="Times New Roman" w:hAnsi="Times New Roman" w:cs="Times New Roman"/>
          <w:bCs/>
          <w:szCs w:val="28"/>
        </w:rPr>
        <w:t>，2022年度我单位</w:t>
      </w:r>
      <w:r>
        <w:rPr>
          <w:rFonts w:hint="eastAsia" w:ascii="Times New Roman" w:hAnsi="Times New Roman" w:cs="Times New Roman"/>
          <w:bCs/>
          <w:szCs w:val="28"/>
          <w:lang w:val="en-US" w:eastAsia="zh-CN"/>
        </w:rPr>
        <w:t>完成</w:t>
      </w:r>
      <w:r>
        <w:rPr>
          <w:rFonts w:hint="default" w:ascii="Times New Roman" w:hAnsi="Times New Roman" w:cs="Times New Roman"/>
          <w:bCs/>
          <w:szCs w:val="28"/>
        </w:rPr>
        <w:t>室外电缆电线长度</w:t>
      </w:r>
      <w:r>
        <w:rPr>
          <w:rFonts w:hint="eastAsia" w:ascii="Times New Roman" w:hAnsi="Times New Roman" w:cs="Times New Roman"/>
          <w:bCs/>
          <w:szCs w:val="28"/>
          <w:lang w:val="en-US" w:eastAsia="zh-CN"/>
        </w:rPr>
        <w:t>315米；</w:t>
      </w:r>
    </w:p>
    <w:p w14:paraId="706BA8E8">
      <w:pPr>
        <w:spacing w:line="360" w:lineRule="auto"/>
        <w:ind w:firstLine="560"/>
        <w:rPr>
          <w:rFonts w:hint="default" w:ascii="Times New Roman" w:hAnsi="Times New Roman" w:eastAsia="仿宋_GB2312" w:cs="Times New Roman"/>
          <w:bCs/>
          <w:szCs w:val="28"/>
          <w:lang w:val="en-US" w:eastAsia="zh-CN"/>
        </w:rPr>
      </w:pPr>
      <w:r>
        <w:rPr>
          <w:rFonts w:hint="default" w:ascii="Times New Roman" w:hAnsi="Times New Roman" w:cs="Times New Roman"/>
          <w:bCs/>
          <w:szCs w:val="28"/>
        </w:rPr>
        <w:t>数量指标“GBL配电柜”的目标值是</w:t>
      </w:r>
      <w:r>
        <w:rPr>
          <w:rFonts w:hint="eastAsia" w:ascii="Times New Roman" w:hAnsi="Times New Roman" w:cs="Times New Roman"/>
          <w:bCs/>
          <w:szCs w:val="28"/>
          <w:lang w:val="en-US" w:eastAsia="zh-CN"/>
        </w:rPr>
        <w:t>3台</w:t>
      </w:r>
      <w:r>
        <w:rPr>
          <w:rFonts w:hint="default" w:ascii="Times New Roman" w:hAnsi="Times New Roman" w:cs="Times New Roman"/>
          <w:bCs/>
          <w:szCs w:val="28"/>
        </w:rPr>
        <w:t>，2022年度我单位</w:t>
      </w:r>
      <w:r>
        <w:rPr>
          <w:rFonts w:hint="eastAsia" w:ascii="Times New Roman" w:hAnsi="Times New Roman" w:cs="Times New Roman"/>
          <w:bCs/>
          <w:szCs w:val="28"/>
          <w:lang w:val="en-US" w:eastAsia="zh-CN"/>
        </w:rPr>
        <w:t>实际完成3台。</w:t>
      </w:r>
    </w:p>
    <w:p w14:paraId="6F80F15C">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实际完成率：</w:t>
      </w:r>
      <w:r>
        <w:rPr>
          <w:rFonts w:hint="eastAsia" w:ascii="Times New Roman" w:hAnsi="Times New Roman" w:cs="Times New Roman"/>
          <w:szCs w:val="28"/>
          <w:lang w:val="en-US" w:eastAsia="zh-CN"/>
        </w:rPr>
        <w:t>100%</w:t>
      </w:r>
      <w:r>
        <w:rPr>
          <w:rFonts w:hint="default" w:ascii="Times New Roman" w:hAnsi="Times New Roman" w:cs="Times New Roman"/>
          <w:szCs w:val="28"/>
        </w:rPr>
        <w:t>，故实际完成率得分为</w:t>
      </w:r>
      <w:r>
        <w:rPr>
          <w:rFonts w:hint="eastAsia" w:ascii="Times New Roman" w:hAnsi="Times New Roman" w:cs="Times New Roman"/>
          <w:szCs w:val="28"/>
          <w:lang w:val="en-US" w:eastAsia="zh-CN"/>
        </w:rPr>
        <w:t>10</w:t>
      </w:r>
      <w:r>
        <w:rPr>
          <w:rFonts w:hint="default" w:ascii="Times New Roman" w:hAnsi="Times New Roman" w:cs="Times New Roman"/>
          <w:szCs w:val="28"/>
        </w:rPr>
        <w:t>分。</w:t>
      </w:r>
    </w:p>
    <w:p w14:paraId="5B1E5E24">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44" w:name="_Toc100784609"/>
      <w:r>
        <w:rPr>
          <w:rFonts w:hint="default" w:ascii="Times New Roman" w:hAnsi="Times New Roman" w:eastAsia="仿宋" w:cs="Times New Roman"/>
          <w:sz w:val="32"/>
          <w:szCs w:val="32"/>
          <w:lang w:bidi="en-US"/>
        </w:rPr>
        <w:t>2.产出质量</w:t>
      </w:r>
      <w:bookmarkEnd w:id="44"/>
    </w:p>
    <w:p w14:paraId="587F9963">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项目建设合格率：</w:t>
      </w:r>
      <w:r>
        <w:rPr>
          <w:rFonts w:hint="eastAsia" w:ascii="Times New Roman" w:hAnsi="Times New Roman" w:cs="Times New Roman"/>
          <w:lang w:val="en-US" w:eastAsia="zh-CN"/>
        </w:rPr>
        <w:t>质量指标“</w:t>
      </w:r>
      <w:r>
        <w:rPr>
          <w:rFonts w:hint="default" w:ascii="Times New Roman" w:hAnsi="Times New Roman" w:cs="Times New Roman"/>
          <w:lang w:val="en-US" w:eastAsia="zh-CN"/>
        </w:rPr>
        <w:t>项目建设合格率</w:t>
      </w:r>
      <w:r>
        <w:rPr>
          <w:rFonts w:hint="eastAsia" w:ascii="Times New Roman" w:hAnsi="Times New Roman" w:cs="Times New Roman"/>
          <w:lang w:val="en-US" w:eastAsia="zh-CN"/>
        </w:rPr>
        <w:t>”</w:t>
      </w:r>
      <w:r>
        <w:rPr>
          <w:rFonts w:hint="default" w:ascii="Times New Roman" w:hAnsi="Times New Roman" w:cs="Times New Roman"/>
          <w:bCs/>
          <w:szCs w:val="28"/>
        </w:rPr>
        <w:t>的目标值是</w:t>
      </w:r>
      <w:r>
        <w:rPr>
          <w:rFonts w:hint="eastAsia" w:ascii="Times New Roman" w:hAnsi="Times New Roman" w:cs="Times New Roman"/>
          <w:bCs/>
          <w:szCs w:val="28"/>
          <w:lang w:val="en-US" w:eastAsia="zh-CN"/>
        </w:rPr>
        <w:t>100%</w:t>
      </w:r>
      <w:r>
        <w:rPr>
          <w:rFonts w:hint="default" w:ascii="Times New Roman" w:hAnsi="Times New Roman" w:cs="Times New Roman"/>
          <w:bCs/>
          <w:szCs w:val="28"/>
        </w:rPr>
        <w:t>，2022年度我单位</w:t>
      </w:r>
      <w:r>
        <w:rPr>
          <w:rFonts w:hint="eastAsia" w:ascii="Times New Roman" w:hAnsi="Times New Roman" w:cs="Times New Roman"/>
          <w:bCs/>
          <w:szCs w:val="28"/>
          <w:lang w:val="en-US" w:eastAsia="zh-CN"/>
        </w:rPr>
        <w:t>实际完成100%；</w:t>
      </w:r>
    </w:p>
    <w:p w14:paraId="4FA81935">
      <w:pPr>
        <w:spacing w:line="360" w:lineRule="auto"/>
        <w:ind w:firstLine="562"/>
        <w:rPr>
          <w:rFonts w:hint="default" w:ascii="Times New Roman" w:hAnsi="Times New Roman" w:cs="Times New Roman"/>
          <w:szCs w:val="28"/>
        </w:rPr>
      </w:pPr>
      <w:r>
        <w:rPr>
          <w:rFonts w:hint="eastAsia" w:ascii="Times New Roman" w:hAnsi="Times New Roman" w:cs="Times New Roman"/>
          <w:lang w:val="en-US" w:eastAsia="zh-CN"/>
        </w:rPr>
        <w:t>质量指标“</w:t>
      </w:r>
      <w:r>
        <w:rPr>
          <w:rFonts w:hint="default" w:ascii="Times New Roman" w:hAnsi="Times New Roman" w:cs="Times New Roman"/>
          <w:lang w:val="en-US" w:eastAsia="zh-CN"/>
        </w:rPr>
        <w:t>产品验收合格率</w:t>
      </w:r>
      <w:r>
        <w:rPr>
          <w:rFonts w:hint="eastAsia" w:ascii="Times New Roman" w:hAnsi="Times New Roman" w:cs="Times New Roman"/>
          <w:lang w:val="en-US" w:eastAsia="zh-CN"/>
        </w:rPr>
        <w:t>”</w:t>
      </w:r>
      <w:r>
        <w:rPr>
          <w:rFonts w:hint="default" w:ascii="Times New Roman" w:hAnsi="Times New Roman" w:cs="Times New Roman"/>
          <w:bCs/>
          <w:szCs w:val="28"/>
        </w:rPr>
        <w:t>的目标值是</w:t>
      </w:r>
      <w:r>
        <w:rPr>
          <w:rFonts w:hint="eastAsia" w:ascii="Times New Roman" w:hAnsi="Times New Roman" w:cs="Times New Roman"/>
          <w:bCs/>
          <w:szCs w:val="28"/>
          <w:lang w:val="en-US" w:eastAsia="zh-CN"/>
        </w:rPr>
        <w:t>≥95%</w:t>
      </w:r>
      <w:r>
        <w:rPr>
          <w:rFonts w:hint="default" w:ascii="Times New Roman" w:hAnsi="Times New Roman" w:cs="Times New Roman"/>
          <w:bCs/>
          <w:szCs w:val="28"/>
        </w:rPr>
        <w:t>，2022年度我单位</w:t>
      </w:r>
      <w:r>
        <w:rPr>
          <w:rFonts w:hint="eastAsia" w:ascii="Times New Roman" w:hAnsi="Times New Roman" w:cs="Times New Roman"/>
          <w:bCs/>
          <w:szCs w:val="28"/>
          <w:lang w:val="en-US" w:eastAsia="zh-CN"/>
        </w:rPr>
        <w:t>实际完成95%</w:t>
      </w:r>
      <w:r>
        <w:rPr>
          <w:rFonts w:hint="default" w:ascii="Times New Roman" w:hAnsi="Times New Roman" w:cs="Times New Roman"/>
          <w:szCs w:val="28"/>
        </w:rPr>
        <w:t>。</w:t>
      </w:r>
    </w:p>
    <w:p w14:paraId="31836CD5">
      <w:pPr>
        <w:spacing w:line="360" w:lineRule="auto"/>
        <w:ind w:firstLine="562"/>
        <w:rPr>
          <w:rFonts w:hint="default" w:ascii="Times New Roman" w:hAnsi="Times New Roman" w:cs="Times New Roman"/>
          <w:szCs w:val="28"/>
        </w:rPr>
      </w:pPr>
      <w:r>
        <w:rPr>
          <w:rFonts w:hint="eastAsia" w:ascii="仿宋_GB2312" w:hAnsi="仿宋_GB2312" w:eastAsia="仿宋_GB2312" w:cs="仿宋_GB2312"/>
          <w:b/>
          <w:bCs/>
          <w:sz w:val="28"/>
          <w:szCs w:val="28"/>
        </w:rPr>
        <w:t>质量达标率：</w:t>
      </w:r>
      <w:r>
        <w:rPr>
          <w:rFonts w:hint="eastAsia" w:ascii="Times New Roman" w:hAnsi="Times New Roman" w:cs="Times New Roman"/>
          <w:szCs w:val="28"/>
          <w:lang w:val="en-US" w:eastAsia="zh-CN"/>
        </w:rPr>
        <w:t>我单位实际完成率100%，</w:t>
      </w:r>
      <w:r>
        <w:rPr>
          <w:rFonts w:hint="eastAsia" w:ascii="Times New Roman" w:hAnsi="Times New Roman" w:cs="Times New Roman"/>
          <w:szCs w:val="28"/>
        </w:rPr>
        <w:t xml:space="preserve"> </w:t>
      </w:r>
      <w:r>
        <w:rPr>
          <w:rFonts w:hint="eastAsia" w:ascii="Times New Roman" w:hAnsi="Times New Roman" w:cs="Times New Roman"/>
          <w:szCs w:val="28"/>
          <w:lang w:val="en-US" w:eastAsia="zh-CN"/>
        </w:rPr>
        <w:t>得分为10分。</w:t>
      </w:r>
    </w:p>
    <w:p w14:paraId="13AF1B4A">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45" w:name="_Toc100784610"/>
      <w:r>
        <w:rPr>
          <w:rFonts w:hint="default" w:ascii="Times New Roman" w:hAnsi="Times New Roman" w:eastAsia="仿宋" w:cs="Times New Roman"/>
          <w:sz w:val="32"/>
          <w:szCs w:val="32"/>
          <w:lang w:bidi="en-US"/>
        </w:rPr>
        <w:t>3.产出时效</w:t>
      </w:r>
      <w:bookmarkEnd w:id="45"/>
    </w:p>
    <w:p w14:paraId="79C56310">
      <w:pPr>
        <w:spacing w:line="360" w:lineRule="auto"/>
        <w:ind w:firstLine="562"/>
        <w:rPr>
          <w:rFonts w:hint="eastAsia" w:ascii="Times New Roman" w:hAnsi="Times New Roman" w:cs="Times New Roman"/>
          <w:szCs w:val="28"/>
          <w:lang w:eastAsia="zh-CN"/>
        </w:rPr>
      </w:pPr>
      <w:r>
        <w:rPr>
          <w:rFonts w:hint="default" w:ascii="Times New Roman" w:hAnsi="Times New Roman" w:cs="Times New Roman"/>
          <w:b/>
          <w:bCs/>
          <w:szCs w:val="28"/>
        </w:rPr>
        <w:t>项目按期完成率：</w:t>
      </w:r>
      <w:r>
        <w:rPr>
          <w:rFonts w:hint="eastAsia" w:ascii="Times New Roman" w:hAnsi="Times New Roman" w:cs="Times New Roman"/>
          <w:szCs w:val="28"/>
          <w:lang w:eastAsia="zh-CN"/>
        </w:rPr>
        <w:t>本项目按照</w:t>
      </w:r>
      <w:r>
        <w:rPr>
          <w:rFonts w:hint="eastAsia" w:ascii="Times New Roman" w:hAnsi="Times New Roman" w:cs="Times New Roman"/>
          <w:szCs w:val="28"/>
          <w:lang w:val="en-US" w:eastAsia="zh-CN"/>
        </w:rPr>
        <w:t>年初计划</w:t>
      </w:r>
      <w:r>
        <w:rPr>
          <w:rFonts w:hint="eastAsia" w:ascii="Times New Roman" w:hAnsi="Times New Roman" w:cs="Times New Roman"/>
          <w:szCs w:val="28"/>
          <w:lang w:eastAsia="zh-CN"/>
        </w:rPr>
        <w:t>，已在规定的时间（202</w:t>
      </w:r>
      <w:r>
        <w:rPr>
          <w:rFonts w:hint="eastAsia" w:ascii="Times New Roman" w:hAnsi="Times New Roman" w:cs="Times New Roman"/>
          <w:szCs w:val="28"/>
          <w:lang w:val="en-US" w:eastAsia="zh-CN"/>
        </w:rPr>
        <w:t>2</w:t>
      </w:r>
      <w:r>
        <w:rPr>
          <w:rFonts w:hint="eastAsia" w:ascii="Times New Roman" w:hAnsi="Times New Roman" w:cs="Times New Roman"/>
          <w:szCs w:val="28"/>
          <w:lang w:eastAsia="zh-CN"/>
        </w:rPr>
        <w:t>年1月1日至202</w:t>
      </w:r>
      <w:r>
        <w:rPr>
          <w:rFonts w:hint="eastAsia" w:ascii="Times New Roman" w:hAnsi="Times New Roman" w:cs="Times New Roman"/>
          <w:szCs w:val="28"/>
          <w:lang w:val="en-US" w:eastAsia="zh-CN"/>
        </w:rPr>
        <w:t>2</w:t>
      </w:r>
      <w:r>
        <w:rPr>
          <w:rFonts w:hint="eastAsia" w:ascii="Times New Roman" w:hAnsi="Times New Roman" w:cs="Times New Roman"/>
          <w:szCs w:val="28"/>
          <w:lang w:eastAsia="zh-CN"/>
        </w:rPr>
        <w:t>年12月31日）完成。</w:t>
      </w:r>
      <w:r>
        <w:rPr>
          <w:rFonts w:hint="eastAsia" w:ascii="Times New Roman" w:hAnsi="Times New Roman" w:cs="Times New Roman"/>
          <w:szCs w:val="28"/>
          <w:lang w:val="en-US" w:eastAsia="zh-CN"/>
        </w:rPr>
        <w:t>时效指标“项目按时完成率”</w:t>
      </w:r>
      <w:r>
        <w:rPr>
          <w:rFonts w:hint="eastAsia" w:ascii="Times New Roman" w:hAnsi="Times New Roman" w:cs="Times New Roman"/>
          <w:szCs w:val="28"/>
        </w:rPr>
        <w:t>的目标值为</w:t>
      </w:r>
      <w:r>
        <w:rPr>
          <w:rFonts w:hint="eastAsia" w:ascii="Times New Roman" w:hAnsi="Times New Roman" w:cs="Times New Roman"/>
          <w:szCs w:val="28"/>
          <w:lang w:val="en-US" w:eastAsia="zh-CN"/>
        </w:rPr>
        <w:t>95%，</w:t>
      </w:r>
      <w:r>
        <w:rPr>
          <w:rFonts w:hint="eastAsia" w:ascii="Times New Roman" w:hAnsi="Times New Roman" w:cs="Times New Roman"/>
          <w:szCs w:val="28"/>
        </w:rPr>
        <w:t>完成</w:t>
      </w:r>
      <w:r>
        <w:rPr>
          <w:rFonts w:hint="eastAsia" w:ascii="Times New Roman" w:hAnsi="Times New Roman" w:cs="Times New Roman"/>
          <w:szCs w:val="28"/>
          <w:lang w:eastAsia="zh-CN"/>
        </w:rPr>
        <w:t>率</w:t>
      </w:r>
      <w:r>
        <w:rPr>
          <w:rFonts w:hint="eastAsia" w:ascii="Times New Roman" w:hAnsi="Times New Roman" w:cs="Times New Roman"/>
          <w:szCs w:val="28"/>
          <w:lang w:val="en-US" w:eastAsia="zh-CN"/>
        </w:rPr>
        <w:t>95</w:t>
      </w:r>
      <w:r>
        <w:rPr>
          <w:rFonts w:hint="eastAsia" w:ascii="Times New Roman" w:hAnsi="Times New Roman" w:cs="Times New Roman"/>
          <w:szCs w:val="28"/>
        </w:rPr>
        <w:t>%</w:t>
      </w:r>
      <w:r>
        <w:rPr>
          <w:rFonts w:hint="eastAsia" w:ascii="Times New Roman" w:hAnsi="Times New Roman" w:cs="Times New Roman"/>
          <w:szCs w:val="28"/>
          <w:lang w:val="en-US" w:eastAsia="zh-CN"/>
        </w:rPr>
        <w:t>，</w:t>
      </w:r>
      <w:r>
        <w:rPr>
          <w:rFonts w:hint="default" w:ascii="Times New Roman" w:hAnsi="Times New Roman" w:cs="Times New Roman"/>
          <w:szCs w:val="28"/>
          <w:lang w:eastAsia="zh-CN"/>
        </w:rPr>
        <w:t>故完成及时性得分为</w:t>
      </w:r>
      <w:r>
        <w:rPr>
          <w:rFonts w:hint="eastAsia" w:ascii="Times New Roman" w:hAnsi="Times New Roman" w:cs="Times New Roman"/>
          <w:szCs w:val="28"/>
          <w:lang w:val="en-US" w:eastAsia="zh-CN"/>
        </w:rPr>
        <w:t>10</w:t>
      </w:r>
      <w:r>
        <w:rPr>
          <w:rFonts w:hint="default" w:ascii="Times New Roman" w:hAnsi="Times New Roman" w:cs="Times New Roman"/>
          <w:szCs w:val="28"/>
          <w:lang w:eastAsia="zh-CN"/>
        </w:rPr>
        <w:t>分</w:t>
      </w:r>
      <w:r>
        <w:rPr>
          <w:rFonts w:hint="eastAsia" w:ascii="Times New Roman" w:hAnsi="Times New Roman" w:cs="Times New Roman"/>
          <w:szCs w:val="28"/>
          <w:lang w:eastAsia="zh-CN"/>
        </w:rPr>
        <w:t>。</w:t>
      </w:r>
    </w:p>
    <w:p w14:paraId="7A11006C">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46" w:name="_Toc100784611"/>
      <w:r>
        <w:rPr>
          <w:rFonts w:hint="default" w:ascii="Times New Roman" w:hAnsi="Times New Roman" w:eastAsia="仿宋" w:cs="Times New Roman"/>
          <w:sz w:val="32"/>
          <w:szCs w:val="32"/>
          <w:lang w:bidi="en-US"/>
        </w:rPr>
        <w:t>4.产出成本</w:t>
      </w:r>
      <w:bookmarkEnd w:id="46"/>
    </w:p>
    <w:p w14:paraId="6354B67B">
      <w:pPr>
        <w:spacing w:line="360" w:lineRule="auto"/>
        <w:ind w:firstLine="562"/>
        <w:rPr>
          <w:rFonts w:hint="default" w:ascii="Times New Roman" w:hAnsi="Times New Roman" w:cs="Times New Roman"/>
          <w:b/>
          <w:bCs/>
          <w:szCs w:val="28"/>
        </w:rPr>
      </w:pPr>
      <w:r>
        <w:rPr>
          <w:rFonts w:hint="default" w:ascii="Times New Roman" w:hAnsi="Times New Roman" w:cs="Times New Roman"/>
          <w:b/>
          <w:bCs/>
          <w:szCs w:val="28"/>
        </w:rPr>
        <w:t>成本节约率：</w:t>
      </w:r>
      <w:r>
        <w:rPr>
          <w:rFonts w:hint="eastAsia" w:ascii="Times New Roman" w:hAnsi="Times New Roman" w:cs="Times New Roman"/>
          <w:szCs w:val="28"/>
          <w:lang w:val="en-US" w:eastAsia="zh-CN"/>
        </w:rPr>
        <w:t>我校严格控制教育经费支出，大兴勤俭节约之风，充分发挥教育经费的使用效益促进学校持续发展。</w:t>
      </w:r>
      <w:r>
        <w:rPr>
          <w:rFonts w:hint="default" w:ascii="Times New Roman" w:hAnsi="Times New Roman" w:cs="Times New Roman"/>
          <w:lang w:val="en-US" w:eastAsia="zh-CN"/>
        </w:rPr>
        <w:t>乌财科教【2021】96号关于提前下达2022年城乡义务教育项目直达资金校舍安全保障机制经费</w:t>
      </w:r>
      <w:r>
        <w:rPr>
          <w:rFonts w:hint="eastAsia" w:ascii="Times New Roman" w:hAnsi="Times New Roman" w:cs="Times New Roman"/>
          <w:lang w:val="en-US" w:eastAsia="zh-CN"/>
        </w:rPr>
        <w:t>的通知</w:t>
      </w:r>
      <w:r>
        <w:rPr>
          <w:rFonts w:hint="eastAsia" w:ascii="Times New Roman" w:hAnsi="Times New Roman" w:cs="Times New Roman"/>
          <w:szCs w:val="28"/>
          <w:lang w:val="en-US" w:eastAsia="zh-CN"/>
        </w:rPr>
        <w:t>240万元，资金到位及时。项目正常开展，截止2022年12月31日共计支出经费214.64万元，预算执行率为89.43%。主要用于保障小东沟小学消防设施，项目已完成，故成本节约率得分为10分。</w:t>
      </w:r>
    </w:p>
    <w:p w14:paraId="3853E0E3">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综上，该指标满分40分，得分</w:t>
      </w:r>
      <w:r>
        <w:rPr>
          <w:rFonts w:hint="eastAsia" w:ascii="Times New Roman" w:hAnsi="Times New Roman" w:cs="Times New Roman"/>
          <w:b/>
          <w:kern w:val="0"/>
          <w:szCs w:val="28"/>
          <w:lang w:val="en-US" w:eastAsia="zh-CN"/>
        </w:rPr>
        <w:t>40</w:t>
      </w:r>
      <w:r>
        <w:rPr>
          <w:rFonts w:hint="default" w:ascii="Times New Roman" w:hAnsi="Times New Roman" w:cs="Times New Roman"/>
          <w:b/>
          <w:kern w:val="0"/>
          <w:szCs w:val="28"/>
        </w:rPr>
        <w:t>分。</w:t>
      </w:r>
    </w:p>
    <w:p w14:paraId="3F817278">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bidi="en-US"/>
        </w:rPr>
      </w:pPr>
      <w:bookmarkStart w:id="47" w:name="_Toc100784612"/>
      <w:bookmarkStart w:id="48" w:name="_Toc67911615"/>
      <w:r>
        <w:rPr>
          <w:rFonts w:hint="default" w:ascii="Times New Roman" w:hAnsi="Times New Roman" w:eastAsia="仿宋" w:cs="Times New Roman"/>
          <w:sz w:val="32"/>
          <w:szCs w:val="32"/>
          <w:lang w:bidi="en-US"/>
        </w:rPr>
        <w:t>（四）项目效益情况</w:t>
      </w:r>
      <w:bookmarkEnd w:id="47"/>
      <w:bookmarkEnd w:id="48"/>
    </w:p>
    <w:p w14:paraId="0BFD16D1">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项目效益指标由</w:t>
      </w:r>
      <w:r>
        <w:rPr>
          <w:rFonts w:hint="eastAsia" w:ascii="Times New Roman" w:hAnsi="Times New Roman" w:cs="Times New Roman"/>
          <w:szCs w:val="28"/>
          <w:lang w:val="en-US" w:eastAsia="zh-CN"/>
        </w:rPr>
        <w:t>2</w:t>
      </w:r>
      <w:r>
        <w:rPr>
          <w:rFonts w:hint="default" w:ascii="Times New Roman" w:hAnsi="Times New Roman" w:cs="Times New Roman"/>
          <w:szCs w:val="28"/>
        </w:rPr>
        <w:t>个二级指标和2个三级指标构成，权重为</w:t>
      </w:r>
      <w:r>
        <w:rPr>
          <w:rFonts w:hint="eastAsia" w:ascii="Times New Roman" w:hAnsi="Times New Roman" w:cs="Times New Roman"/>
          <w:szCs w:val="28"/>
          <w:lang w:val="en-US" w:eastAsia="zh-CN"/>
        </w:rPr>
        <w:t>15</w:t>
      </w:r>
      <w:r>
        <w:rPr>
          <w:rFonts w:hint="default" w:ascii="Times New Roman" w:hAnsi="Times New Roman" w:cs="Times New Roman"/>
          <w:szCs w:val="28"/>
        </w:rPr>
        <w:t>分，实际得分</w:t>
      </w:r>
      <w:r>
        <w:rPr>
          <w:rFonts w:hint="eastAsia" w:ascii="Times New Roman" w:hAnsi="Times New Roman" w:cs="Times New Roman"/>
          <w:szCs w:val="28"/>
          <w:lang w:val="en-US" w:eastAsia="zh-CN"/>
        </w:rPr>
        <w:t>15</w:t>
      </w:r>
      <w:r>
        <w:rPr>
          <w:rFonts w:hint="default" w:ascii="Times New Roman" w:hAnsi="Times New Roman" w:cs="Times New Roman"/>
          <w:szCs w:val="28"/>
        </w:rPr>
        <w:t xml:space="preserve">分。 </w:t>
      </w:r>
    </w:p>
    <w:p w14:paraId="786982F1">
      <w:pPr>
        <w:pStyle w:val="4"/>
        <w:ind w:firstLine="643"/>
        <w:rPr>
          <w:rFonts w:hint="default" w:ascii="Times New Roman" w:hAnsi="Times New Roman" w:cs="Times New Roman"/>
        </w:rPr>
      </w:pPr>
      <w:bookmarkStart w:id="49" w:name="_Toc100784613"/>
      <w:r>
        <w:rPr>
          <w:rFonts w:hint="default" w:ascii="Times New Roman" w:hAnsi="Times New Roman" w:cs="Times New Roman"/>
        </w:rPr>
        <w:t>1.项目效益</w:t>
      </w:r>
      <w:bookmarkEnd w:id="49"/>
    </w:p>
    <w:p w14:paraId="627C4B54">
      <w:pPr>
        <w:spacing w:line="360" w:lineRule="auto"/>
        <w:ind w:firstLine="562"/>
        <w:rPr>
          <w:rFonts w:hint="default" w:ascii="Times New Roman" w:hAnsi="Times New Roman" w:cs="Times New Roman"/>
          <w:b/>
          <w:bCs/>
          <w:szCs w:val="28"/>
        </w:rPr>
      </w:pPr>
      <w:r>
        <w:rPr>
          <w:rFonts w:hint="default" w:ascii="Times New Roman" w:hAnsi="Times New Roman" w:cs="Times New Roman"/>
          <w:b/>
          <w:bCs/>
          <w:szCs w:val="28"/>
        </w:rPr>
        <w:t>（1）实施效益</w:t>
      </w:r>
    </w:p>
    <w:p w14:paraId="369F4397">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经济效益指标：</w:t>
      </w:r>
      <w:r>
        <w:rPr>
          <w:rFonts w:hint="default" w:ascii="Times New Roman" w:hAnsi="Times New Roman" w:cs="Times New Roman"/>
          <w:szCs w:val="28"/>
        </w:rPr>
        <w:t xml:space="preserve">不适用。 </w:t>
      </w:r>
    </w:p>
    <w:p w14:paraId="61C966ED">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社会效益指标</w:t>
      </w:r>
      <w:r>
        <w:rPr>
          <w:rFonts w:hint="default" w:ascii="Times New Roman" w:hAnsi="Times New Roman" w:cs="Times New Roman"/>
          <w:szCs w:val="28"/>
        </w:rPr>
        <w:t>：评价指标“保障师生的生命安全和学校的财产安全”，指标值：</w:t>
      </w:r>
      <w:r>
        <w:rPr>
          <w:rFonts w:hint="eastAsia" w:ascii="Times New Roman" w:hAnsi="Times New Roman" w:cs="Times New Roman"/>
          <w:szCs w:val="28"/>
          <w:lang w:eastAsia="zh-CN"/>
        </w:rPr>
        <w:t>有效保障</w:t>
      </w:r>
      <w:r>
        <w:rPr>
          <w:rFonts w:hint="default" w:ascii="Times New Roman" w:hAnsi="Times New Roman" w:cs="Times New Roman"/>
          <w:szCs w:val="28"/>
        </w:rPr>
        <w:t>，实际完成值：</w:t>
      </w:r>
      <w:r>
        <w:rPr>
          <w:rFonts w:hint="eastAsia" w:ascii="Times New Roman" w:hAnsi="Times New Roman" w:cs="Times New Roman"/>
          <w:szCs w:val="28"/>
          <w:lang w:eastAsia="zh-CN"/>
        </w:rPr>
        <w:t>完全达到预期效果</w:t>
      </w:r>
      <w:r>
        <w:rPr>
          <w:rFonts w:hint="default" w:ascii="Times New Roman" w:hAnsi="Times New Roman" w:cs="Times New Roman"/>
          <w:szCs w:val="28"/>
        </w:rPr>
        <w:t>。本项目的实施将保证我校消防设施系统正常运行，使消防设施维保工作系统化，规范化，使整个消防系统良好运转，从而提高防御火灾的能力，确保学校的财产安全及师生的人身安全。</w:t>
      </w:r>
    </w:p>
    <w:p w14:paraId="154029B2">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生态效益指标</w:t>
      </w:r>
      <w:r>
        <w:rPr>
          <w:rFonts w:hint="default" w:ascii="Times New Roman" w:hAnsi="Times New Roman" w:cs="Times New Roman"/>
          <w:szCs w:val="28"/>
        </w:rPr>
        <w:t>：不适用。</w:t>
      </w:r>
    </w:p>
    <w:p w14:paraId="4B9AD6CF">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可持续影响指标：</w:t>
      </w:r>
      <w:r>
        <w:rPr>
          <w:rFonts w:hint="default" w:ascii="Times New Roman" w:hAnsi="Times New Roman" w:cs="Times New Roman"/>
          <w:szCs w:val="28"/>
        </w:rPr>
        <w:t>评价指标“降低火灾的发生率”，指标值：</w:t>
      </w:r>
      <w:r>
        <w:rPr>
          <w:rFonts w:hint="eastAsia" w:ascii="Times New Roman" w:hAnsi="Times New Roman" w:cs="Times New Roman"/>
          <w:szCs w:val="28"/>
          <w:lang w:eastAsia="zh-CN"/>
        </w:rPr>
        <w:t>显著降低</w:t>
      </w:r>
      <w:r>
        <w:rPr>
          <w:rFonts w:hint="default" w:ascii="Times New Roman" w:hAnsi="Times New Roman" w:cs="Times New Roman"/>
          <w:szCs w:val="28"/>
        </w:rPr>
        <w:t>，实际完成值：</w:t>
      </w:r>
      <w:r>
        <w:rPr>
          <w:rFonts w:hint="eastAsia" w:ascii="Times New Roman" w:hAnsi="Times New Roman" w:cs="Times New Roman"/>
          <w:szCs w:val="28"/>
          <w:lang w:eastAsia="zh-CN"/>
        </w:rPr>
        <w:t>完全达到预期效果</w:t>
      </w:r>
      <w:r>
        <w:rPr>
          <w:rFonts w:hint="default" w:ascii="Times New Roman" w:hAnsi="Times New Roman" w:cs="Times New Roman"/>
          <w:szCs w:val="28"/>
        </w:rPr>
        <w:t>。</w:t>
      </w:r>
      <w:r>
        <w:rPr>
          <w:rFonts w:hint="eastAsia" w:ascii="Times New Roman" w:hAnsi="Times New Roman" w:cs="Times New Roman"/>
          <w:szCs w:val="28"/>
          <w:lang w:eastAsia="zh-CN"/>
        </w:rPr>
        <w:t>此项目的实施尽可能的保障了学校消防安全。</w:t>
      </w:r>
    </w:p>
    <w:p w14:paraId="544364E1">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综上，该指标满分1</w:t>
      </w:r>
      <w:r>
        <w:rPr>
          <w:rFonts w:hint="eastAsia" w:ascii="Times New Roman" w:hAnsi="Times New Roman" w:cs="Times New Roman"/>
          <w:b/>
          <w:kern w:val="0"/>
          <w:szCs w:val="28"/>
          <w:lang w:val="en-US" w:eastAsia="zh-CN"/>
        </w:rPr>
        <w:t>5</w:t>
      </w:r>
      <w:r>
        <w:rPr>
          <w:rFonts w:hint="default" w:ascii="Times New Roman" w:hAnsi="Times New Roman" w:cs="Times New Roman"/>
          <w:b/>
          <w:kern w:val="0"/>
          <w:szCs w:val="28"/>
        </w:rPr>
        <w:t>分，得分</w:t>
      </w:r>
      <w:r>
        <w:rPr>
          <w:rFonts w:hint="eastAsia" w:ascii="Times New Roman" w:hAnsi="Times New Roman" w:cs="Times New Roman"/>
          <w:b/>
          <w:kern w:val="0"/>
          <w:szCs w:val="28"/>
          <w:lang w:val="en-US" w:eastAsia="zh-CN"/>
        </w:rPr>
        <w:t>15</w:t>
      </w:r>
      <w:r>
        <w:rPr>
          <w:rFonts w:hint="default" w:ascii="Times New Roman" w:hAnsi="Times New Roman" w:cs="Times New Roman"/>
          <w:b/>
          <w:kern w:val="0"/>
          <w:szCs w:val="28"/>
        </w:rPr>
        <w:t>分。</w:t>
      </w:r>
    </w:p>
    <w:p w14:paraId="15E4AF7F">
      <w:pPr>
        <w:pStyle w:val="4"/>
        <w:ind w:firstLine="643"/>
        <w:rPr>
          <w:rFonts w:hint="default" w:ascii="Times New Roman" w:hAnsi="Times New Roman" w:cs="Times New Roman"/>
        </w:rPr>
      </w:pPr>
      <w:bookmarkStart w:id="50" w:name="_Toc100784614"/>
      <w:r>
        <w:rPr>
          <w:rFonts w:hint="default" w:ascii="Times New Roman" w:hAnsi="Times New Roman" w:cs="Times New Roman"/>
        </w:rPr>
        <w:t>2. 满意度指标完成情况分析</w:t>
      </w:r>
      <w:bookmarkEnd w:id="50"/>
    </w:p>
    <w:p w14:paraId="1716C753">
      <w:pPr>
        <w:spacing w:line="360" w:lineRule="auto"/>
        <w:ind w:firstLine="562"/>
        <w:rPr>
          <w:rFonts w:hint="default" w:ascii="Times New Roman" w:hAnsi="Times New Roman" w:cs="Times New Roman"/>
          <w:b/>
          <w:bCs/>
          <w:szCs w:val="28"/>
        </w:rPr>
      </w:pPr>
      <w:r>
        <w:rPr>
          <w:rFonts w:hint="default" w:ascii="Times New Roman" w:hAnsi="Times New Roman" w:cs="Times New Roman"/>
          <w:b/>
          <w:bCs/>
          <w:szCs w:val="28"/>
        </w:rPr>
        <w:t>（1）满意度指标</w:t>
      </w:r>
    </w:p>
    <w:p w14:paraId="523A1E61">
      <w:pPr>
        <w:spacing w:line="360" w:lineRule="auto"/>
        <w:ind w:firstLine="562"/>
        <w:rPr>
          <w:rFonts w:hint="default" w:ascii="Times New Roman" w:hAnsi="Times New Roman" w:cs="Times New Roman"/>
          <w:szCs w:val="28"/>
        </w:rPr>
      </w:pPr>
      <w:r>
        <w:rPr>
          <w:rFonts w:hint="eastAsia" w:ascii="仿宋_GB2312" w:hAnsi="仿宋_GB2312" w:eastAsia="仿宋_GB2312" w:cs="仿宋_GB2312"/>
          <w:b/>
          <w:bCs/>
          <w:sz w:val="28"/>
          <w:szCs w:val="28"/>
          <w:highlight w:val="none"/>
          <w:lang w:eastAsia="zh-CN"/>
        </w:rPr>
        <w:t>服务对象满意度指标</w:t>
      </w:r>
      <w:r>
        <w:rPr>
          <w:rFonts w:hint="default" w:ascii="Times New Roman" w:hAnsi="Times New Roman" w:cs="Times New Roman"/>
          <w:b/>
          <w:bCs/>
          <w:szCs w:val="28"/>
        </w:rPr>
        <w:t>：</w:t>
      </w:r>
      <w:r>
        <w:rPr>
          <w:rFonts w:hint="default" w:ascii="Times New Roman" w:hAnsi="Times New Roman" w:cs="Times New Roman"/>
          <w:szCs w:val="28"/>
        </w:rPr>
        <w:t>评价指标“</w:t>
      </w:r>
      <w:r>
        <w:rPr>
          <w:rFonts w:hint="eastAsia" w:ascii="Times New Roman" w:hAnsi="Times New Roman" w:cs="Times New Roman"/>
          <w:szCs w:val="28"/>
          <w:lang w:val="en-US" w:eastAsia="zh-CN"/>
        </w:rPr>
        <w:t>师生满意度</w:t>
      </w:r>
      <w:r>
        <w:rPr>
          <w:rFonts w:hint="default" w:ascii="Times New Roman" w:hAnsi="Times New Roman" w:cs="Times New Roman"/>
          <w:szCs w:val="28"/>
        </w:rPr>
        <w:t>”，指标值：</w:t>
      </w:r>
      <w:r>
        <w:rPr>
          <w:rFonts w:hint="default" w:ascii="Times New Roman" w:hAnsi="Times New Roman" w:eastAsia="华文宋体" w:cs="Times New Roman"/>
          <w:szCs w:val="28"/>
        </w:rPr>
        <w:t>≥</w:t>
      </w:r>
      <w:r>
        <w:rPr>
          <w:rFonts w:hint="eastAsia" w:ascii="Times New Roman" w:hAnsi="Times New Roman" w:eastAsia="华文宋体" w:cs="Times New Roman"/>
          <w:szCs w:val="28"/>
          <w:lang w:val="en-US" w:eastAsia="zh-CN"/>
        </w:rPr>
        <w:t>90</w:t>
      </w:r>
      <w:r>
        <w:rPr>
          <w:rFonts w:hint="default" w:ascii="Times New Roman" w:hAnsi="Times New Roman" w:cs="Times New Roman"/>
          <w:szCs w:val="28"/>
        </w:rPr>
        <w:t>%，实际完成值：</w:t>
      </w:r>
      <w:r>
        <w:rPr>
          <w:rFonts w:hint="default" w:ascii="Times New Roman" w:hAnsi="Times New Roman" w:eastAsia="华文宋体" w:cs="Times New Roman"/>
          <w:szCs w:val="28"/>
        </w:rPr>
        <w:t>≥</w:t>
      </w:r>
      <w:r>
        <w:rPr>
          <w:rFonts w:hint="eastAsia" w:ascii="Times New Roman" w:hAnsi="Times New Roman" w:eastAsia="华文宋体" w:cs="Times New Roman"/>
          <w:szCs w:val="28"/>
          <w:lang w:val="en-US" w:eastAsia="zh-CN"/>
        </w:rPr>
        <w:t>90</w:t>
      </w:r>
      <w:r>
        <w:rPr>
          <w:rFonts w:hint="default" w:ascii="Times New Roman" w:hAnsi="Times New Roman" w:cs="Times New Roman"/>
          <w:szCs w:val="28"/>
        </w:rPr>
        <w:t>%。通过设置问卷调查的方式进行考评评价，共计调查样本总量为</w:t>
      </w:r>
      <w:r>
        <w:rPr>
          <w:rFonts w:hint="eastAsia" w:ascii="Times New Roman" w:hAnsi="Times New Roman" w:cs="Times New Roman"/>
          <w:szCs w:val="28"/>
          <w:lang w:val="en-US" w:eastAsia="zh-CN"/>
        </w:rPr>
        <w:t>174</w:t>
      </w:r>
      <w:r>
        <w:rPr>
          <w:rFonts w:hint="default" w:ascii="Times New Roman" w:hAnsi="Times New Roman" w:cs="Times New Roman"/>
          <w:szCs w:val="28"/>
        </w:rPr>
        <w:t>个样本，有效调查问卷</w:t>
      </w:r>
      <w:r>
        <w:rPr>
          <w:rFonts w:hint="eastAsia" w:ascii="Times New Roman" w:hAnsi="Times New Roman" w:cs="Times New Roman"/>
          <w:szCs w:val="28"/>
          <w:lang w:val="en-US" w:eastAsia="zh-CN"/>
        </w:rPr>
        <w:t>170</w:t>
      </w:r>
      <w:r>
        <w:rPr>
          <w:rFonts w:hint="default" w:ascii="Times New Roman" w:hAnsi="Times New Roman" w:cs="Times New Roman"/>
          <w:szCs w:val="28"/>
        </w:rPr>
        <w:t>份。其中，统计“</w:t>
      </w:r>
      <w:r>
        <w:rPr>
          <w:rFonts w:hint="eastAsia" w:ascii="Times New Roman" w:hAnsi="Times New Roman" w:cs="Times New Roman"/>
          <w:szCs w:val="28"/>
          <w:lang w:eastAsia="zh-CN"/>
        </w:rPr>
        <w:t>满意度</w:t>
      </w:r>
      <w:r>
        <w:rPr>
          <w:rFonts w:hint="default" w:ascii="Times New Roman" w:hAnsi="Times New Roman" w:cs="Times New Roman"/>
          <w:szCs w:val="28"/>
        </w:rPr>
        <w:t>”的平均值为</w:t>
      </w:r>
      <w:r>
        <w:rPr>
          <w:rFonts w:hint="eastAsia" w:ascii="Times New Roman" w:hAnsi="Times New Roman" w:cs="Times New Roman"/>
          <w:szCs w:val="28"/>
          <w:lang w:val="en-US" w:eastAsia="zh-CN"/>
        </w:rPr>
        <w:t>90</w:t>
      </w:r>
      <w:r>
        <w:rPr>
          <w:rFonts w:hint="default" w:ascii="Times New Roman" w:hAnsi="Times New Roman" w:cs="Times New Roman"/>
          <w:szCs w:val="28"/>
        </w:rPr>
        <w:t>%。故满意度指标得分为</w:t>
      </w:r>
      <w:r>
        <w:rPr>
          <w:rFonts w:hint="eastAsia" w:ascii="Times New Roman" w:hAnsi="Times New Roman" w:cs="Times New Roman"/>
          <w:szCs w:val="28"/>
          <w:lang w:val="en-US" w:eastAsia="zh-CN"/>
        </w:rPr>
        <w:t>5</w:t>
      </w:r>
      <w:r>
        <w:rPr>
          <w:rFonts w:hint="default" w:ascii="Times New Roman" w:hAnsi="Times New Roman" w:cs="Times New Roman"/>
          <w:szCs w:val="28"/>
        </w:rPr>
        <w:t>分。</w:t>
      </w:r>
    </w:p>
    <w:p w14:paraId="724FB6E5">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w:t>
      </w:r>
      <w:r>
        <w:rPr>
          <w:rFonts w:hint="eastAsia" w:ascii="Times New Roman" w:hAnsi="Times New Roman" w:cs="Times New Roman"/>
          <w:b/>
          <w:kern w:val="0"/>
          <w:szCs w:val="28"/>
          <w:lang w:val="en-US" w:eastAsia="zh-CN"/>
        </w:rPr>
        <w:t>5</w:t>
      </w:r>
      <w:r>
        <w:rPr>
          <w:rFonts w:hint="default" w:ascii="Times New Roman" w:hAnsi="Times New Roman" w:cs="Times New Roman"/>
          <w:b/>
          <w:kern w:val="0"/>
          <w:szCs w:val="28"/>
        </w:rPr>
        <w:t>分，得分</w:t>
      </w:r>
      <w:r>
        <w:rPr>
          <w:rFonts w:hint="eastAsia" w:ascii="Times New Roman" w:hAnsi="Times New Roman" w:cs="Times New Roman"/>
          <w:b/>
          <w:kern w:val="0"/>
          <w:szCs w:val="28"/>
          <w:lang w:val="en-US" w:eastAsia="zh-CN"/>
        </w:rPr>
        <w:t>5</w:t>
      </w:r>
      <w:r>
        <w:rPr>
          <w:rFonts w:hint="default" w:ascii="Times New Roman" w:hAnsi="Times New Roman" w:cs="Times New Roman"/>
          <w:b/>
          <w:kern w:val="0"/>
          <w:szCs w:val="28"/>
        </w:rPr>
        <w:t>分。</w:t>
      </w:r>
    </w:p>
    <w:p w14:paraId="406B43FB">
      <w:pPr>
        <w:autoSpaceDE w:val="0"/>
        <w:spacing w:line="600" w:lineRule="exact"/>
        <w:ind w:firstLine="562"/>
        <w:rPr>
          <w:rFonts w:hint="default" w:ascii="Times New Roman" w:hAnsi="Times New Roman" w:cs="Times New Roman"/>
          <w:b/>
          <w:kern w:val="0"/>
          <w:szCs w:val="28"/>
        </w:rPr>
      </w:pPr>
    </w:p>
    <w:p w14:paraId="77541E0F">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bookmarkStart w:id="51" w:name="_Toc67911616"/>
      <w:bookmarkStart w:id="52" w:name="_Toc100784615"/>
      <w:r>
        <w:rPr>
          <w:rFonts w:hint="default" w:ascii="Times New Roman" w:hAnsi="Times New Roman" w:eastAsia="仿宋" w:cs="Times New Roman"/>
          <w:sz w:val="36"/>
          <w:szCs w:val="36"/>
          <w:lang w:bidi="en-US"/>
        </w:rPr>
        <w:t>五、预算执行进度与绩效指标偏差</w:t>
      </w:r>
      <w:bookmarkEnd w:id="51"/>
      <w:bookmarkEnd w:id="52"/>
    </w:p>
    <w:p w14:paraId="359F02E0">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本项目预算执行率为</w:t>
      </w:r>
      <w:r>
        <w:rPr>
          <w:rFonts w:hint="eastAsia" w:ascii="Times New Roman" w:hAnsi="Times New Roman" w:cs="Times New Roman"/>
          <w:szCs w:val="28"/>
          <w:lang w:val="en-US" w:eastAsia="zh-CN"/>
        </w:rPr>
        <w:t>89.43</w:t>
      </w:r>
      <w:r>
        <w:rPr>
          <w:rFonts w:hint="default" w:ascii="Times New Roman" w:hAnsi="Times New Roman" w:cs="Times New Roman"/>
          <w:szCs w:val="28"/>
        </w:rPr>
        <w:t>%，指标总体完成率为</w:t>
      </w:r>
      <w:r>
        <w:rPr>
          <w:rFonts w:hint="eastAsia" w:ascii="Times New Roman" w:hAnsi="Times New Roman" w:cs="Times New Roman"/>
          <w:szCs w:val="28"/>
          <w:lang w:val="en-US" w:eastAsia="zh-CN"/>
        </w:rPr>
        <w:t>99.67</w:t>
      </w:r>
      <w:r>
        <w:rPr>
          <w:rFonts w:hint="default" w:ascii="Times New Roman" w:hAnsi="Times New Roman" w:cs="Times New Roman"/>
          <w:szCs w:val="28"/>
        </w:rPr>
        <w:t>%，二者之间的偏差值为</w:t>
      </w:r>
      <w:r>
        <w:rPr>
          <w:rFonts w:hint="eastAsia" w:ascii="Times New Roman" w:hAnsi="Times New Roman" w:cs="Times New Roman"/>
          <w:szCs w:val="28"/>
          <w:lang w:val="en-US" w:eastAsia="zh-CN"/>
        </w:rPr>
        <w:t>10.24</w:t>
      </w:r>
      <w:r>
        <w:rPr>
          <w:rFonts w:hint="default" w:ascii="Times New Roman" w:hAnsi="Times New Roman" w:cs="Times New Roman"/>
          <w:szCs w:val="28"/>
        </w:rPr>
        <w:t>%，小于20%。因此，本项目较好地完成了年度总体目标，财政资金使用效益和效率较高。</w:t>
      </w:r>
    </w:p>
    <w:p w14:paraId="5BC3BD14">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bookmarkStart w:id="53" w:name="_Toc67911617"/>
      <w:bookmarkStart w:id="54" w:name="_Toc100784616"/>
    </w:p>
    <w:p w14:paraId="5C3459B5">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r>
        <w:rPr>
          <w:rFonts w:hint="default" w:ascii="Times New Roman" w:hAnsi="Times New Roman" w:eastAsia="仿宋" w:cs="Times New Roman"/>
          <w:sz w:val="36"/>
          <w:szCs w:val="36"/>
          <w:lang w:bidi="en-US"/>
        </w:rPr>
        <w:t>六、主要经验及做法、存在的问题及原因分析</w:t>
      </w:r>
      <w:bookmarkEnd w:id="53"/>
      <w:bookmarkEnd w:id="54"/>
    </w:p>
    <w:p w14:paraId="1565C61C">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bidi="en-US"/>
        </w:rPr>
      </w:pPr>
      <w:bookmarkStart w:id="55" w:name="_Toc67911618"/>
      <w:bookmarkStart w:id="56" w:name="_Toc100784617"/>
      <w:r>
        <w:rPr>
          <w:rFonts w:hint="default" w:ascii="Times New Roman" w:hAnsi="Times New Roman" w:eastAsia="仿宋" w:cs="Times New Roman"/>
          <w:sz w:val="32"/>
          <w:szCs w:val="32"/>
          <w:lang w:bidi="en-US"/>
        </w:rPr>
        <w:t>（一）主要经验及做法</w:t>
      </w:r>
      <w:bookmarkEnd w:id="55"/>
      <w:bookmarkEnd w:id="56"/>
    </w:p>
    <w:p w14:paraId="5FD76B4D">
      <w:pPr>
        <w:spacing w:line="360" w:lineRule="auto"/>
        <w:ind w:firstLine="560"/>
        <w:rPr>
          <w:rFonts w:hint="eastAsia" w:ascii="Times New Roman" w:hAnsi="Times New Roman" w:cs="Times New Roman"/>
          <w:szCs w:val="28"/>
        </w:rPr>
      </w:pPr>
      <w:bookmarkStart w:id="57" w:name="_Toc100784618"/>
      <w:r>
        <w:rPr>
          <w:rFonts w:hint="eastAsia" w:ascii="Times New Roman" w:hAnsi="Times New Roman" w:cs="Times New Roman"/>
          <w:szCs w:val="28"/>
        </w:rPr>
        <w:t>1、及时做好202</w:t>
      </w:r>
      <w:r>
        <w:rPr>
          <w:rFonts w:hint="eastAsia" w:ascii="Times New Roman" w:hAnsi="Times New Roman" w:cs="Times New Roman"/>
          <w:szCs w:val="28"/>
          <w:lang w:val="en-US" w:eastAsia="zh-CN"/>
        </w:rPr>
        <w:t>2</w:t>
      </w:r>
      <w:r>
        <w:rPr>
          <w:rFonts w:hint="eastAsia" w:ascii="Times New Roman" w:hAnsi="Times New Roman" w:cs="Times New Roman"/>
          <w:szCs w:val="28"/>
        </w:rPr>
        <w:t>年项目计划制定可行性方案并及时申报项目资金，做好项目的动态监管，切时做到专款专用，改善办学完条件。</w:t>
      </w:r>
    </w:p>
    <w:p w14:paraId="60A5D311">
      <w:pPr>
        <w:spacing w:line="360" w:lineRule="auto"/>
        <w:ind w:firstLine="560"/>
        <w:rPr>
          <w:rFonts w:hint="eastAsia" w:ascii="Times New Roman" w:hAnsi="Times New Roman" w:cs="Times New Roman"/>
          <w:szCs w:val="28"/>
        </w:rPr>
      </w:pPr>
      <w:r>
        <w:rPr>
          <w:rFonts w:hint="eastAsia" w:ascii="Times New Roman" w:hAnsi="Times New Roman" w:cs="Times New Roman"/>
          <w:szCs w:val="28"/>
        </w:rPr>
        <w:t>2.积极参加财务培训，提高专业技能。</w:t>
      </w:r>
    </w:p>
    <w:p w14:paraId="5F2C363C">
      <w:pPr>
        <w:spacing w:line="360" w:lineRule="auto"/>
        <w:ind w:firstLine="560"/>
        <w:rPr>
          <w:rFonts w:hint="eastAsia" w:ascii="Times New Roman" w:hAnsi="Times New Roman" w:cs="Times New Roman"/>
          <w:szCs w:val="28"/>
        </w:rPr>
      </w:pPr>
      <w:r>
        <w:rPr>
          <w:rFonts w:hint="eastAsia" w:ascii="Times New Roman" w:hAnsi="Times New Roman" w:cs="Times New Roman"/>
          <w:szCs w:val="28"/>
        </w:rPr>
        <w:t>3.加强督导，提升保教质量。</w:t>
      </w:r>
    </w:p>
    <w:p w14:paraId="3034A8CB">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bidi="en-US"/>
        </w:rPr>
      </w:pPr>
      <w:r>
        <w:rPr>
          <w:rFonts w:hint="default" w:ascii="Times New Roman" w:hAnsi="Times New Roman" w:eastAsia="仿宋" w:cs="Times New Roman"/>
          <w:sz w:val="32"/>
          <w:szCs w:val="32"/>
          <w:lang w:bidi="en-US"/>
        </w:rPr>
        <w:t>（二）存在的问题及原因分析</w:t>
      </w:r>
      <w:bookmarkEnd w:id="57"/>
    </w:p>
    <w:p w14:paraId="2BE60459">
      <w:pPr>
        <w:spacing w:line="360" w:lineRule="auto"/>
        <w:ind w:firstLine="560"/>
        <w:rPr>
          <w:rFonts w:hint="eastAsia" w:ascii="Times New Roman" w:hAnsi="Times New Roman" w:cs="Times New Roman"/>
          <w:szCs w:val="28"/>
        </w:rPr>
      </w:pPr>
      <w:bookmarkStart w:id="58" w:name="_Toc100784619"/>
      <w:bookmarkStart w:id="59" w:name="_Toc67911619"/>
      <w:r>
        <w:rPr>
          <w:rFonts w:hint="eastAsia" w:ascii="Times New Roman" w:hAnsi="Times New Roman" w:cs="Times New Roman"/>
          <w:szCs w:val="28"/>
        </w:rPr>
        <w:t xml:space="preserve">1、部门职能不明确，个别工作分工不清晰，且人员培训和绩效考核制度不够完善。 </w:t>
      </w:r>
    </w:p>
    <w:p w14:paraId="7A66830C">
      <w:pPr>
        <w:spacing w:line="360" w:lineRule="auto"/>
        <w:ind w:firstLine="560"/>
        <w:rPr>
          <w:rFonts w:hint="eastAsia" w:ascii="Times New Roman" w:hAnsi="Times New Roman" w:cs="Times New Roman"/>
          <w:szCs w:val="28"/>
        </w:rPr>
      </w:pPr>
      <w:r>
        <w:rPr>
          <w:rFonts w:hint="eastAsia" w:ascii="Times New Roman" w:hAnsi="Times New Roman" w:cs="Times New Roman"/>
          <w:szCs w:val="28"/>
        </w:rPr>
        <w:t>2、部门资金支出进度普遍较低，对资金支出的控制力度不足。</w:t>
      </w:r>
    </w:p>
    <w:p w14:paraId="2FF02B0F">
      <w:pPr>
        <w:spacing w:line="360" w:lineRule="auto"/>
        <w:ind w:firstLine="560"/>
        <w:rPr>
          <w:rFonts w:hint="eastAsia" w:ascii="Times New Roman" w:hAnsi="Times New Roman" w:cs="Times New Roman"/>
          <w:szCs w:val="28"/>
        </w:rPr>
      </w:pPr>
      <w:r>
        <w:rPr>
          <w:rFonts w:hint="eastAsia" w:ascii="Times New Roman" w:hAnsi="Times New Roman" w:cs="Times New Roman"/>
          <w:szCs w:val="28"/>
        </w:rPr>
        <w:t>3、工程手续办理慢，影响了工程进度。建议简化工程手续；加大资金投入，全面改善学前教育办学条件。</w:t>
      </w:r>
    </w:p>
    <w:p w14:paraId="76BB0276">
      <w:pPr>
        <w:spacing w:line="360" w:lineRule="auto"/>
        <w:ind w:firstLine="562"/>
        <w:rPr>
          <w:rFonts w:hint="default" w:ascii="仿宋_GB2312" w:hAnsi="仿宋_GB2312" w:eastAsia="仿宋_GB2312" w:cs="仿宋_GB2312"/>
          <w:sz w:val="28"/>
          <w:szCs w:val="28"/>
        </w:rPr>
      </w:pPr>
    </w:p>
    <w:p w14:paraId="07956492">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r>
        <w:rPr>
          <w:rFonts w:hint="default" w:ascii="Times New Roman" w:hAnsi="Times New Roman" w:eastAsia="仿宋" w:cs="Times New Roman"/>
          <w:sz w:val="36"/>
          <w:szCs w:val="36"/>
          <w:lang w:bidi="en-US"/>
        </w:rPr>
        <w:t>七、其他需要说明的问题</w:t>
      </w:r>
      <w:bookmarkEnd w:id="58"/>
      <w:bookmarkEnd w:id="59"/>
    </w:p>
    <w:p w14:paraId="76EACB92">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1.项目支出政策和路径设计科学，符合实际需要；</w:t>
      </w:r>
    </w:p>
    <w:p w14:paraId="211B65FE">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2.项目安排准确，未发现背离项目立项初衷的情况；</w:t>
      </w:r>
    </w:p>
    <w:p w14:paraId="2C7DEC8C">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3.项目的申报、审核机制完善；</w:t>
      </w:r>
    </w:p>
    <w:p w14:paraId="0702DE56">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4.未发现虚假行为和骗取财政资金的问题。</w:t>
      </w:r>
    </w:p>
    <w:p w14:paraId="3E304B50">
      <w:pPr>
        <w:pStyle w:val="2"/>
        <w:ind w:firstLine="0" w:firstLineChars="0"/>
        <w:jc w:val="left"/>
        <w:rPr>
          <w:rFonts w:hint="default" w:ascii="Times New Roman" w:hAnsi="Times New Roman" w:eastAsia="仿宋" w:cs="Times New Roman"/>
          <w:sz w:val="36"/>
          <w:szCs w:val="36"/>
          <w:lang w:bidi="en-US"/>
        </w:rPr>
      </w:pPr>
      <w:bookmarkStart w:id="60" w:name="_Toc67911620"/>
      <w:bookmarkStart w:id="61" w:name="_Toc100784620"/>
      <w:r>
        <w:rPr>
          <w:rFonts w:hint="default" w:ascii="Times New Roman" w:hAnsi="Times New Roman" w:eastAsia="仿宋" w:cs="Times New Roman"/>
          <w:sz w:val="36"/>
          <w:szCs w:val="36"/>
          <w:lang w:bidi="en-US"/>
        </w:rPr>
        <w:t>八、有关建议</w:t>
      </w:r>
      <w:bookmarkEnd w:id="60"/>
      <w:bookmarkEnd w:id="61"/>
    </w:p>
    <w:p w14:paraId="447597EF">
      <w:pPr>
        <w:spacing w:line="360" w:lineRule="auto"/>
        <w:ind w:firstLine="560"/>
        <w:rPr>
          <w:rFonts w:hint="eastAsia" w:ascii="Times New Roman" w:hAnsi="Times New Roman" w:eastAsia="仿宋_GB2312" w:cs="Times New Roman"/>
          <w:szCs w:val="28"/>
          <w:lang w:eastAsia="zh-CN"/>
        </w:rPr>
      </w:pPr>
      <w:r>
        <w:rPr>
          <w:rFonts w:hint="eastAsia" w:ascii="仿宋_GB2312" w:hAnsi="仿宋_GB2312" w:eastAsia="仿宋_GB2312" w:cs="仿宋_GB2312"/>
          <w:sz w:val="28"/>
          <w:szCs w:val="28"/>
        </w:rPr>
        <w:t>加强预算制定过程的科学性管理，提升预算方案的质量。首先在预算管理上，加强预算编制的合理性及会计核算的规范性。一方面针对由于部门不可控因素出现的预算调整率较大、资金支出率低的问题，我单位应及时与政府及上级部门沟通，向上争取政策支持，在政策实施条件上进行有序改善；另一方面，在预算申报上，预算单位要结合实际需求填报资金需求，在不同项目、不同用途之间做到合理分配预</w:t>
      </w:r>
      <w:r>
        <w:rPr>
          <w:rFonts w:hint="eastAsia" w:ascii="仿宋_GB2312" w:hAnsi="仿宋_GB2312" w:cs="仿宋_GB2312"/>
          <w:sz w:val="28"/>
          <w:szCs w:val="28"/>
          <w:lang w:eastAsia="zh-CN"/>
        </w:rPr>
        <w:t>。</w:t>
      </w:r>
    </w:p>
    <w:sectPr>
      <w:headerReference r:id="rId12" w:type="default"/>
      <w:footerReference r:id="rId13" w:type="default"/>
      <w:footnotePr>
        <w:numFmt w:val="decimalEnclosedCircleChinese"/>
        <w:numRestart w:val="eachPage"/>
      </w:footnotePr>
      <w:type w:val="continuous"/>
      <w:pgSz w:w="11906" w:h="16838"/>
      <w:pgMar w:top="1440" w:right="1800" w:bottom="1440" w:left="1800" w:header="992"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等线 Light">
    <w:panose1 w:val="02010600030101010101"/>
    <w:charset w:val="86"/>
    <w:family w:val="auto"/>
    <w:pitch w:val="default"/>
    <w:sig w:usb0="A00002BF" w:usb1="38CF7CFA" w:usb2="00000016" w:usb3="00000000" w:csb0="0004000F" w:csb1="00000000"/>
  </w:font>
  <w:font w:name="华文宋体">
    <w:altName w:val="宋体"/>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13F967">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FD5CAA">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hint="default" w:ascii="Times New Roman" w:hAnsi="Times New Roman" w:cs="Times New Roman"/>
      </w:rPr>
      <w:id w:val="-276182009"/>
      <w:docPartObj>
        <w:docPartGallery w:val="autotext"/>
      </w:docPartObj>
    </w:sdtPr>
    <w:sdtEndPr>
      <w:rPr>
        <w:rFonts w:hint="eastAsia" w:ascii="仿宋_GB2312" w:hAnsi="Times New Roman" w:eastAsia="仿宋_GB2312" w:cs="Times New Roman"/>
        <w:sz w:val="21"/>
        <w:szCs w:val="21"/>
      </w:rPr>
    </w:sdtEndPr>
    <w:sdtContent>
      <w:p w14:paraId="59340136">
        <w:pPr>
          <w:pStyle w:val="9"/>
          <w:ind w:firstLine="560"/>
          <w:jc w:val="center"/>
          <w:rPr>
            <w:rFonts w:ascii="仿宋_GB2312" w:eastAsia="仿宋_GB2312"/>
            <w:sz w:val="21"/>
            <w:szCs w:val="21"/>
          </w:rPr>
        </w:pPr>
        <w:r>
          <w:rPr>
            <w:rFonts w:hint="default" w:ascii="Times New Roman" w:hAnsi="Times New Roman" w:eastAsia="仿宋_GB2312" w:cs="Times New Roman"/>
            <w:sz w:val="21"/>
            <w:szCs w:val="21"/>
          </w:rPr>
          <w:fldChar w:fldCharType="begin"/>
        </w:r>
        <w:r>
          <w:rPr>
            <w:rFonts w:hint="default" w:ascii="Times New Roman" w:hAnsi="Times New Roman" w:eastAsia="仿宋_GB2312" w:cs="Times New Roman"/>
            <w:sz w:val="21"/>
            <w:szCs w:val="21"/>
          </w:rPr>
          <w:instrText xml:space="preserve">PAGE   \* MERGEFORMAT</w:instrText>
        </w:r>
        <w:r>
          <w:rPr>
            <w:rFonts w:hint="default" w:ascii="Times New Roman" w:hAnsi="Times New Roman" w:eastAsia="仿宋_GB2312" w:cs="Times New Roman"/>
            <w:sz w:val="21"/>
            <w:szCs w:val="21"/>
          </w:rPr>
          <w:fldChar w:fldCharType="separate"/>
        </w:r>
        <w:r>
          <w:rPr>
            <w:rFonts w:hint="default" w:ascii="Times New Roman" w:hAnsi="Times New Roman" w:eastAsia="仿宋_GB2312" w:cs="Times New Roman"/>
            <w:sz w:val="21"/>
            <w:szCs w:val="21"/>
            <w:lang w:val="zh-CN"/>
          </w:rPr>
          <w:t>7</w:t>
        </w:r>
        <w:r>
          <w:rPr>
            <w:rFonts w:hint="default" w:ascii="Times New Roman" w:hAnsi="Times New Roman" w:eastAsia="仿宋_GB2312" w:cs="Times New Roman"/>
            <w:sz w:val="21"/>
            <w:szCs w:val="21"/>
          </w:rPr>
          <w:fldChar w:fldCharType="end"/>
        </w:r>
      </w:p>
    </w:sdtContent>
  </w:sdt>
  <w:p w14:paraId="7EEEBC1D">
    <w:pPr>
      <w:pStyle w:val="9"/>
      <w:rPr>
        <w:rFonts w:ascii="仿宋_GB2312" w:eastAsia="仿宋_GB2312"/>
        <w:sz w:val="21"/>
        <w:szCs w:val="21"/>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hint="default" w:ascii="Times New Roman" w:hAnsi="Times New Roman" w:cs="Times New Roman"/>
      </w:rPr>
      <w:id w:val="-1691836155"/>
      <w:docPartObj>
        <w:docPartGallery w:val="autotext"/>
      </w:docPartObj>
    </w:sdtPr>
    <w:sdtEndPr>
      <w:rPr>
        <w:rFonts w:hint="eastAsia" w:ascii="仿宋_GB2312" w:hAnsi="Times New Roman" w:eastAsia="仿宋_GB2312" w:cs="Times New Roman"/>
        <w:sz w:val="21"/>
        <w:szCs w:val="21"/>
      </w:rPr>
    </w:sdtEndPr>
    <w:sdtContent>
      <w:p w14:paraId="3294B96D">
        <w:pPr>
          <w:pStyle w:val="9"/>
          <w:ind w:firstLine="560"/>
          <w:jc w:val="center"/>
          <w:rPr>
            <w:rFonts w:ascii="仿宋_GB2312" w:eastAsia="仿宋_GB2312"/>
            <w:sz w:val="21"/>
            <w:szCs w:val="21"/>
          </w:rPr>
        </w:pPr>
        <w:r>
          <w:rPr>
            <w:rFonts w:hint="default" w:ascii="Times New Roman" w:hAnsi="Times New Roman" w:eastAsia="仿宋_GB2312" w:cs="Times New Roman"/>
            <w:sz w:val="21"/>
            <w:szCs w:val="21"/>
          </w:rPr>
          <w:fldChar w:fldCharType="begin"/>
        </w:r>
        <w:r>
          <w:rPr>
            <w:rFonts w:hint="default" w:ascii="Times New Roman" w:hAnsi="Times New Roman" w:eastAsia="仿宋_GB2312" w:cs="Times New Roman"/>
            <w:sz w:val="21"/>
            <w:szCs w:val="21"/>
          </w:rPr>
          <w:instrText xml:space="preserve">PAGE   \* MERGEFORMAT</w:instrText>
        </w:r>
        <w:r>
          <w:rPr>
            <w:rFonts w:hint="default" w:ascii="Times New Roman" w:hAnsi="Times New Roman" w:eastAsia="仿宋_GB2312" w:cs="Times New Roman"/>
            <w:sz w:val="21"/>
            <w:szCs w:val="21"/>
          </w:rPr>
          <w:fldChar w:fldCharType="separate"/>
        </w:r>
        <w:r>
          <w:rPr>
            <w:rFonts w:hint="default" w:ascii="Times New Roman" w:hAnsi="Times New Roman" w:eastAsia="仿宋_GB2312" w:cs="Times New Roman"/>
            <w:sz w:val="21"/>
            <w:szCs w:val="21"/>
            <w:lang w:val="zh-CN"/>
          </w:rPr>
          <w:t>20</w:t>
        </w:r>
        <w:r>
          <w:rPr>
            <w:rFonts w:hint="default" w:ascii="Times New Roman" w:hAnsi="Times New Roman" w:eastAsia="仿宋_GB2312" w:cs="Times New Roman"/>
            <w:sz w:val="21"/>
            <w:szCs w:val="21"/>
          </w:rPr>
          <w:fldChar w:fldCharType="end"/>
        </w:r>
      </w:p>
    </w:sdtContent>
  </w:sdt>
  <w:p w14:paraId="601AF240">
    <w:pPr>
      <w:pStyle w:val="9"/>
      <w:rPr>
        <w:rFonts w:ascii="仿宋_GB2312" w:eastAsia="仿宋_GB2312"/>
        <w:sz w:val="21"/>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pPr>
        <w:ind w:firstLine="560"/>
      </w:pPr>
      <w:r>
        <w:separator/>
      </w:r>
    </w:p>
  </w:footnote>
  <w:footnote w:type="continuationSeparator" w:id="5">
    <w:p>
      <w:pPr>
        <w:ind w:firstLine="560"/>
      </w:pPr>
      <w:r>
        <w:continuationSeparator/>
      </w:r>
    </w:p>
  </w:footnote>
  <w:footnote w:id="0">
    <w:p w14:paraId="6AE2F870">
      <w:pPr>
        <w:pStyle w:val="12"/>
        <w:ind w:firstLine="0" w:firstLineChars="0"/>
        <w:jc w:val="both"/>
        <w:rPr>
          <w:rFonts w:ascii="仿宋_GB2312"/>
        </w:rPr>
      </w:pPr>
      <w:r>
        <w:rPr>
          <w:rStyle w:val="21"/>
          <w:rFonts w:hint="eastAsia" w:ascii="仿宋_GB2312"/>
        </w:rPr>
        <w:footnoteRef/>
      </w:r>
      <w:r>
        <w:rPr>
          <w:rFonts w:hint="eastAsia" w:ascii="仿宋_GB2312"/>
        </w:rPr>
        <w:t xml:space="preserve"> 前期准备主要包括实地调研和认真研读相关文件，根据绩效评价的基本原理、原则和项目特点，结合项目绩效目标，项目绩效评组制定了评价指标体系、评分标准、评价方法和相关的工作程序及步骤，形成评价初步方案。</w:t>
      </w:r>
    </w:p>
  </w:footnote>
  <w:footnote w:id="1">
    <w:p w14:paraId="3BFBA1CD">
      <w:pPr>
        <w:pStyle w:val="12"/>
        <w:ind w:firstLine="0" w:firstLineChars="0"/>
        <w:jc w:val="both"/>
        <w:rPr>
          <w:rFonts w:ascii="仿宋_GB2312"/>
        </w:rPr>
      </w:pPr>
      <w:r>
        <w:rPr>
          <w:rStyle w:val="21"/>
          <w:rFonts w:hint="eastAsia" w:ascii="仿宋_GB2312"/>
        </w:rPr>
        <w:footnoteRef/>
      </w:r>
      <w:r>
        <w:rPr>
          <w:rFonts w:ascii="仿宋_GB2312"/>
        </w:rPr>
        <w:t xml:space="preserve"> </w:t>
      </w:r>
      <w:r>
        <w:rPr>
          <w:rFonts w:hint="default" w:ascii="Times New Roman" w:hAnsi="Times New Roman" w:cs="Times New Roman"/>
        </w:rPr>
        <w:t>参考《关于印发&lt;项目支出绩效评价管理办法&gt;的通知》（财预〔2020〕10号）中的规定，本次绩效评价结果实施百分制和四级分类，其中90（含）-100分为优、80（含）-90分为良、60（含）-80分为中、60分以下为差。</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D8BB5E">
    <w:pPr>
      <w:ind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9AF90B">
    <w:pPr>
      <w:pStyle w:val="1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CBAD9C">
    <w:pPr>
      <w:pStyle w:val="1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45B7FE">
    <w:pPr>
      <w:pStyle w:val="1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1C126E">
    <w:pPr>
      <w:pStyle w:val="10"/>
      <w:ind w:firstLine="560"/>
      <w:jc w:val="right"/>
      <w:rPr>
        <w:rFonts w:ascii="仿宋_GB2312" w:eastAsia="仿宋_GB2312"/>
        <w:sz w:val="21"/>
        <w:szCs w:val="21"/>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40"/>
  <w:drawingGridVerticalSpacing w:val="381"/>
  <w:displayHorizontalDrawingGridEvery w:val="1"/>
  <w:displayVerticalDrawingGridEvery w:val="1"/>
  <w:noPunctuationKerning w:val="1"/>
  <w:characterSpacingControl w:val="compressPunctuation"/>
  <w:footnotePr>
    <w:footnote w:id="4"/>
    <w:footnote w:id="5"/>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liOWM2MzNlZjk4NTNhNjlmZThmZjcxNGE1Y2Q0ZmIifQ=="/>
  </w:docVars>
  <w:rsids>
    <w:rsidRoot w:val="00A43A0A"/>
    <w:rsid w:val="00031A7F"/>
    <w:rsid w:val="00042151"/>
    <w:rsid w:val="000438A0"/>
    <w:rsid w:val="0007002C"/>
    <w:rsid w:val="00071C0F"/>
    <w:rsid w:val="00086724"/>
    <w:rsid w:val="000A2B58"/>
    <w:rsid w:val="000A43E8"/>
    <w:rsid w:val="000B520E"/>
    <w:rsid w:val="000B6FA0"/>
    <w:rsid w:val="000C720A"/>
    <w:rsid w:val="000C77D3"/>
    <w:rsid w:val="000E1EB5"/>
    <w:rsid w:val="000F5DE3"/>
    <w:rsid w:val="00111969"/>
    <w:rsid w:val="00147D9F"/>
    <w:rsid w:val="001544E6"/>
    <w:rsid w:val="001645EB"/>
    <w:rsid w:val="00187B13"/>
    <w:rsid w:val="001A3189"/>
    <w:rsid w:val="001A79B9"/>
    <w:rsid w:val="001C50BA"/>
    <w:rsid w:val="001D66B5"/>
    <w:rsid w:val="001E754D"/>
    <w:rsid w:val="001E7E9F"/>
    <w:rsid w:val="00201C55"/>
    <w:rsid w:val="00213964"/>
    <w:rsid w:val="00220DC6"/>
    <w:rsid w:val="0022245F"/>
    <w:rsid w:val="0022294C"/>
    <w:rsid w:val="00225A82"/>
    <w:rsid w:val="00247354"/>
    <w:rsid w:val="00250131"/>
    <w:rsid w:val="00261F2F"/>
    <w:rsid w:val="00262B75"/>
    <w:rsid w:val="002810AA"/>
    <w:rsid w:val="002B7C09"/>
    <w:rsid w:val="002E1E67"/>
    <w:rsid w:val="002E608B"/>
    <w:rsid w:val="00302E15"/>
    <w:rsid w:val="0032183D"/>
    <w:rsid w:val="0032329D"/>
    <w:rsid w:val="00332C71"/>
    <w:rsid w:val="00333EA5"/>
    <w:rsid w:val="00340CED"/>
    <w:rsid w:val="00343485"/>
    <w:rsid w:val="00350839"/>
    <w:rsid w:val="003766AB"/>
    <w:rsid w:val="00377BA7"/>
    <w:rsid w:val="003C24DB"/>
    <w:rsid w:val="003C4BD9"/>
    <w:rsid w:val="003D74DE"/>
    <w:rsid w:val="00404C10"/>
    <w:rsid w:val="004249EE"/>
    <w:rsid w:val="00425C1F"/>
    <w:rsid w:val="00437C39"/>
    <w:rsid w:val="004925F6"/>
    <w:rsid w:val="004957B3"/>
    <w:rsid w:val="004B12BE"/>
    <w:rsid w:val="004B5A40"/>
    <w:rsid w:val="004D4759"/>
    <w:rsid w:val="004E0DF3"/>
    <w:rsid w:val="004F17C9"/>
    <w:rsid w:val="004F66E9"/>
    <w:rsid w:val="005345BF"/>
    <w:rsid w:val="00534DD6"/>
    <w:rsid w:val="005417D4"/>
    <w:rsid w:val="0054442E"/>
    <w:rsid w:val="00553F30"/>
    <w:rsid w:val="00563798"/>
    <w:rsid w:val="00566083"/>
    <w:rsid w:val="0056794C"/>
    <w:rsid w:val="005764CD"/>
    <w:rsid w:val="005779FD"/>
    <w:rsid w:val="0058379D"/>
    <w:rsid w:val="00592653"/>
    <w:rsid w:val="00593474"/>
    <w:rsid w:val="005A12D0"/>
    <w:rsid w:val="005A2254"/>
    <w:rsid w:val="005A5ABF"/>
    <w:rsid w:val="005A5E3B"/>
    <w:rsid w:val="005B7A28"/>
    <w:rsid w:val="005D2F48"/>
    <w:rsid w:val="005D4D5B"/>
    <w:rsid w:val="005E2098"/>
    <w:rsid w:val="005F226E"/>
    <w:rsid w:val="005F273F"/>
    <w:rsid w:val="005F3A17"/>
    <w:rsid w:val="00604BA5"/>
    <w:rsid w:val="00607D5B"/>
    <w:rsid w:val="00611B95"/>
    <w:rsid w:val="00614CEC"/>
    <w:rsid w:val="00627F97"/>
    <w:rsid w:val="0065079B"/>
    <w:rsid w:val="00656DB7"/>
    <w:rsid w:val="00662C67"/>
    <w:rsid w:val="006B60FE"/>
    <w:rsid w:val="006C40AE"/>
    <w:rsid w:val="006E6431"/>
    <w:rsid w:val="006F3315"/>
    <w:rsid w:val="007027A1"/>
    <w:rsid w:val="00705854"/>
    <w:rsid w:val="00722A72"/>
    <w:rsid w:val="0073210F"/>
    <w:rsid w:val="00733402"/>
    <w:rsid w:val="0073417E"/>
    <w:rsid w:val="00743F96"/>
    <w:rsid w:val="0076734C"/>
    <w:rsid w:val="00783118"/>
    <w:rsid w:val="007C3F63"/>
    <w:rsid w:val="007F185A"/>
    <w:rsid w:val="007F6051"/>
    <w:rsid w:val="007F6745"/>
    <w:rsid w:val="007F77F3"/>
    <w:rsid w:val="008123C5"/>
    <w:rsid w:val="00831695"/>
    <w:rsid w:val="008327EB"/>
    <w:rsid w:val="00835535"/>
    <w:rsid w:val="00863F65"/>
    <w:rsid w:val="00866FB0"/>
    <w:rsid w:val="00884C5F"/>
    <w:rsid w:val="00894E2C"/>
    <w:rsid w:val="008A3394"/>
    <w:rsid w:val="008A476A"/>
    <w:rsid w:val="008C4803"/>
    <w:rsid w:val="008D3FFC"/>
    <w:rsid w:val="008D6D96"/>
    <w:rsid w:val="009068E0"/>
    <w:rsid w:val="00907B15"/>
    <w:rsid w:val="00917C57"/>
    <w:rsid w:val="009214DF"/>
    <w:rsid w:val="00923604"/>
    <w:rsid w:val="009258BD"/>
    <w:rsid w:val="00933961"/>
    <w:rsid w:val="009546FE"/>
    <w:rsid w:val="0095473C"/>
    <w:rsid w:val="00954936"/>
    <w:rsid w:val="00963948"/>
    <w:rsid w:val="00981879"/>
    <w:rsid w:val="0098656D"/>
    <w:rsid w:val="00995079"/>
    <w:rsid w:val="00996B5B"/>
    <w:rsid w:val="009A33B6"/>
    <w:rsid w:val="009D4C5C"/>
    <w:rsid w:val="009F55B0"/>
    <w:rsid w:val="00A00443"/>
    <w:rsid w:val="00A106CE"/>
    <w:rsid w:val="00A2064E"/>
    <w:rsid w:val="00A22963"/>
    <w:rsid w:val="00A425B1"/>
    <w:rsid w:val="00A43A0A"/>
    <w:rsid w:val="00A52E6C"/>
    <w:rsid w:val="00A52E72"/>
    <w:rsid w:val="00A92F9F"/>
    <w:rsid w:val="00AD5430"/>
    <w:rsid w:val="00AE1DCD"/>
    <w:rsid w:val="00AE6C31"/>
    <w:rsid w:val="00B22F6F"/>
    <w:rsid w:val="00B4167E"/>
    <w:rsid w:val="00B72218"/>
    <w:rsid w:val="00B90BA4"/>
    <w:rsid w:val="00B962E0"/>
    <w:rsid w:val="00BA0A35"/>
    <w:rsid w:val="00BA10B1"/>
    <w:rsid w:val="00BA13B7"/>
    <w:rsid w:val="00BA65B8"/>
    <w:rsid w:val="00BA76B5"/>
    <w:rsid w:val="00BC5C63"/>
    <w:rsid w:val="00BF1766"/>
    <w:rsid w:val="00C00DA2"/>
    <w:rsid w:val="00C10C79"/>
    <w:rsid w:val="00C20C51"/>
    <w:rsid w:val="00C409B9"/>
    <w:rsid w:val="00C634EC"/>
    <w:rsid w:val="00C66545"/>
    <w:rsid w:val="00C8191C"/>
    <w:rsid w:val="00C927D9"/>
    <w:rsid w:val="00CA74C5"/>
    <w:rsid w:val="00CB3DFC"/>
    <w:rsid w:val="00CB6D38"/>
    <w:rsid w:val="00CE6337"/>
    <w:rsid w:val="00CF640C"/>
    <w:rsid w:val="00D04E2D"/>
    <w:rsid w:val="00D152B1"/>
    <w:rsid w:val="00D23DCB"/>
    <w:rsid w:val="00D3320C"/>
    <w:rsid w:val="00D4562E"/>
    <w:rsid w:val="00D84293"/>
    <w:rsid w:val="00D9228E"/>
    <w:rsid w:val="00DA4BA7"/>
    <w:rsid w:val="00DB316E"/>
    <w:rsid w:val="00DC1EA8"/>
    <w:rsid w:val="00DD54BF"/>
    <w:rsid w:val="00DF643F"/>
    <w:rsid w:val="00E00B28"/>
    <w:rsid w:val="00E014DB"/>
    <w:rsid w:val="00E04EC2"/>
    <w:rsid w:val="00E14FE5"/>
    <w:rsid w:val="00E24ACA"/>
    <w:rsid w:val="00E26770"/>
    <w:rsid w:val="00E30B1D"/>
    <w:rsid w:val="00E526C7"/>
    <w:rsid w:val="00E73F9C"/>
    <w:rsid w:val="00E75E83"/>
    <w:rsid w:val="00EA63EF"/>
    <w:rsid w:val="00EA7E72"/>
    <w:rsid w:val="00EB0442"/>
    <w:rsid w:val="00EC5F03"/>
    <w:rsid w:val="00EF3B51"/>
    <w:rsid w:val="00F06D23"/>
    <w:rsid w:val="00F36E98"/>
    <w:rsid w:val="00F52C6D"/>
    <w:rsid w:val="00F55451"/>
    <w:rsid w:val="00F73710"/>
    <w:rsid w:val="00F872E7"/>
    <w:rsid w:val="00FA4373"/>
    <w:rsid w:val="00FB09C6"/>
    <w:rsid w:val="00FB2BBD"/>
    <w:rsid w:val="00FD7A36"/>
    <w:rsid w:val="00FD7C5F"/>
    <w:rsid w:val="00FE193C"/>
    <w:rsid w:val="00FE7DCA"/>
    <w:rsid w:val="00FF0452"/>
    <w:rsid w:val="031414BE"/>
    <w:rsid w:val="06450013"/>
    <w:rsid w:val="099B67B3"/>
    <w:rsid w:val="09CB588C"/>
    <w:rsid w:val="09E84FC2"/>
    <w:rsid w:val="0BA73DE4"/>
    <w:rsid w:val="0C2E6A04"/>
    <w:rsid w:val="0E044BD4"/>
    <w:rsid w:val="115058C4"/>
    <w:rsid w:val="128679E9"/>
    <w:rsid w:val="159C398E"/>
    <w:rsid w:val="16B638F1"/>
    <w:rsid w:val="16C345A1"/>
    <w:rsid w:val="180D10FB"/>
    <w:rsid w:val="181972CB"/>
    <w:rsid w:val="22202B49"/>
    <w:rsid w:val="233B5E18"/>
    <w:rsid w:val="25A07354"/>
    <w:rsid w:val="25CA13FE"/>
    <w:rsid w:val="277B6D7E"/>
    <w:rsid w:val="2D524C40"/>
    <w:rsid w:val="2DA87D83"/>
    <w:rsid w:val="310F4FF2"/>
    <w:rsid w:val="31C321EA"/>
    <w:rsid w:val="344054AF"/>
    <w:rsid w:val="34E6636A"/>
    <w:rsid w:val="3B8F685B"/>
    <w:rsid w:val="3BBF7944"/>
    <w:rsid w:val="3ED05AFD"/>
    <w:rsid w:val="405C7E57"/>
    <w:rsid w:val="4162433F"/>
    <w:rsid w:val="46141AA7"/>
    <w:rsid w:val="462B57E9"/>
    <w:rsid w:val="52445661"/>
    <w:rsid w:val="55B43C8F"/>
    <w:rsid w:val="55BF25B3"/>
    <w:rsid w:val="5700789D"/>
    <w:rsid w:val="574A16BC"/>
    <w:rsid w:val="58AD704A"/>
    <w:rsid w:val="59B9510A"/>
    <w:rsid w:val="5A730887"/>
    <w:rsid w:val="5BBB3658"/>
    <w:rsid w:val="5DAB6EFE"/>
    <w:rsid w:val="5EE329F1"/>
    <w:rsid w:val="61D21913"/>
    <w:rsid w:val="63E37878"/>
    <w:rsid w:val="642C41B3"/>
    <w:rsid w:val="657A02B4"/>
    <w:rsid w:val="66B22EE3"/>
    <w:rsid w:val="6A5A3AE2"/>
    <w:rsid w:val="6B9129CF"/>
    <w:rsid w:val="6E41764F"/>
    <w:rsid w:val="6E4D6076"/>
    <w:rsid w:val="70D34ED6"/>
    <w:rsid w:val="717D335B"/>
    <w:rsid w:val="730A1E6E"/>
    <w:rsid w:val="73680E97"/>
    <w:rsid w:val="73CD1CB8"/>
    <w:rsid w:val="75B953EB"/>
    <w:rsid w:val="75F75951"/>
    <w:rsid w:val="7A902590"/>
    <w:rsid w:val="7C75633B"/>
    <w:rsid w:val="7E9B0C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2">
    <w:name w:val="heading 1"/>
    <w:basedOn w:val="1"/>
    <w:next w:val="1"/>
    <w:link w:val="29"/>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5"/>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4"/>
    <w:unhideWhenUsed/>
    <w:qFormat/>
    <w:uiPriority w:val="9"/>
    <w:pPr>
      <w:keepNext/>
      <w:keepLines/>
      <w:spacing w:before="260" w:after="260" w:line="416" w:lineRule="auto"/>
      <w:outlineLvl w:val="2"/>
    </w:pPr>
    <w:rPr>
      <w:b/>
      <w:bCs/>
      <w:sz w:val="32"/>
      <w:szCs w:val="32"/>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31"/>
    <w:unhideWhenUsed/>
    <w:qFormat/>
    <w:uiPriority w:val="99"/>
    <w:pPr>
      <w:jc w:val="left"/>
    </w:pPr>
  </w:style>
  <w:style w:type="paragraph" w:styleId="6">
    <w:name w:val="toc 3"/>
    <w:basedOn w:val="1"/>
    <w:next w:val="1"/>
    <w:unhideWhenUsed/>
    <w:qFormat/>
    <w:uiPriority w:val="39"/>
    <w:pPr>
      <w:ind w:left="840" w:leftChars="400"/>
    </w:pPr>
  </w:style>
  <w:style w:type="paragraph" w:styleId="7">
    <w:name w:val="Date"/>
    <w:basedOn w:val="1"/>
    <w:next w:val="1"/>
    <w:link w:val="24"/>
    <w:semiHidden/>
    <w:unhideWhenUsed/>
    <w:qFormat/>
    <w:uiPriority w:val="99"/>
    <w:pPr>
      <w:ind w:left="100" w:leftChars="2500"/>
    </w:pPr>
  </w:style>
  <w:style w:type="paragraph" w:styleId="8">
    <w:name w:val="Balloon Text"/>
    <w:basedOn w:val="1"/>
    <w:link w:val="33"/>
    <w:semiHidden/>
    <w:unhideWhenUsed/>
    <w:qFormat/>
    <w:uiPriority w:val="99"/>
    <w:rPr>
      <w:sz w:val="18"/>
      <w:szCs w:val="18"/>
    </w:rPr>
  </w:style>
  <w:style w:type="paragraph" w:styleId="9">
    <w:name w:val="footer"/>
    <w:basedOn w:val="1"/>
    <w:link w:val="23"/>
    <w:unhideWhenUsed/>
    <w:qFormat/>
    <w:uiPriority w:val="99"/>
    <w:pPr>
      <w:tabs>
        <w:tab w:val="center" w:pos="4153"/>
        <w:tab w:val="right" w:pos="8306"/>
      </w:tabs>
      <w:snapToGrid w:val="0"/>
      <w:ind w:firstLine="0" w:firstLineChars="0"/>
      <w:jc w:val="left"/>
    </w:pPr>
    <w:rPr>
      <w:rFonts w:asciiTheme="minorHAnsi" w:hAnsiTheme="minorHAnsi" w:eastAsiaTheme="minorEastAsia" w:cstheme="minorBidi"/>
      <w:sz w:val="18"/>
      <w:szCs w:val="18"/>
    </w:rPr>
  </w:style>
  <w:style w:type="paragraph" w:styleId="10">
    <w:name w:val="header"/>
    <w:basedOn w:val="1"/>
    <w:link w:val="22"/>
    <w:unhideWhenUsed/>
    <w:qFormat/>
    <w:uiPriority w:val="99"/>
    <w:pPr>
      <w:pBdr>
        <w:bottom w:val="single" w:color="auto" w:sz="6" w:space="1"/>
      </w:pBdr>
      <w:tabs>
        <w:tab w:val="center" w:pos="4153"/>
        <w:tab w:val="right" w:pos="8306"/>
      </w:tabs>
      <w:snapToGrid w:val="0"/>
      <w:ind w:firstLine="0" w:firstLineChars="0"/>
      <w:jc w:val="center"/>
    </w:pPr>
    <w:rPr>
      <w:rFonts w:asciiTheme="minorHAnsi" w:hAnsiTheme="minorHAnsi" w:eastAsiaTheme="minorEastAsia" w:cstheme="minorBidi"/>
      <w:sz w:val="18"/>
      <w:szCs w:val="18"/>
    </w:rPr>
  </w:style>
  <w:style w:type="paragraph" w:styleId="11">
    <w:name w:val="toc 1"/>
    <w:basedOn w:val="1"/>
    <w:next w:val="1"/>
    <w:unhideWhenUsed/>
    <w:qFormat/>
    <w:uiPriority w:val="39"/>
  </w:style>
  <w:style w:type="paragraph" w:styleId="12">
    <w:name w:val="footnote text"/>
    <w:basedOn w:val="1"/>
    <w:link w:val="26"/>
    <w:semiHidden/>
    <w:unhideWhenUsed/>
    <w:qFormat/>
    <w:uiPriority w:val="99"/>
    <w:pPr>
      <w:snapToGrid w:val="0"/>
      <w:jc w:val="left"/>
    </w:pPr>
    <w:rPr>
      <w:sz w:val="18"/>
      <w:szCs w:val="18"/>
    </w:rPr>
  </w:style>
  <w:style w:type="paragraph" w:styleId="13">
    <w:name w:val="toc 2"/>
    <w:basedOn w:val="1"/>
    <w:next w:val="1"/>
    <w:unhideWhenUsed/>
    <w:qFormat/>
    <w:uiPriority w:val="39"/>
    <w:pPr>
      <w:ind w:left="420" w:leftChars="200"/>
    </w:pPr>
  </w:style>
  <w:style w:type="paragraph" w:styleId="14">
    <w:name w:val="annotation subject"/>
    <w:basedOn w:val="5"/>
    <w:next w:val="5"/>
    <w:link w:val="32"/>
    <w:semiHidden/>
    <w:unhideWhenUsed/>
    <w:qFormat/>
    <w:uiPriority w:val="99"/>
    <w:rPr>
      <w:b/>
      <w:bCs/>
    </w:rPr>
  </w:style>
  <w:style w:type="table" w:styleId="16">
    <w:name w:val="Table Grid"/>
    <w:basedOn w:val="1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8">
    <w:name w:val="Strong"/>
    <w:basedOn w:val="17"/>
    <w:qFormat/>
    <w:uiPriority w:val="0"/>
    <w:rPr>
      <w:b/>
      <w:bCs/>
    </w:rPr>
  </w:style>
  <w:style w:type="character" w:styleId="19">
    <w:name w:val="Hyperlink"/>
    <w:basedOn w:val="17"/>
    <w:unhideWhenUsed/>
    <w:qFormat/>
    <w:uiPriority w:val="99"/>
    <w:rPr>
      <w:color w:val="0563C1" w:themeColor="hyperlink"/>
      <w:u w:val="single"/>
      <w14:textFill>
        <w14:solidFill>
          <w14:schemeClr w14:val="hlink"/>
        </w14:solidFill>
      </w14:textFill>
    </w:rPr>
  </w:style>
  <w:style w:type="character" w:styleId="20">
    <w:name w:val="annotation reference"/>
    <w:basedOn w:val="17"/>
    <w:semiHidden/>
    <w:unhideWhenUsed/>
    <w:qFormat/>
    <w:uiPriority w:val="99"/>
    <w:rPr>
      <w:sz w:val="21"/>
      <w:szCs w:val="21"/>
    </w:rPr>
  </w:style>
  <w:style w:type="character" w:styleId="21">
    <w:name w:val="footnote reference"/>
    <w:basedOn w:val="17"/>
    <w:semiHidden/>
    <w:unhideWhenUsed/>
    <w:qFormat/>
    <w:uiPriority w:val="99"/>
    <w:rPr>
      <w:vertAlign w:val="superscript"/>
    </w:rPr>
  </w:style>
  <w:style w:type="character" w:customStyle="1" w:styleId="22">
    <w:name w:val="页眉 Char"/>
    <w:basedOn w:val="17"/>
    <w:link w:val="10"/>
    <w:qFormat/>
    <w:uiPriority w:val="99"/>
    <w:rPr>
      <w:sz w:val="18"/>
      <w:szCs w:val="18"/>
    </w:rPr>
  </w:style>
  <w:style w:type="character" w:customStyle="1" w:styleId="23">
    <w:name w:val="页脚 Char"/>
    <w:basedOn w:val="17"/>
    <w:link w:val="9"/>
    <w:qFormat/>
    <w:uiPriority w:val="99"/>
    <w:rPr>
      <w:sz w:val="18"/>
      <w:szCs w:val="18"/>
    </w:rPr>
  </w:style>
  <w:style w:type="character" w:customStyle="1" w:styleId="24">
    <w:name w:val="日期 Char"/>
    <w:basedOn w:val="17"/>
    <w:link w:val="7"/>
    <w:semiHidden/>
    <w:qFormat/>
    <w:uiPriority w:val="99"/>
    <w:rPr>
      <w:rFonts w:ascii="Calibri" w:hAnsi="Calibri" w:eastAsia="仿宋_GB2312" w:cs="黑体"/>
      <w:sz w:val="28"/>
    </w:rPr>
  </w:style>
  <w:style w:type="character" w:customStyle="1" w:styleId="25">
    <w:name w:val="标题 2 Char"/>
    <w:basedOn w:val="17"/>
    <w:link w:val="3"/>
    <w:qFormat/>
    <w:uiPriority w:val="9"/>
    <w:rPr>
      <w:rFonts w:asciiTheme="majorHAnsi" w:hAnsiTheme="majorHAnsi" w:eastAsiaTheme="majorEastAsia" w:cstheme="majorBidi"/>
      <w:b/>
      <w:bCs/>
      <w:sz w:val="32"/>
      <w:szCs w:val="32"/>
    </w:rPr>
  </w:style>
  <w:style w:type="character" w:customStyle="1" w:styleId="26">
    <w:name w:val="脚注文本 Char"/>
    <w:basedOn w:val="17"/>
    <w:link w:val="12"/>
    <w:semiHidden/>
    <w:qFormat/>
    <w:uiPriority w:val="99"/>
    <w:rPr>
      <w:rFonts w:ascii="Calibri" w:hAnsi="Calibri" w:eastAsia="仿宋_GB2312" w:cs="黑体"/>
      <w:sz w:val="18"/>
      <w:szCs w:val="18"/>
    </w:rPr>
  </w:style>
  <w:style w:type="paragraph" w:styleId="27">
    <w:name w:val="List Paragraph"/>
    <w:basedOn w:val="1"/>
    <w:qFormat/>
    <w:uiPriority w:val="34"/>
    <w:pPr>
      <w:ind w:firstLine="420"/>
    </w:pPr>
  </w:style>
  <w:style w:type="table" w:customStyle="1" w:styleId="28">
    <w:name w:val="网格型1"/>
    <w:basedOn w:val="1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9">
    <w:name w:val="标题 1 Char"/>
    <w:basedOn w:val="17"/>
    <w:link w:val="2"/>
    <w:qFormat/>
    <w:uiPriority w:val="9"/>
    <w:rPr>
      <w:rFonts w:ascii="Calibri" w:hAnsi="Calibri" w:eastAsia="仿宋_GB2312" w:cs="黑体"/>
      <w:b/>
      <w:bCs/>
      <w:kern w:val="44"/>
      <w:sz w:val="44"/>
      <w:szCs w:val="44"/>
    </w:rPr>
  </w:style>
  <w:style w:type="paragraph" w:customStyle="1" w:styleId="30">
    <w:name w:val="TOC Heading"/>
    <w:basedOn w:val="2"/>
    <w:next w:val="1"/>
    <w:unhideWhenUsed/>
    <w:qFormat/>
    <w:uiPriority w:val="39"/>
    <w:pPr>
      <w:widowControl/>
      <w:spacing w:before="240" w:after="0" w:line="259" w:lineRule="auto"/>
      <w:ind w:firstLine="0" w:firstLineChars="0"/>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31">
    <w:name w:val="批注文字 Char"/>
    <w:basedOn w:val="17"/>
    <w:link w:val="5"/>
    <w:qFormat/>
    <w:uiPriority w:val="99"/>
    <w:rPr>
      <w:rFonts w:ascii="Calibri" w:hAnsi="Calibri" w:eastAsia="仿宋_GB2312" w:cs="黑体"/>
      <w:sz w:val="28"/>
    </w:rPr>
  </w:style>
  <w:style w:type="character" w:customStyle="1" w:styleId="32">
    <w:name w:val="批注主题 Char"/>
    <w:basedOn w:val="31"/>
    <w:link w:val="14"/>
    <w:semiHidden/>
    <w:qFormat/>
    <w:uiPriority w:val="99"/>
    <w:rPr>
      <w:rFonts w:ascii="Calibri" w:hAnsi="Calibri" w:eastAsia="仿宋_GB2312" w:cs="黑体"/>
      <w:b/>
      <w:bCs/>
      <w:sz w:val="28"/>
    </w:rPr>
  </w:style>
  <w:style w:type="character" w:customStyle="1" w:styleId="33">
    <w:name w:val="批注框文本 Char"/>
    <w:basedOn w:val="17"/>
    <w:link w:val="8"/>
    <w:semiHidden/>
    <w:qFormat/>
    <w:uiPriority w:val="99"/>
    <w:rPr>
      <w:rFonts w:ascii="Calibri" w:hAnsi="Calibri" w:eastAsia="仿宋_GB2312" w:cs="黑体"/>
      <w:sz w:val="18"/>
      <w:szCs w:val="18"/>
    </w:rPr>
  </w:style>
  <w:style w:type="character" w:customStyle="1" w:styleId="34">
    <w:name w:val="标题 3 Char"/>
    <w:basedOn w:val="17"/>
    <w:link w:val="4"/>
    <w:qFormat/>
    <w:uiPriority w:val="9"/>
    <w:rPr>
      <w:rFonts w:ascii="Calibri" w:hAnsi="Calibri" w:eastAsia="仿宋_GB2312" w:cs="黑体"/>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A4E86A-DDD8-4986-A4CA-450E8FD5B409}">
  <ds:schemaRefs/>
</ds:datastoreItem>
</file>

<file path=docProps/app.xml><?xml version="1.0" encoding="utf-8"?>
<Properties xmlns="http://schemas.openxmlformats.org/officeDocument/2006/extended-properties" xmlns:vt="http://schemas.openxmlformats.org/officeDocument/2006/docPropsVTypes">
  <Template>Normal</Template>
  <Pages>24</Pages>
  <Words>3554</Words>
  <Characters>3711</Characters>
  <Lines>79</Lines>
  <Paragraphs>22</Paragraphs>
  <TotalTime>3</TotalTime>
  <ScaleCrop>false</ScaleCrop>
  <LinksUpToDate>false</LinksUpToDate>
  <CharactersWithSpaces>3833</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2022-04-13T15:23:00Z</dcterms:created>
  <dc:creator>张 宇</dc:creator>
  <cp:lastModifiedBy>Arhen</cp:lastModifiedBy>
  <cp:lastPrinted>2023-04-11T02:57:00Z</cp:lastPrinted>
  <dcterms:modified xsi:type="dcterms:W3CDTF">2025-01-09T04:01:37Z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C72CFD68021D41D8BC351CC4CC9D8637_12</vt:lpwstr>
  </property>
  <property fmtid="{D5CDD505-2E9C-101B-9397-08002B2CF9AE}" pid="4" name="KSOTemplateDocerSaveRecord">
    <vt:lpwstr>eyJoZGlkIjoiYjBmZDUxZDQwNTk3YWM2ZmY4YmE4ZDEyYjMyMzc0MmEiLCJ1c2VySWQiOiI4NTc3MzI1NjQifQ==</vt:lpwstr>
  </property>
</Properties>
</file>