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rPr>
          <w:rFonts w:ascii="Times New Roman" w:hAnsi="Times New Roman" w:cs="Times New Roman"/>
          <w:b/>
          <w:sz w:val="44"/>
          <w:szCs w:val="44"/>
        </w:rPr>
      </w:pPr>
      <w:r>
        <w:rPr>
          <w:rFonts w:ascii="Times New Roman" w:hAnsi="Times New Roman" w:cs="Times New Roman"/>
          <w:b/>
          <w:sz w:val="44"/>
          <w:szCs w:val="44"/>
        </w:rPr>
        <w:t>财政项目支出绩效评价报告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cs="Times New Roman"/>
          <w:kern w:val="0"/>
          <w:sz w:val="30"/>
          <w:szCs w:val="30"/>
          <w:lang w:bidi="en-US"/>
        </w:rPr>
      </w:pPr>
    </w:p>
    <w:p>
      <w:pPr>
        <w:spacing w:line="480" w:lineRule="auto"/>
        <w:ind w:firstLine="1411" w:firstLineChars="4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项目名称：</w:t>
      </w:r>
      <w:r>
        <w:rPr>
          <w:rFonts w:hint="eastAsia" w:ascii="Times New Roman" w:hAnsi="Times New Roman" w:eastAsia="仿宋" w:cs="Times New Roman"/>
          <w:bCs/>
          <w:color w:val="333333"/>
          <w:sz w:val="32"/>
          <w:szCs w:val="32"/>
        </w:rPr>
        <w:t>乌财科教【2021】96号关于提前下达2022年教育直达资金城乡义务教育补助公用经费</w:t>
      </w:r>
    </w:p>
    <w:p>
      <w:pPr>
        <w:spacing w:line="480" w:lineRule="auto"/>
        <w:ind w:left="280" w:leftChars="100" w:firstLine="1091" w:firstLineChars="3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项目单位：</w:t>
      </w:r>
      <w:r>
        <w:rPr>
          <w:rFonts w:hint="eastAsia" w:ascii="Times New Roman" w:hAnsi="Times New Roman" w:cs="Times New Roman"/>
          <w:kern w:val="0"/>
          <w:sz w:val="32"/>
          <w:szCs w:val="32"/>
          <w:lang w:bidi="en-US"/>
        </w:rPr>
        <w:t>乌鲁木齐县庙尔沟中学</w:t>
      </w:r>
      <w:r>
        <w:rPr>
          <w:rFonts w:ascii="Times New Roman" w:hAnsi="Times New Roman" w:cs="Times New Roman"/>
          <w:kern w:val="0"/>
          <w:sz w:val="32"/>
          <w:szCs w:val="32"/>
          <w:lang w:bidi="en-US"/>
        </w:rPr>
        <w:t xml:space="preserve"> </w:t>
      </w:r>
    </w:p>
    <w:p>
      <w:pPr>
        <w:spacing w:line="480" w:lineRule="auto"/>
        <w:ind w:left="280" w:leftChars="100" w:firstLine="1091" w:firstLineChars="3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主管部门：</w:t>
      </w:r>
      <w:r>
        <w:rPr>
          <w:rFonts w:hint="eastAsia" w:ascii="Times New Roman" w:hAnsi="Times New Roman" w:cs="Times New Roman"/>
          <w:kern w:val="0"/>
          <w:sz w:val="32"/>
          <w:szCs w:val="32"/>
          <w:lang w:bidi="en-US"/>
        </w:rPr>
        <w:t>乌鲁木齐县教育局</w:t>
      </w:r>
    </w:p>
    <w:p>
      <w:pPr>
        <w:spacing w:line="480" w:lineRule="auto"/>
        <w:ind w:firstLine="1411" w:firstLineChars="441"/>
        <w:jc w:val="left"/>
        <w:rPr>
          <w:rFonts w:ascii="Times New Roman" w:hAnsi="Times New Roman" w:cs="Times New Roman"/>
          <w:kern w:val="0"/>
          <w:sz w:val="32"/>
          <w:szCs w:val="32"/>
          <w:lang w:bidi="en-US"/>
        </w:rPr>
      </w:pP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jc w:val="center"/>
        <w:rPr>
          <w:rFonts w:ascii="Times New Roman" w:hAnsi="Times New Roman" w:cs="Times New Roman"/>
          <w:kern w:val="0"/>
          <w:sz w:val="32"/>
          <w:szCs w:val="32"/>
          <w:lang w:bidi="en-US"/>
        </w:rPr>
      </w:pPr>
      <w:r>
        <w:rPr>
          <w:rFonts w:ascii="Times New Roman" w:hAnsi="Times New Roman" w:cs="Times New Roman"/>
          <w:kern w:val="0"/>
          <w:sz w:val="32"/>
          <w:szCs w:val="32"/>
          <w:lang w:bidi="en-US"/>
        </w:rPr>
        <w:t>2023年04月</w:t>
      </w:r>
    </w:p>
    <w:p>
      <w:pPr>
        <w:spacing w:line="480" w:lineRule="auto"/>
        <w:ind w:firstLine="0" w:firstLineChars="0"/>
        <w:jc w:val="center"/>
        <w:rPr>
          <w:rFonts w:ascii="Times New Roman" w:hAnsi="Times New Roman" w:cs="Times New Roman"/>
          <w:kern w:val="0"/>
          <w:sz w:val="32"/>
          <w:szCs w:val="32"/>
          <w:lang w:bidi="en-US"/>
        </w:rPr>
      </w:pPr>
    </w:p>
    <w:p>
      <w:pPr>
        <w:tabs>
          <w:tab w:val="left" w:pos="3324"/>
        </w:tabs>
        <w:spacing w:line="480" w:lineRule="auto"/>
        <w:ind w:firstLine="0" w:firstLineChars="0"/>
        <w:rPr>
          <w:rFonts w:ascii="Times New Roman" w:hAnsi="Times New Roman" w:cs="Times New Roman"/>
          <w:kern w:val="0"/>
          <w:sz w:val="32"/>
          <w:szCs w:val="32"/>
          <w:lang w:bidi="en-US"/>
        </w:rPr>
      </w:pPr>
      <w:r>
        <w:rPr>
          <w:rFonts w:ascii="Times New Roman" w:hAnsi="Times New Roman" w:cs="Times New Roman"/>
          <w:kern w:val="0"/>
          <w:sz w:val="32"/>
          <w:szCs w:val="32"/>
          <w:lang w:bidi="en-US"/>
        </w:rPr>
        <w:tab/>
      </w:r>
    </w:p>
    <w:p>
      <w:pPr>
        <w:ind w:firstLine="640"/>
        <w:rPr>
          <w:rFonts w:ascii="Times New Roman" w:hAnsi="Times New Roman" w:cs="Times New Roman"/>
          <w:kern w:val="0"/>
          <w:sz w:val="32"/>
          <w:szCs w:val="32"/>
          <w:lang w:bidi="en-US"/>
        </w:rPr>
      </w:pPr>
    </w:p>
    <w:sdt>
      <w:sdtPr>
        <w:rPr>
          <w:rFonts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ascii="Times New Roman" w:hAnsi="Times New Roman" w:eastAsia="仿宋_GB2312" w:cs="Times New Roman"/>
          <w:b/>
          <w:bCs/>
          <w:color w:val="auto"/>
          <w:kern w:val="2"/>
          <w:sz w:val="28"/>
          <w:szCs w:val="22"/>
          <w:lang w:val="zh-CN"/>
        </w:rPr>
      </w:sdtEndPr>
      <w:sdtContent>
        <w:p>
          <w:pPr>
            <w:pStyle w:val="32"/>
            <w:ind w:firstLine="560"/>
            <w:jc w:val="center"/>
            <w:rPr>
              <w:rFonts w:ascii="Times New Roman" w:hAnsi="Times New Roman" w:cs="Times New Roman"/>
            </w:rPr>
          </w:pPr>
          <w:r>
            <w:rPr>
              <w:rFonts w:ascii="Times New Roman" w:hAnsi="Times New Roman" w:cs="Times New Roman"/>
              <w:color w:val="000000" w:themeColor="text1"/>
              <w:lang w:val="zh-CN"/>
              <w14:textFill>
                <w14:solidFill>
                  <w14:schemeClr w14:val="tx1"/>
                </w14:solidFill>
              </w14:textFill>
            </w:rPr>
            <w:t>目录</w:t>
          </w:r>
        </w:p>
        <w:p>
          <w:pPr>
            <w:pStyle w:val="13"/>
            <w:tabs>
              <w:tab w:val="right" w:leader="dot" w:pos="8296"/>
            </w:tabs>
            <w:ind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TOC \o "1-3" \h \z \u </w:instrText>
          </w:r>
          <w:r>
            <w:rPr>
              <w:rFonts w:ascii="Times New Roman" w:hAnsi="Times New Roman" w:cs="Times New Roman"/>
            </w:rPr>
            <w:fldChar w:fldCharType="separate"/>
          </w:r>
          <w:r>
            <w:fldChar w:fldCharType="begin"/>
          </w:r>
          <w:r>
            <w:instrText xml:space="preserve"> HYPERLINK \l "_Toc100784583" </w:instrText>
          </w:r>
          <w:r>
            <w:fldChar w:fldCharType="separate"/>
          </w:r>
          <w:r>
            <w:rPr>
              <w:rStyle w:val="21"/>
              <w:rFonts w:ascii="Times New Roman" w:hAnsi="Times New Roman" w:eastAsia="仿宋" w:cs="Times New Roman"/>
              <w:lang w:bidi="en-US"/>
            </w:rPr>
            <w:t>一、基本情况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_Toc100784583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"_Toc100784584" </w:instrText>
          </w:r>
          <w:r>
            <w:fldChar w:fldCharType="separate"/>
          </w:r>
          <w:r>
            <w:rPr>
              <w:rStyle w:val="21"/>
              <w:rFonts w:ascii="Times New Roman" w:hAnsi="Times New Roman" w:eastAsia="仿宋" w:cs="Times New Roman"/>
              <w:lang w:bidi="en-US"/>
            </w:rPr>
            <w:t>（一）项目概况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_Toc100784584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"_Toc100784585" </w:instrText>
          </w:r>
          <w:r>
            <w:fldChar w:fldCharType="separate"/>
          </w:r>
          <w:r>
            <w:rPr>
              <w:rStyle w:val="21"/>
              <w:rFonts w:ascii="Times New Roman" w:hAnsi="Times New Roman" w:eastAsia="仿宋" w:cs="Times New Roman"/>
              <w:lang w:bidi="en-US"/>
            </w:rPr>
            <w:t>（二）项目绩效目标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_Toc100784585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firstLine="560"/>
            <w:rPr>
              <w:rFonts w:ascii="Times New Roman" w:hAnsi="Times New Roman" w:cs="Times New Roman" w:eastAsiaTheme="minorEastAsia"/>
              <w:sz w:val="21"/>
            </w:rPr>
          </w:pPr>
          <w:r>
            <w:fldChar w:fldCharType="begin"/>
          </w:r>
          <w:r>
            <w:instrText xml:space="preserve"> HYPERLINK \l "_Toc100784586" </w:instrText>
          </w:r>
          <w:r>
            <w:fldChar w:fldCharType="separate"/>
          </w:r>
          <w:r>
            <w:rPr>
              <w:rStyle w:val="21"/>
              <w:rFonts w:ascii="Times New Roman" w:hAnsi="Times New Roman" w:eastAsia="仿宋" w:cs="Times New Roman"/>
              <w:lang w:bidi="en-US"/>
            </w:rPr>
            <w:t>二、绩效评价工作开展情况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_Toc100784586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"_Toc100784587" </w:instrText>
          </w:r>
          <w:r>
            <w:fldChar w:fldCharType="separate"/>
          </w:r>
          <w:r>
            <w:rPr>
              <w:rStyle w:val="21"/>
              <w:rFonts w:ascii="Times New Roman" w:hAnsi="Times New Roman" w:eastAsia="仿宋" w:cs="Times New Roman"/>
              <w:lang w:bidi="en-US"/>
            </w:rPr>
            <w:t>（一）绩效评价目的、对象和范围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_Toc100784587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"_Toc100784588" </w:instrText>
          </w:r>
          <w:r>
            <w:fldChar w:fldCharType="separate"/>
          </w:r>
          <w:r>
            <w:rPr>
              <w:rStyle w:val="21"/>
              <w:rFonts w:ascii="Times New Roman" w:hAnsi="Times New Roman" w:cs="Times New Roman"/>
            </w:rPr>
            <w:t>1.评价目的</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_Toc100784588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"_Toc100784589" </w:instrText>
          </w:r>
          <w:r>
            <w:fldChar w:fldCharType="separate"/>
          </w:r>
          <w:r>
            <w:rPr>
              <w:rStyle w:val="21"/>
              <w:rFonts w:ascii="Times New Roman" w:hAnsi="Times New Roman" w:cs="Times New Roman"/>
            </w:rPr>
            <w:t>2.评价对象和范围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_Toc100784589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"_Toc100784590" </w:instrText>
          </w:r>
          <w:r>
            <w:fldChar w:fldCharType="separate"/>
          </w:r>
          <w:r>
            <w:rPr>
              <w:rStyle w:val="21"/>
              <w:rFonts w:ascii="Times New Roman" w:hAnsi="Times New Roman" w:eastAsia="仿宋" w:cs="Times New Roman"/>
              <w:lang w:bidi="en-US"/>
            </w:rPr>
            <w:t>（二）绩效评价原则、指标体系、方法及标准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_Toc100784590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"_Toc100784591" </w:instrText>
          </w:r>
          <w:r>
            <w:fldChar w:fldCharType="separate"/>
          </w:r>
          <w:r>
            <w:rPr>
              <w:rStyle w:val="21"/>
              <w:rFonts w:ascii="Times New Roman" w:hAnsi="Times New Roman" w:cs="Times New Roman"/>
            </w:rPr>
            <w:t>1.评价原则</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_Toc100784591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"_Toc100784592" </w:instrText>
          </w:r>
          <w:r>
            <w:fldChar w:fldCharType="separate"/>
          </w:r>
          <w:r>
            <w:rPr>
              <w:rStyle w:val="21"/>
              <w:rFonts w:ascii="Times New Roman" w:hAnsi="Times New Roman" w:cs="Times New Roman"/>
            </w:rPr>
            <w:t>2.评价指标体系</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_Toc100784592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"_Toc100784593" </w:instrText>
          </w:r>
          <w:r>
            <w:fldChar w:fldCharType="separate"/>
          </w:r>
          <w:r>
            <w:rPr>
              <w:rStyle w:val="21"/>
              <w:rFonts w:ascii="Times New Roman" w:hAnsi="Times New Roman" w:cs="Times New Roman"/>
            </w:rPr>
            <w:t>3.评价方法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_Toc100784593 \h </w:instrText>
          </w:r>
          <w:r>
            <w:rPr>
              <w:rFonts w:ascii="Times New Roman" w:hAnsi="Times New Roman" w:cs="Times New Roman"/>
            </w:rPr>
            <w:fldChar w:fldCharType="separate"/>
          </w:r>
          <w:r>
            <w:rPr>
              <w:rFonts w:ascii="Times New Roman" w:hAnsi="Times New Roman" w:cs="Times New Roman"/>
            </w:rPr>
            <w:t>10</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"_Toc100784594" </w:instrText>
          </w:r>
          <w:r>
            <w:fldChar w:fldCharType="separate"/>
          </w:r>
          <w:r>
            <w:rPr>
              <w:rStyle w:val="21"/>
              <w:rFonts w:ascii="Times New Roman" w:hAnsi="Times New Roman" w:cs="Times New Roman"/>
            </w:rPr>
            <w:t>4.评价标准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_Toc100784594 \h </w:instrText>
          </w:r>
          <w:r>
            <w:rPr>
              <w:rFonts w:ascii="Times New Roman" w:hAnsi="Times New Roman" w:cs="Times New Roman"/>
            </w:rPr>
            <w:fldChar w:fldCharType="separate"/>
          </w:r>
          <w:r>
            <w:rPr>
              <w:rFonts w:ascii="Times New Roman" w:hAnsi="Times New Roman" w:cs="Times New Roman"/>
            </w:rPr>
            <w:t>11</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"_Toc100784595" </w:instrText>
          </w:r>
          <w:r>
            <w:fldChar w:fldCharType="separate"/>
          </w:r>
          <w:r>
            <w:rPr>
              <w:rStyle w:val="21"/>
              <w:rFonts w:ascii="Times New Roman" w:hAnsi="Times New Roman" w:eastAsia="仿宋" w:cs="Times New Roman"/>
              <w:lang w:bidi="en-US"/>
            </w:rPr>
            <w:t>（三）绩效评价工作过程</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_Toc100784595 \h </w:instrText>
          </w:r>
          <w:r>
            <w:rPr>
              <w:rFonts w:ascii="Times New Roman" w:hAnsi="Times New Roman" w:cs="Times New Roman"/>
            </w:rPr>
            <w:fldChar w:fldCharType="separate"/>
          </w:r>
          <w:r>
            <w:rPr>
              <w:rFonts w:ascii="Times New Roman" w:hAnsi="Times New Roman" w:cs="Times New Roman"/>
            </w:rPr>
            <w:t>11</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firstLine="560"/>
            <w:rPr>
              <w:rFonts w:ascii="Times New Roman" w:hAnsi="Times New Roman" w:cs="Times New Roman" w:eastAsiaTheme="minorEastAsia"/>
              <w:sz w:val="21"/>
            </w:rPr>
          </w:pPr>
          <w:r>
            <w:fldChar w:fldCharType="begin"/>
          </w:r>
          <w:r>
            <w:instrText xml:space="preserve"> HYPERLINK \l "_Toc100784596" </w:instrText>
          </w:r>
          <w:r>
            <w:fldChar w:fldCharType="separate"/>
          </w:r>
          <w:r>
            <w:rPr>
              <w:rStyle w:val="21"/>
              <w:rFonts w:ascii="Times New Roman" w:hAnsi="Times New Roman" w:eastAsia="仿宋" w:cs="Times New Roman"/>
              <w:lang w:bidi="en-US"/>
            </w:rPr>
            <w:t>三、综合评价情况及评价结论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_Toc100784596 \h </w:instrText>
          </w:r>
          <w:r>
            <w:rPr>
              <w:rFonts w:ascii="Times New Roman" w:hAnsi="Times New Roman" w:cs="Times New Roman"/>
            </w:rPr>
            <w:fldChar w:fldCharType="separate"/>
          </w:r>
          <w:r>
            <w:rPr>
              <w:rFonts w:ascii="Times New Roman" w:hAnsi="Times New Roman" w:cs="Times New Roman"/>
            </w:rPr>
            <w:t>12</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"_Toc100784597" </w:instrText>
          </w:r>
          <w:r>
            <w:fldChar w:fldCharType="separate"/>
          </w:r>
          <w:r>
            <w:rPr>
              <w:rStyle w:val="21"/>
              <w:rFonts w:ascii="Times New Roman" w:hAnsi="Times New Roman" w:eastAsia="仿宋" w:cs="Times New Roman"/>
              <w:lang w:bidi="en-US"/>
            </w:rPr>
            <w:t>（一）评价结论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_Toc100784597 \h </w:instrText>
          </w:r>
          <w:r>
            <w:rPr>
              <w:rFonts w:ascii="Times New Roman" w:hAnsi="Times New Roman" w:cs="Times New Roman"/>
            </w:rPr>
            <w:fldChar w:fldCharType="separate"/>
          </w:r>
          <w:r>
            <w:rPr>
              <w:rFonts w:ascii="Times New Roman" w:hAnsi="Times New Roman" w:cs="Times New Roman"/>
            </w:rPr>
            <w:t>12</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"_Toc100784598" </w:instrText>
          </w:r>
          <w:r>
            <w:fldChar w:fldCharType="separate"/>
          </w:r>
          <w:r>
            <w:rPr>
              <w:rStyle w:val="21"/>
              <w:rFonts w:ascii="Times New Roman" w:hAnsi="Times New Roman" w:eastAsia="仿宋" w:cs="Times New Roman"/>
              <w:lang w:bidi="en-US"/>
            </w:rPr>
            <w:t>（二）主要绩效</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_Toc100784598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firstLine="560"/>
            <w:rPr>
              <w:rFonts w:ascii="Times New Roman" w:hAnsi="Times New Roman" w:cs="Times New Roman" w:eastAsiaTheme="minorEastAsia"/>
              <w:sz w:val="21"/>
            </w:rPr>
          </w:pPr>
          <w:r>
            <w:fldChar w:fldCharType="begin"/>
          </w:r>
          <w:r>
            <w:instrText xml:space="preserve"> HYPERLINK \l "_Toc100784599" </w:instrText>
          </w:r>
          <w:r>
            <w:fldChar w:fldCharType="separate"/>
          </w:r>
          <w:r>
            <w:rPr>
              <w:rStyle w:val="21"/>
              <w:rFonts w:ascii="Times New Roman" w:hAnsi="Times New Roman" w:eastAsia="仿宋" w:cs="Times New Roman"/>
              <w:lang w:bidi="en-US"/>
            </w:rPr>
            <w:t>四、绩效评价指标分析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_Toc100784599 \h </w:instrText>
          </w:r>
          <w:r>
            <w:rPr>
              <w:rFonts w:ascii="Times New Roman" w:hAnsi="Times New Roman" w:cs="Times New Roman"/>
            </w:rPr>
            <w:fldChar w:fldCharType="separate"/>
          </w:r>
          <w:r>
            <w:rPr>
              <w:rFonts w:ascii="Times New Roman" w:hAnsi="Times New Roman" w:cs="Times New Roman"/>
            </w:rPr>
            <w:t>14</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"_Toc100784600" </w:instrText>
          </w:r>
          <w:r>
            <w:fldChar w:fldCharType="separate"/>
          </w:r>
          <w:r>
            <w:rPr>
              <w:rStyle w:val="21"/>
              <w:rFonts w:ascii="Times New Roman" w:hAnsi="Times New Roman" w:eastAsia="仿宋" w:cs="Times New Roman"/>
              <w:lang w:bidi="en-US"/>
            </w:rPr>
            <w:t>（一）项目决策情况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_Toc100784600 \h </w:instrText>
          </w:r>
          <w:r>
            <w:rPr>
              <w:rFonts w:ascii="Times New Roman" w:hAnsi="Times New Roman" w:cs="Times New Roman"/>
            </w:rPr>
            <w:fldChar w:fldCharType="separate"/>
          </w:r>
          <w:r>
            <w:rPr>
              <w:rFonts w:ascii="Times New Roman" w:hAnsi="Times New Roman" w:cs="Times New Roman"/>
            </w:rPr>
            <w:t>14</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"_Toc100784601" </w:instrText>
          </w:r>
          <w:r>
            <w:fldChar w:fldCharType="separate"/>
          </w:r>
          <w:r>
            <w:rPr>
              <w:rStyle w:val="21"/>
              <w:rFonts w:ascii="Times New Roman" w:hAnsi="Times New Roman" w:cs="Times New Roman"/>
            </w:rPr>
            <w:t>1.项目立项</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_Toc100784601 \h </w:instrText>
          </w:r>
          <w:r>
            <w:rPr>
              <w:rFonts w:ascii="Times New Roman" w:hAnsi="Times New Roman" w:cs="Times New Roman"/>
            </w:rPr>
            <w:fldChar w:fldCharType="separate"/>
          </w:r>
          <w:r>
            <w:rPr>
              <w:rFonts w:ascii="Times New Roman" w:hAnsi="Times New Roman" w:cs="Times New Roman"/>
            </w:rPr>
            <w:t>14</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"_Toc100784602" </w:instrText>
          </w:r>
          <w:r>
            <w:fldChar w:fldCharType="separate"/>
          </w:r>
          <w:r>
            <w:rPr>
              <w:rStyle w:val="21"/>
              <w:rFonts w:ascii="Times New Roman" w:hAnsi="Times New Roman" w:cs="Times New Roman"/>
            </w:rPr>
            <w:t>2.绩效目标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_Toc100784602 \h </w:instrText>
          </w:r>
          <w:r>
            <w:rPr>
              <w:rFonts w:ascii="Times New Roman" w:hAnsi="Times New Roman" w:cs="Times New Roman"/>
            </w:rPr>
            <w:fldChar w:fldCharType="separate"/>
          </w:r>
          <w:r>
            <w:rPr>
              <w:rFonts w:ascii="Times New Roman" w:hAnsi="Times New Roman" w:cs="Times New Roman"/>
            </w:rPr>
            <w:t>14</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"_Toc100784603" </w:instrText>
          </w:r>
          <w:r>
            <w:fldChar w:fldCharType="separate"/>
          </w:r>
          <w:r>
            <w:rPr>
              <w:rStyle w:val="21"/>
              <w:rFonts w:ascii="Times New Roman" w:hAnsi="Times New Roman" w:cs="Times New Roman"/>
            </w:rPr>
            <w:t>3.资金投入</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_Toc100784603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"_Toc100784604" </w:instrText>
          </w:r>
          <w:r>
            <w:fldChar w:fldCharType="separate"/>
          </w:r>
          <w:r>
            <w:rPr>
              <w:rStyle w:val="21"/>
              <w:rFonts w:ascii="Times New Roman" w:hAnsi="Times New Roman" w:eastAsia="仿宋" w:cs="Times New Roman"/>
              <w:lang w:bidi="en-US"/>
            </w:rPr>
            <w:t>（二）项目过程情况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_Toc100784604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"_Toc100784605" </w:instrText>
          </w:r>
          <w:r>
            <w:fldChar w:fldCharType="separate"/>
          </w:r>
          <w:r>
            <w:rPr>
              <w:rStyle w:val="21"/>
              <w:rFonts w:ascii="Times New Roman" w:hAnsi="Times New Roman" w:cs="Times New Roman"/>
            </w:rPr>
            <w:t>1.资金管理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_Toc100784605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"_Toc100784606" </w:instrText>
          </w:r>
          <w:r>
            <w:fldChar w:fldCharType="separate"/>
          </w:r>
          <w:r>
            <w:rPr>
              <w:rStyle w:val="21"/>
              <w:rFonts w:ascii="Times New Roman" w:hAnsi="Times New Roman" w:cs="Times New Roman"/>
            </w:rPr>
            <w:t>2.组织实施</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_Toc100784606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"_Toc100784607" </w:instrText>
          </w:r>
          <w:r>
            <w:fldChar w:fldCharType="separate"/>
          </w:r>
          <w:r>
            <w:rPr>
              <w:rStyle w:val="21"/>
              <w:rFonts w:ascii="Times New Roman" w:hAnsi="Times New Roman" w:eastAsia="仿宋" w:cs="Times New Roman"/>
              <w:lang w:bidi="en-US"/>
            </w:rPr>
            <w:t>（三）项目产出情况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_Toc100784607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"_Toc100784608" </w:instrText>
          </w:r>
          <w:r>
            <w:fldChar w:fldCharType="separate"/>
          </w:r>
          <w:r>
            <w:rPr>
              <w:rStyle w:val="21"/>
              <w:rFonts w:ascii="Times New Roman" w:hAnsi="Times New Roman" w:cs="Times New Roman"/>
            </w:rPr>
            <w:t>1.产出数量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_Toc100784608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"_Toc100784609" </w:instrText>
          </w:r>
          <w:r>
            <w:fldChar w:fldCharType="separate"/>
          </w:r>
          <w:r>
            <w:rPr>
              <w:rStyle w:val="21"/>
              <w:rFonts w:ascii="Times New Roman" w:hAnsi="Times New Roman" w:cs="Times New Roman"/>
            </w:rPr>
            <w:t>2.产出质量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_Toc100784609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"_Toc100784610" </w:instrText>
          </w:r>
          <w:r>
            <w:fldChar w:fldCharType="separate"/>
          </w:r>
          <w:r>
            <w:rPr>
              <w:rStyle w:val="21"/>
              <w:rFonts w:ascii="Times New Roman" w:hAnsi="Times New Roman" w:cs="Times New Roman"/>
            </w:rPr>
            <w:t>3.产出时效</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_Toc100784610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"_Toc100784611" </w:instrText>
          </w:r>
          <w:r>
            <w:fldChar w:fldCharType="separate"/>
          </w:r>
          <w:r>
            <w:rPr>
              <w:rStyle w:val="21"/>
              <w:rFonts w:ascii="Times New Roman" w:hAnsi="Times New Roman" w:cs="Times New Roman"/>
            </w:rPr>
            <w:t>4.产出成本</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_Toc100784611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"_Toc100784612" </w:instrText>
          </w:r>
          <w:r>
            <w:fldChar w:fldCharType="separate"/>
          </w:r>
          <w:r>
            <w:rPr>
              <w:rStyle w:val="21"/>
              <w:rFonts w:ascii="Times New Roman" w:hAnsi="Times New Roman" w:eastAsia="仿宋" w:cs="Times New Roman"/>
              <w:lang w:bidi="en-US"/>
            </w:rPr>
            <w:t>（四）项目效益情况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_Toc100784612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"_Toc100784613" </w:instrText>
          </w:r>
          <w:r>
            <w:fldChar w:fldCharType="separate"/>
          </w:r>
          <w:r>
            <w:rPr>
              <w:rStyle w:val="21"/>
              <w:rFonts w:ascii="Times New Roman" w:hAnsi="Times New Roman" w:cs="Times New Roman"/>
            </w:rPr>
            <w:t>1.项目效益</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_Toc100784613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8"/>
            <w:tabs>
              <w:tab w:val="right" w:leader="dot" w:pos="8296"/>
            </w:tabs>
            <w:ind w:left="1120" w:firstLine="560"/>
            <w:rPr>
              <w:rFonts w:ascii="Times New Roman" w:hAnsi="Times New Roman" w:cs="Times New Roman"/>
            </w:rPr>
          </w:pPr>
          <w:r>
            <w:fldChar w:fldCharType="begin"/>
          </w:r>
          <w:r>
            <w:instrText xml:space="preserve"> HYPERLINK \l "_Toc100784614" </w:instrText>
          </w:r>
          <w:r>
            <w:fldChar w:fldCharType="separate"/>
          </w:r>
          <w:r>
            <w:rPr>
              <w:rStyle w:val="21"/>
              <w:rFonts w:ascii="Times New Roman" w:hAnsi="Times New Roman" w:cs="Times New Roman"/>
            </w:rPr>
            <w:t>2. 满意度指标完成情况分析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_Toc100784614 \h </w:instrText>
          </w:r>
          <w:r>
            <w:rPr>
              <w:rFonts w:ascii="Times New Roman" w:hAnsi="Times New Roman" w:cs="Times New Roman"/>
            </w:rPr>
            <w:fldChar w:fldCharType="separate"/>
          </w:r>
          <w:r>
            <w:rPr>
              <w:rFonts w:ascii="Times New Roman" w:hAnsi="Times New Roman" w:cs="Times New Roman"/>
            </w:rPr>
            <w:t>19</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firstLine="560"/>
            <w:rPr>
              <w:rFonts w:ascii="Times New Roman" w:hAnsi="Times New Roman" w:cs="Times New Roman" w:eastAsiaTheme="minorEastAsia"/>
              <w:sz w:val="21"/>
            </w:rPr>
          </w:pPr>
          <w:r>
            <w:fldChar w:fldCharType="begin"/>
          </w:r>
          <w:r>
            <w:instrText xml:space="preserve"> HYPERLINK \l "_Toc100784615" </w:instrText>
          </w:r>
          <w:r>
            <w:fldChar w:fldCharType="separate"/>
          </w:r>
          <w:r>
            <w:rPr>
              <w:rStyle w:val="21"/>
              <w:rFonts w:ascii="Times New Roman" w:hAnsi="Times New Roman" w:eastAsia="仿宋" w:cs="Times New Roman"/>
              <w:lang w:bidi="en-US"/>
            </w:rPr>
            <w:t>五、预算执行进度与绩效指标偏差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_Toc100784615 \h </w:instrText>
          </w:r>
          <w:r>
            <w:rPr>
              <w:rFonts w:ascii="Times New Roman" w:hAnsi="Times New Roman" w:cs="Times New Roman"/>
            </w:rPr>
            <w:fldChar w:fldCharType="separate"/>
          </w:r>
          <w:r>
            <w:rPr>
              <w:rFonts w:ascii="Times New Roman" w:hAnsi="Times New Roman" w:cs="Times New Roman"/>
            </w:rPr>
            <w:t>19</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firstLine="560"/>
            <w:rPr>
              <w:rFonts w:ascii="Times New Roman" w:hAnsi="Times New Roman" w:cs="Times New Roman" w:eastAsiaTheme="minorEastAsia"/>
              <w:sz w:val="21"/>
            </w:rPr>
          </w:pPr>
          <w:r>
            <w:fldChar w:fldCharType="begin"/>
          </w:r>
          <w:r>
            <w:instrText xml:space="preserve"> HYPERLINK \l "_Toc100784616" </w:instrText>
          </w:r>
          <w:r>
            <w:fldChar w:fldCharType="separate"/>
          </w:r>
          <w:r>
            <w:rPr>
              <w:rStyle w:val="21"/>
              <w:rFonts w:ascii="Times New Roman" w:hAnsi="Times New Roman" w:eastAsia="仿宋" w:cs="Times New Roman"/>
              <w:lang w:bidi="en-US"/>
            </w:rPr>
            <w:t>六、主要经验及做法、存在的问题及原因分析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_Toc100784616 \h </w:instrText>
          </w:r>
          <w:r>
            <w:rPr>
              <w:rFonts w:ascii="Times New Roman" w:hAnsi="Times New Roman" w:cs="Times New Roman"/>
            </w:rPr>
            <w:fldChar w:fldCharType="separate"/>
          </w:r>
          <w:r>
            <w:rPr>
              <w:rFonts w:ascii="Times New Roman" w:hAnsi="Times New Roman" w:cs="Times New Roman"/>
            </w:rPr>
            <w:t>20</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"_Toc100784617" </w:instrText>
          </w:r>
          <w:r>
            <w:fldChar w:fldCharType="separate"/>
          </w:r>
          <w:r>
            <w:rPr>
              <w:rStyle w:val="21"/>
              <w:rFonts w:ascii="Times New Roman" w:hAnsi="Times New Roman" w:eastAsia="仿宋" w:cs="Times New Roman"/>
              <w:lang w:bidi="en-US"/>
            </w:rPr>
            <w:t>（一）主要经验及做法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_Toc100784617 \h </w:instrText>
          </w:r>
          <w:r>
            <w:rPr>
              <w:rFonts w:ascii="Times New Roman" w:hAnsi="Times New Roman" w:cs="Times New Roman"/>
            </w:rPr>
            <w:fldChar w:fldCharType="separate"/>
          </w:r>
          <w:r>
            <w:rPr>
              <w:rFonts w:ascii="Times New Roman" w:hAnsi="Times New Roman" w:cs="Times New Roman"/>
            </w:rPr>
            <w:t>20</w:t>
          </w:r>
          <w:r>
            <w:rPr>
              <w:rFonts w:ascii="Times New Roman" w:hAnsi="Times New Roman" w:cs="Times New Roman"/>
            </w:rPr>
            <w:fldChar w:fldCharType="end"/>
          </w:r>
          <w:r>
            <w:rPr>
              <w:rFonts w:ascii="Times New Roman" w:hAnsi="Times New Roman" w:cs="Times New Roman"/>
            </w:rPr>
            <w:fldChar w:fldCharType="end"/>
          </w:r>
        </w:p>
        <w:p>
          <w:pPr>
            <w:pStyle w:val="15"/>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"_Toc100784618" </w:instrText>
          </w:r>
          <w:r>
            <w:fldChar w:fldCharType="separate"/>
          </w:r>
          <w:r>
            <w:rPr>
              <w:rStyle w:val="21"/>
              <w:rFonts w:ascii="Times New Roman" w:hAnsi="Times New Roman" w:eastAsia="仿宋" w:cs="Times New Roman"/>
              <w:lang w:bidi="en-US"/>
            </w:rPr>
            <w:t>（二）存在的问题及原因分析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_Toc100784618 \h </w:instrText>
          </w:r>
          <w:r>
            <w:rPr>
              <w:rFonts w:ascii="Times New Roman" w:hAnsi="Times New Roman" w:cs="Times New Roman"/>
            </w:rPr>
            <w:fldChar w:fldCharType="separate"/>
          </w:r>
          <w:r>
            <w:rPr>
              <w:rFonts w:ascii="Times New Roman" w:hAnsi="Times New Roman" w:cs="Times New Roman"/>
            </w:rPr>
            <w:t>20</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firstLine="560"/>
            <w:rPr>
              <w:rFonts w:ascii="Times New Roman" w:hAnsi="Times New Roman" w:cs="Times New Roman" w:eastAsiaTheme="minorEastAsia"/>
              <w:sz w:val="21"/>
            </w:rPr>
          </w:pPr>
          <w:r>
            <w:fldChar w:fldCharType="begin"/>
          </w:r>
          <w:r>
            <w:instrText xml:space="preserve"> HYPERLINK \l "_Toc100784619" </w:instrText>
          </w:r>
          <w:r>
            <w:fldChar w:fldCharType="separate"/>
          </w:r>
          <w:r>
            <w:rPr>
              <w:rStyle w:val="21"/>
              <w:rFonts w:ascii="Times New Roman" w:hAnsi="Times New Roman" w:eastAsia="仿宋" w:cs="Times New Roman"/>
              <w:lang w:bidi="en-US"/>
            </w:rPr>
            <w:t>七、其他需要说明的问题</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_Toc100784619 \h </w:instrText>
          </w:r>
          <w:r>
            <w:rPr>
              <w:rFonts w:ascii="Times New Roman" w:hAnsi="Times New Roman" w:cs="Times New Roman"/>
            </w:rPr>
            <w:fldChar w:fldCharType="separate"/>
          </w:r>
          <w:r>
            <w:rPr>
              <w:rFonts w:ascii="Times New Roman" w:hAnsi="Times New Roman" w:cs="Times New Roman"/>
            </w:rPr>
            <w:t>20</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firstLine="560"/>
            <w:rPr>
              <w:rFonts w:ascii="Times New Roman" w:hAnsi="Times New Roman" w:cs="Times New Roman" w:eastAsiaTheme="minorEastAsia"/>
              <w:sz w:val="21"/>
            </w:rPr>
          </w:pPr>
          <w:r>
            <w:fldChar w:fldCharType="begin"/>
          </w:r>
          <w:r>
            <w:instrText xml:space="preserve"> HYPERLINK \l "_Toc100784620" </w:instrText>
          </w:r>
          <w:r>
            <w:fldChar w:fldCharType="separate"/>
          </w:r>
          <w:r>
            <w:rPr>
              <w:rStyle w:val="21"/>
              <w:rFonts w:ascii="Times New Roman" w:hAnsi="Times New Roman" w:eastAsia="仿宋" w:cs="Times New Roman"/>
              <w:lang w:bidi="en-US"/>
            </w:rPr>
            <w:t>八、有关建议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_Toc100784620 \h </w:instrText>
          </w:r>
          <w:r>
            <w:rPr>
              <w:rFonts w:ascii="Times New Roman" w:hAnsi="Times New Roman" w:cs="Times New Roman"/>
            </w:rPr>
            <w:fldChar w:fldCharType="separate"/>
          </w:r>
          <w:r>
            <w:rPr>
              <w:rFonts w:ascii="Times New Roman" w:hAnsi="Times New Roman" w:cs="Times New Roman"/>
            </w:rPr>
            <w:t>21</w:t>
          </w:r>
          <w:r>
            <w:rPr>
              <w:rFonts w:ascii="Times New Roman" w:hAnsi="Times New Roman" w:cs="Times New Roman"/>
            </w:rPr>
            <w:fldChar w:fldCharType="end"/>
          </w:r>
          <w:r>
            <w:rPr>
              <w:rFonts w:ascii="Times New Roman" w:hAnsi="Times New Roman" w:cs="Times New Roman"/>
            </w:rPr>
            <w:fldChar w:fldCharType="end"/>
          </w:r>
        </w:p>
        <w:p>
          <w:pPr>
            <w:ind w:firstLine="562"/>
            <w:rPr>
              <w:rFonts w:ascii="Times New Roman" w:hAnsi="Times New Roman" w:cs="Times New Roman"/>
            </w:rPr>
          </w:pPr>
          <w:r>
            <w:rPr>
              <w:rFonts w:ascii="Times New Roman" w:hAnsi="Times New Roman" w:cs="Times New Roman"/>
              <w:b/>
              <w:bCs/>
              <w:lang w:val="zh-CN"/>
            </w:rPr>
            <w:fldChar w:fldCharType="end"/>
          </w:r>
        </w:p>
      </w:sdtContent>
    </w:sdt>
    <w:p>
      <w:pPr>
        <w:ind w:firstLine="598" w:firstLineChars="187"/>
        <w:rPr>
          <w:rFonts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4"/>
        <w:spacing w:before="0" w:after="0" w:line="360" w:lineRule="auto"/>
        <w:ind w:firstLine="0" w:firstLineChars="0"/>
        <w:jc w:val="left"/>
        <w:rPr>
          <w:rFonts w:ascii="Times New Roman" w:hAnsi="Times New Roman" w:eastAsia="仿宋" w:cs="Times New Roman"/>
          <w:sz w:val="36"/>
          <w:szCs w:val="36"/>
          <w:lang w:bidi="en-US"/>
        </w:rPr>
      </w:pPr>
      <w:bookmarkStart w:id="0" w:name="_Toc67911601"/>
      <w:bookmarkStart w:id="1" w:name="_Toc100784583"/>
      <w:r>
        <w:rPr>
          <w:rFonts w:ascii="Times New Roman" w:hAnsi="Times New Roman" w:eastAsia="仿宋" w:cs="Times New Roman"/>
          <w:sz w:val="36"/>
          <w:szCs w:val="36"/>
          <w:lang w:bidi="en-US"/>
        </w:rPr>
        <w:t>一、基本情况</w:t>
      </w:r>
      <w:bookmarkEnd w:id="0"/>
      <w:bookmarkEnd w:id="1"/>
    </w:p>
    <w:p>
      <w:pPr>
        <w:pStyle w:val="4"/>
        <w:spacing w:before="0" w:after="0" w:line="360" w:lineRule="auto"/>
        <w:ind w:firstLine="0" w:firstLineChars="0"/>
        <w:jc w:val="left"/>
        <w:rPr>
          <w:rFonts w:ascii="Times New Roman" w:hAnsi="Times New Roman" w:eastAsia="仿宋" w:cs="Times New Roman"/>
          <w:sz w:val="32"/>
          <w:szCs w:val="32"/>
          <w:lang w:bidi="en-US"/>
        </w:rPr>
      </w:pPr>
      <w:bookmarkStart w:id="2" w:name="_Toc67911602"/>
      <w:bookmarkStart w:id="3" w:name="_Toc100784584"/>
      <w:r>
        <w:rPr>
          <w:rFonts w:ascii="Times New Roman" w:hAnsi="Times New Roman" w:eastAsia="仿宋" w:cs="Times New Roman"/>
          <w:sz w:val="32"/>
          <w:szCs w:val="32"/>
          <w:lang w:bidi="en-US"/>
        </w:rPr>
        <w:t>（一）项目概况</w:t>
      </w:r>
      <w:bookmarkEnd w:id="2"/>
      <w:bookmarkEnd w:id="3"/>
    </w:p>
    <w:p>
      <w:pPr>
        <w:spacing w:line="560" w:lineRule="exact"/>
        <w:ind w:firstLine="560"/>
        <w:rPr>
          <w:rFonts w:ascii="Times New Roman" w:hAnsi="Times New Roman" w:cs="Times New Roman"/>
        </w:rPr>
      </w:pPr>
      <w:r>
        <w:rPr>
          <w:rFonts w:ascii="Times New Roman" w:hAnsi="Times New Roman" w:cs="Times New Roman"/>
        </w:rPr>
        <w:t>根据</w:t>
      </w:r>
      <w:r>
        <w:rPr>
          <w:rFonts w:hint="eastAsia" w:ascii="Times New Roman" w:hAnsi="Times New Roman" w:cs="Times New Roman"/>
        </w:rPr>
        <w:t>乌财科教</w:t>
      </w:r>
      <w:r>
        <w:rPr>
          <w:rFonts w:hint="eastAsia" w:ascii="Times New Roman" w:hAnsi="Times New Roman" w:eastAsia="仿宋" w:cs="Times New Roman"/>
          <w:bCs/>
          <w:color w:val="333333"/>
          <w:szCs w:val="28"/>
        </w:rPr>
        <w:t>【2021】96号</w:t>
      </w:r>
      <w:r>
        <w:rPr>
          <w:rFonts w:hint="eastAsia" w:ascii="Times New Roman" w:hAnsi="Times New Roman" w:cs="Times New Roman"/>
        </w:rPr>
        <w:t>关于提前下达</w:t>
      </w:r>
      <w:r>
        <w:rPr>
          <w:rFonts w:hint="eastAsia" w:ascii="Times New Roman" w:hAnsi="Times New Roman" w:eastAsia="仿宋" w:cs="Times New Roman"/>
          <w:bCs/>
          <w:color w:val="333333"/>
          <w:szCs w:val="28"/>
        </w:rPr>
        <w:t>2022年</w:t>
      </w:r>
      <w:r>
        <w:rPr>
          <w:rFonts w:hint="eastAsia" w:ascii="Times New Roman" w:hAnsi="Times New Roman" w:cs="Times New Roman"/>
        </w:rPr>
        <w:t>教育直达资金城乡义务教育补助公用经费，公用经费基准定额为：普通初中每生每年850元，在此基础上对寄宿制学校按照寄宿生年生均200元标准增加公用经费补助，对各学校按照采暖期长短补助取暖费，特殊学校和随班就读残疾学生按每生每年6000元标准补助公用经费。</w:t>
      </w:r>
    </w:p>
    <w:p>
      <w:pPr>
        <w:spacing w:line="560" w:lineRule="exact"/>
        <w:ind w:firstLine="560"/>
        <w:rPr>
          <w:rFonts w:ascii="Times New Roman" w:hAnsi="Times New Roman" w:cs="Times New Roman"/>
        </w:rPr>
      </w:pPr>
      <w:r>
        <w:rPr>
          <w:rFonts w:hint="eastAsia" w:ascii="Times New Roman" w:hAnsi="Times New Roman" w:cs="Times New Roman"/>
        </w:rPr>
        <w:t>经乌财科教【2021】96号文件批准，项目系2022年中央资金，共安排预算43.94万元，于2022年年初部分预算批复项目，</w:t>
      </w:r>
      <w:bookmarkStart w:id="4" w:name="_Toc67911603"/>
      <w:bookmarkStart w:id="5" w:name="_Toc100784585"/>
      <w:r>
        <w:rPr>
          <w:rFonts w:hint="eastAsia" w:ascii="Times New Roman" w:hAnsi="Times New Roman" w:cs="Times New Roman"/>
        </w:rPr>
        <w:t>年预算数43.94万元，全年执行43.69万元，执行率99.43%。</w:t>
      </w:r>
    </w:p>
    <w:p>
      <w:pPr>
        <w:spacing w:line="360" w:lineRule="auto"/>
        <w:ind w:firstLine="640"/>
        <w:rPr>
          <w:rFonts w:ascii="Times New Roman" w:hAnsi="Times New Roman" w:eastAsia="仿宋" w:cs="Times New Roman"/>
          <w:sz w:val="32"/>
          <w:szCs w:val="32"/>
          <w:lang w:bidi="en-US"/>
        </w:rPr>
      </w:pPr>
      <w:r>
        <w:rPr>
          <w:rFonts w:ascii="Times New Roman" w:hAnsi="Times New Roman" w:eastAsia="仿宋" w:cs="Times New Roman"/>
          <w:sz w:val="32"/>
          <w:szCs w:val="32"/>
          <w:lang w:bidi="en-US"/>
        </w:rPr>
        <w:t>（二）项目绩效目标</w:t>
      </w:r>
      <w:bookmarkEnd w:id="4"/>
      <w:bookmarkEnd w:id="5"/>
    </w:p>
    <w:p>
      <w:pPr>
        <w:spacing w:line="360" w:lineRule="auto"/>
        <w:ind w:firstLine="560"/>
        <w:rPr>
          <w:rFonts w:ascii="Times New Roman" w:hAnsi="Times New Roman" w:cs="Times New Roman"/>
          <w:szCs w:val="28"/>
        </w:rPr>
      </w:pPr>
      <w:r>
        <w:rPr>
          <w:rFonts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ascii="Times New Roman" w:hAnsi="Times New Roman" w:cs="Times New Roman"/>
          <w:szCs w:val="28"/>
        </w:rPr>
        <w:t>〔2018〕56号</w:t>
      </w:r>
      <w:bookmarkEnd w:id="6"/>
      <w:r>
        <w:rPr>
          <w:rFonts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bookmarkStart w:id="7" w:name="_Toc67911604"/>
      <w:bookmarkStart w:id="8" w:name="_Toc100784586"/>
    </w:p>
    <w:p>
      <w:pPr>
        <w:spacing w:line="560" w:lineRule="exact"/>
        <w:ind w:firstLine="560"/>
        <w:rPr>
          <w:rFonts w:ascii="Times New Roman" w:hAnsi="Times New Roman" w:cs="Times New Roman"/>
        </w:rPr>
      </w:pPr>
      <w:r>
        <w:rPr>
          <w:rFonts w:hint="eastAsia" w:ascii="Times New Roman" w:hAnsi="Times New Roman" w:cs="Times New Roman"/>
        </w:rPr>
        <w:t>项目保证学校各项工作正常运转，改善农村学校办学条件，优化办学环境，推进城乡教育均衡发展，加快教育进程，创设先进的办学理念、不断提高学校教育教学水平。为学生的成长、教师专业化水平的提高和学生的自主发展创设了优良的人文环境与和谐的发展氛围。</w:t>
      </w:r>
    </w:p>
    <w:p>
      <w:pPr>
        <w:pStyle w:val="2"/>
        <w:ind w:firstLine="560"/>
      </w:pPr>
    </w:p>
    <w:p>
      <w:pPr>
        <w:pStyle w:val="4"/>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二、绩效评价工作开展情况</w:t>
      </w:r>
      <w:bookmarkEnd w:id="7"/>
      <w:bookmarkEnd w:id="8"/>
    </w:p>
    <w:p>
      <w:pPr>
        <w:pStyle w:val="4"/>
        <w:spacing w:before="0" w:after="0" w:line="360" w:lineRule="auto"/>
        <w:ind w:firstLine="0" w:firstLineChars="0"/>
        <w:jc w:val="left"/>
        <w:rPr>
          <w:rFonts w:ascii="Times New Roman" w:hAnsi="Times New Roman" w:eastAsia="仿宋" w:cs="Times New Roman"/>
          <w:sz w:val="32"/>
          <w:szCs w:val="32"/>
          <w:lang w:bidi="en-US"/>
        </w:rPr>
      </w:pPr>
      <w:bookmarkStart w:id="9" w:name="_Toc67911605"/>
      <w:bookmarkStart w:id="10" w:name="_Toc100784587"/>
      <w:r>
        <w:rPr>
          <w:rFonts w:ascii="Times New Roman" w:hAnsi="Times New Roman" w:eastAsia="仿宋" w:cs="Times New Roman"/>
          <w:sz w:val="32"/>
          <w:szCs w:val="32"/>
          <w:lang w:bidi="en-US"/>
        </w:rPr>
        <w:t>（一）绩效评价目的、对象和范围</w:t>
      </w:r>
      <w:bookmarkEnd w:id="9"/>
      <w:bookmarkEnd w:id="10"/>
    </w:p>
    <w:p>
      <w:pPr>
        <w:pStyle w:val="4"/>
        <w:spacing w:before="0" w:after="0" w:line="360" w:lineRule="auto"/>
        <w:ind w:firstLine="643"/>
        <w:jc w:val="left"/>
        <w:rPr>
          <w:rFonts w:ascii="Times New Roman" w:hAnsi="Times New Roman" w:eastAsia="仿宋" w:cs="Times New Roman"/>
          <w:sz w:val="32"/>
          <w:szCs w:val="32"/>
          <w:lang w:bidi="en-US"/>
        </w:rPr>
      </w:pPr>
      <w:bookmarkStart w:id="11" w:name="_Toc100784588"/>
      <w:r>
        <w:rPr>
          <w:rFonts w:ascii="Times New Roman" w:hAnsi="Times New Roman" w:eastAsia="仿宋" w:cs="Times New Roman"/>
          <w:sz w:val="32"/>
          <w:szCs w:val="32"/>
          <w:lang w:bidi="en-US"/>
        </w:rPr>
        <w:t>1.评价目的</w:t>
      </w:r>
      <w:bookmarkEnd w:id="11"/>
    </w:p>
    <w:p>
      <w:pPr>
        <w:spacing w:line="360" w:lineRule="auto"/>
        <w:ind w:firstLine="560"/>
        <w:rPr>
          <w:rFonts w:ascii="Times New Roman" w:hAnsi="Times New Roman" w:cs="Times New Roman"/>
          <w:b/>
          <w:bCs/>
        </w:rPr>
      </w:pPr>
      <w:r>
        <w:rPr>
          <w:rFonts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4"/>
        <w:spacing w:before="0" w:after="0" w:line="360" w:lineRule="auto"/>
        <w:ind w:firstLine="643"/>
        <w:jc w:val="left"/>
        <w:rPr>
          <w:rFonts w:ascii="Times New Roman" w:hAnsi="Times New Roman" w:eastAsia="仿宋" w:cs="Times New Roman"/>
          <w:sz w:val="32"/>
          <w:szCs w:val="32"/>
          <w:lang w:bidi="en-US"/>
        </w:rPr>
      </w:pPr>
      <w:bookmarkStart w:id="12" w:name="_Toc100784589"/>
      <w:r>
        <w:rPr>
          <w:rFonts w:ascii="Times New Roman" w:hAnsi="Times New Roman" w:eastAsia="仿宋" w:cs="Times New Roman"/>
          <w:sz w:val="32"/>
          <w:szCs w:val="32"/>
          <w:lang w:bidi="en-US"/>
        </w:rPr>
        <w:t>2.评价对象和范围</w:t>
      </w:r>
      <w:bookmarkEnd w:id="12"/>
    </w:p>
    <w:p>
      <w:pPr>
        <w:spacing w:line="360" w:lineRule="auto"/>
        <w:ind w:firstLine="560"/>
        <w:rPr>
          <w:rFonts w:ascii="Times New Roman" w:hAnsi="Times New Roman" w:cs="Times New Roman"/>
        </w:rPr>
      </w:pPr>
      <w:r>
        <w:rPr>
          <w:rFonts w:ascii="Times New Roman" w:hAnsi="Times New Roman" w:cs="Times New Roman"/>
        </w:rPr>
        <w:t>（1）绩效评价的对象：</w:t>
      </w:r>
      <w:r>
        <w:rPr>
          <w:rFonts w:hint="eastAsia" w:ascii="Times New Roman" w:hAnsi="Times New Roman" w:cs="Times New Roman"/>
        </w:rPr>
        <w:t>乌财科教【2021】96号关于提前下达2022年教育直达资金城乡义务教育补助公用经费</w:t>
      </w:r>
    </w:p>
    <w:p>
      <w:pPr>
        <w:spacing w:line="360" w:lineRule="auto"/>
        <w:ind w:firstLine="560"/>
        <w:rPr>
          <w:rFonts w:ascii="Times New Roman" w:hAnsi="Times New Roman" w:cs="Times New Roman"/>
        </w:rPr>
      </w:pPr>
      <w:r>
        <w:rPr>
          <w:rFonts w:ascii="Times New Roman" w:hAnsi="Times New Roman" w:cs="Times New Roman"/>
        </w:rPr>
        <w:t>（2）绩效评价范围：</w:t>
      </w:r>
    </w:p>
    <w:p>
      <w:pPr>
        <w:spacing w:line="360" w:lineRule="auto"/>
        <w:ind w:firstLine="560"/>
        <w:rPr>
          <w:rFonts w:ascii="Times New Roman" w:hAnsi="Times New Roman" w:cs="Times New Roman"/>
        </w:rPr>
      </w:pPr>
      <w:r>
        <w:rPr>
          <w:rFonts w:ascii="Times New Roman" w:hAnsi="Times New Roman" w:cs="Times New Roman"/>
        </w:rPr>
        <w:t>1.项目范围：</w:t>
      </w:r>
      <w:r>
        <w:rPr>
          <w:rFonts w:hint="eastAsia" w:ascii="Times New Roman" w:hAnsi="Times New Roman" w:cs="Times New Roman"/>
        </w:rPr>
        <w:t>乌财科教【2021】96号关于提前下达2022年教育直达资金城乡义务教育补助公用经费的完成情况、资金投入的运行情况、项目实施后产生的绩效及影响效果。</w:t>
      </w:r>
    </w:p>
    <w:p>
      <w:pPr>
        <w:spacing w:line="360" w:lineRule="auto"/>
        <w:ind w:firstLine="560"/>
        <w:rPr>
          <w:rFonts w:ascii="Times New Roman" w:hAnsi="Times New Roman" w:cs="Times New Roman"/>
        </w:rPr>
      </w:pPr>
      <w:r>
        <w:rPr>
          <w:rFonts w:ascii="Times New Roman" w:hAnsi="Times New Roman" w:cs="Times New Roman"/>
        </w:rPr>
        <w:t>2.时间范围：2022年1月1日至2022年12月31日。</w:t>
      </w:r>
    </w:p>
    <w:p>
      <w:pPr>
        <w:pStyle w:val="4"/>
        <w:spacing w:before="0" w:after="0" w:line="360" w:lineRule="auto"/>
        <w:ind w:firstLine="0" w:firstLineChars="0"/>
        <w:jc w:val="left"/>
        <w:rPr>
          <w:rFonts w:ascii="Times New Roman" w:hAnsi="Times New Roman" w:eastAsia="仿宋" w:cs="Times New Roman"/>
          <w:sz w:val="32"/>
          <w:szCs w:val="32"/>
          <w:lang w:bidi="en-US"/>
        </w:rPr>
      </w:pPr>
      <w:bookmarkStart w:id="13" w:name="_Toc100784590"/>
      <w:bookmarkStart w:id="14" w:name="_Toc67911606"/>
      <w:bookmarkStart w:id="15" w:name="_Hlk67586765"/>
      <w:r>
        <w:rPr>
          <w:rFonts w:ascii="Times New Roman" w:hAnsi="Times New Roman" w:eastAsia="仿宋" w:cs="Times New Roman"/>
          <w:sz w:val="32"/>
          <w:szCs w:val="32"/>
          <w:lang w:bidi="en-US"/>
        </w:rPr>
        <w:t>（二）绩效评价原则、指标体系、方法及标准</w:t>
      </w:r>
      <w:bookmarkEnd w:id="13"/>
      <w:bookmarkEnd w:id="14"/>
    </w:p>
    <w:bookmarkEnd w:id="15"/>
    <w:p>
      <w:pPr>
        <w:pStyle w:val="4"/>
        <w:spacing w:before="0" w:after="0" w:line="360" w:lineRule="auto"/>
        <w:ind w:firstLine="643"/>
        <w:jc w:val="left"/>
        <w:rPr>
          <w:rFonts w:ascii="Times New Roman" w:hAnsi="Times New Roman" w:eastAsia="仿宋" w:cs="Times New Roman"/>
          <w:sz w:val="32"/>
          <w:szCs w:val="32"/>
          <w:lang w:bidi="en-US"/>
        </w:rPr>
      </w:pPr>
      <w:bookmarkStart w:id="16" w:name="_Toc100784591"/>
      <w:r>
        <w:rPr>
          <w:rFonts w:ascii="Times New Roman" w:hAnsi="Times New Roman" w:eastAsia="仿宋" w:cs="Times New Roman"/>
          <w:sz w:val="32"/>
          <w:szCs w:val="32"/>
          <w:lang w:bidi="en-US"/>
        </w:rPr>
        <w:t>1.评价原则</w:t>
      </w:r>
      <w:bookmarkEnd w:id="16"/>
    </w:p>
    <w:p>
      <w:pPr>
        <w:spacing w:line="360" w:lineRule="auto"/>
        <w:ind w:firstLine="560"/>
        <w:rPr>
          <w:rFonts w:ascii="Times New Roman" w:hAnsi="Times New Roman" w:cs="Times New Roman"/>
        </w:rPr>
      </w:pPr>
      <w:r>
        <w:rPr>
          <w:rFonts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ascii="Times New Roman" w:hAnsi="Times New Roman" w:cs="Times New Roman"/>
        </w:rPr>
      </w:pPr>
      <w:r>
        <w:rPr>
          <w:rFonts w:ascii="Times New Roman" w:hAnsi="Times New Roman" w:cs="Times New Roman"/>
        </w:rPr>
        <w:t>（2）公正公开原则：绩效评价应当符合真实、客观、公正的要求，依法公开并接受监督。</w:t>
      </w:r>
    </w:p>
    <w:p>
      <w:pPr>
        <w:spacing w:line="360" w:lineRule="auto"/>
        <w:ind w:firstLine="560"/>
        <w:rPr>
          <w:rFonts w:ascii="Times New Roman" w:hAnsi="Times New Roman" w:cs="Times New Roman"/>
        </w:rPr>
      </w:pPr>
      <w:r>
        <w:rPr>
          <w:rFonts w:ascii="Times New Roman" w:hAnsi="Times New Roman" w:cs="Times New Roman"/>
        </w:rPr>
        <w:t>（3）分级分类原则：根据评价对象特点分类组织实施。</w:t>
      </w:r>
    </w:p>
    <w:p>
      <w:pPr>
        <w:spacing w:line="360" w:lineRule="auto"/>
        <w:ind w:firstLine="560"/>
        <w:rPr>
          <w:rFonts w:ascii="Times New Roman" w:hAnsi="Times New Roman" w:cs="Times New Roman"/>
        </w:rPr>
      </w:pPr>
      <w:r>
        <w:rPr>
          <w:rFonts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ascii="Times New Roman" w:hAnsi="Times New Roman" w:cs="Times New Roman"/>
        </w:rPr>
      </w:pPr>
      <w:r>
        <w:rPr>
          <w:rFonts w:ascii="Times New Roman" w:hAnsi="Times New Roman" w:cs="Times New Roman"/>
        </w:rPr>
        <w:t>根据以上原则，绩效评价应遵循如下要求：</w:t>
      </w:r>
    </w:p>
    <w:p>
      <w:pPr>
        <w:spacing w:line="360" w:lineRule="auto"/>
        <w:ind w:firstLine="560"/>
        <w:rPr>
          <w:rFonts w:ascii="Times New Roman" w:hAnsi="Times New Roman" w:cs="Times New Roman"/>
        </w:rPr>
      </w:pPr>
      <w:r>
        <w:rPr>
          <w:rFonts w:ascii="Times New Roman" w:hAnsi="Times New Roman" w:cs="Times New Roman"/>
        </w:rPr>
        <w:t>（1）在数据收集时，采取客观数据，并结合问卷调查结果，以保证各项指标的真实性。</w:t>
      </w:r>
    </w:p>
    <w:p>
      <w:pPr>
        <w:spacing w:line="360" w:lineRule="auto"/>
        <w:ind w:firstLine="560"/>
        <w:rPr>
          <w:rFonts w:ascii="Times New Roman" w:hAnsi="Times New Roman" w:cs="Times New Roman"/>
        </w:rPr>
      </w:pPr>
      <w:r>
        <w:rPr>
          <w:rFonts w:ascii="Times New Roman" w:hAnsi="Times New Roman" w:cs="Times New Roman"/>
        </w:rPr>
        <w:t>（2）保证评价结果的真实性、公正性，提高评价报告的公信力。</w:t>
      </w:r>
    </w:p>
    <w:p>
      <w:pPr>
        <w:spacing w:line="360" w:lineRule="auto"/>
        <w:ind w:firstLine="560"/>
        <w:rPr>
          <w:rFonts w:ascii="Times New Roman" w:hAnsi="Times New Roman" w:cs="Times New Roman"/>
        </w:rPr>
      </w:pPr>
      <w:r>
        <w:rPr>
          <w:rFonts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4"/>
        <w:spacing w:before="0" w:after="0" w:line="360" w:lineRule="auto"/>
        <w:ind w:firstLine="643"/>
        <w:jc w:val="left"/>
        <w:rPr>
          <w:rFonts w:ascii="Times New Roman" w:hAnsi="Times New Roman" w:eastAsia="仿宋" w:cs="Times New Roman"/>
          <w:sz w:val="32"/>
          <w:szCs w:val="32"/>
          <w:lang w:bidi="en-US"/>
        </w:rPr>
      </w:pPr>
      <w:bookmarkStart w:id="17" w:name="_Toc100784592"/>
      <w:r>
        <w:rPr>
          <w:rFonts w:ascii="Times New Roman" w:hAnsi="Times New Roman" w:eastAsia="仿宋" w:cs="Times New Roman"/>
          <w:sz w:val="32"/>
          <w:szCs w:val="32"/>
          <w:lang w:bidi="en-US"/>
        </w:rPr>
        <w:t>2.评价指标体系</w:t>
      </w:r>
      <w:bookmarkEnd w:id="17"/>
    </w:p>
    <w:p>
      <w:pPr>
        <w:spacing w:line="360" w:lineRule="auto"/>
        <w:ind w:firstLine="560"/>
        <w:rPr>
          <w:rFonts w:ascii="Times New Roman" w:hAnsi="Times New Roman" w:cs="Times New Roman"/>
        </w:rPr>
      </w:pPr>
      <w:r>
        <w:rPr>
          <w:rFonts w:ascii="Times New Roman" w:hAnsi="Times New Roman" w:cs="Times New Roman"/>
        </w:rPr>
        <w:t>绩效评价指标体系作为衡量绩效目标实现程度的考核工具，一般遵循以下原则：</w:t>
      </w:r>
    </w:p>
    <w:p>
      <w:pPr>
        <w:spacing w:line="360" w:lineRule="auto"/>
        <w:ind w:firstLine="560"/>
        <w:rPr>
          <w:rFonts w:ascii="Times New Roman" w:hAnsi="Times New Roman" w:cs="Times New Roman"/>
        </w:rPr>
      </w:pPr>
      <w:r>
        <w:rPr>
          <w:rFonts w:ascii="Times New Roman" w:hAnsi="Times New Roman" w:cs="Times New Roman"/>
        </w:rPr>
        <w:t>（1）相关性原则：绩效评价指标应当与绩效目标有直接的联系，能够恰当反映目标的实现程度。</w:t>
      </w:r>
    </w:p>
    <w:p>
      <w:pPr>
        <w:spacing w:line="360" w:lineRule="auto"/>
        <w:ind w:firstLine="560"/>
        <w:rPr>
          <w:rFonts w:ascii="Times New Roman" w:hAnsi="Times New Roman" w:cs="Times New Roman"/>
        </w:rPr>
      </w:pPr>
      <w:r>
        <w:rPr>
          <w:rFonts w:ascii="Times New Roman" w:hAnsi="Times New Roman" w:cs="Times New Roman"/>
        </w:rPr>
        <w:t>（2）重要性原则：应当优先使用最具评价对象代表性、最能反映评价要求的核心指标。</w:t>
      </w:r>
    </w:p>
    <w:p>
      <w:pPr>
        <w:spacing w:line="360" w:lineRule="auto"/>
        <w:ind w:firstLine="560"/>
        <w:rPr>
          <w:rFonts w:ascii="Times New Roman" w:hAnsi="Times New Roman" w:cs="Times New Roman"/>
        </w:rPr>
      </w:pPr>
      <w:r>
        <w:rPr>
          <w:rFonts w:ascii="Times New Roman" w:hAnsi="Times New Roman" w:cs="Times New Roman"/>
        </w:rPr>
        <w:t>（3）可比性原则：对同类评价对象要设定共性的绩效评价指标，以便于评价结果可以相互比较。</w:t>
      </w:r>
    </w:p>
    <w:p>
      <w:pPr>
        <w:spacing w:line="360" w:lineRule="auto"/>
        <w:ind w:firstLine="560"/>
        <w:rPr>
          <w:rFonts w:ascii="Times New Roman" w:hAnsi="Times New Roman" w:cs="Times New Roman"/>
        </w:rPr>
      </w:pPr>
      <w:r>
        <w:rPr>
          <w:rFonts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ascii="Times New Roman" w:hAnsi="Times New Roman" w:cs="Times New Roman"/>
        </w:rPr>
      </w:pPr>
      <w:r>
        <w:rPr>
          <w:rFonts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ascii="Times New Roman" w:hAnsi="Times New Roman" w:cs="Times New Roman"/>
        </w:rPr>
      </w:pPr>
      <w:r>
        <w:rPr>
          <w:rFonts w:ascii="Times New Roman" w:hAnsi="Times New Roman" w:cs="Times New Roman"/>
        </w:rPr>
        <w:t>本项目的评价指标体系建立如附件所示。</w:t>
      </w: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Times New Roman" w:hAnsi="Times New Roman" w:cs="Times New Roman"/>
          <w:b/>
          <w:bCs/>
        </w:rPr>
      </w:pPr>
      <w:r>
        <w:rPr>
          <w:rFonts w:ascii="Times New Roman" w:hAnsi="Times New Roman" w:cs="Times New Roman"/>
          <w:b/>
          <w:bCs/>
        </w:rPr>
        <w:t xml:space="preserve">  项目支出绩效评价指标体系</w:t>
      </w:r>
    </w:p>
    <w:tbl>
      <w:tblPr>
        <w:tblStyle w:val="1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立项依据</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①项目立项是否符合国家法律法规、国民经济发展规划和相关政策；</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②项目立项是否符合行业发展规划和政策要求；</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③项目立项是否与部门职责范围相符，属于部门履职所需；</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④项目是否属于公共财政支持范围，是否符合中央、地方事权支出责任划分原则；</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立项程序</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①项目是否按照规定的程序申请设立；</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②审批文件、材料是否符合相关要求；</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（如未设定预算绩效目标，也可考核其他工作任务目标）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①项目是否有绩效目标；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②项目绩效目标与实际工作内容是否具有相关性；</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绩效指标</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①是否将项目绩效目标细化分解为具体的绩效指标；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②是否通过清晰、可衡量的指标值予以体现；</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③是否与项目目标任务数或计划数相对应。</w:t>
            </w:r>
            <w:r>
              <w:rPr>
                <w:rFonts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预算编制</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①预算编制是否经过科学论证；</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②预算内容与项目内容是否匹配；</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③预算额度测算依据是否充分，是否按照标准编制；</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资金分配</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①预算资金分配依据是否充分；</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资金到位率=（实际到位资金/预算资金）×100%。</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预算执行率=（实际支出资金/实际到位资金）×100%。</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资金使用</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①是否符合国家财经法规和财务管理制度以及有关专项资金管理办法的规定；</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②资金的拨付是否有完整的审批程序和手续；</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③是否符合项目预算批复或合同规定的用途；</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管理制度</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①是否已制定或具有相应的财务和业务管理制度；</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制度执行</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①是否遵守相关法律法规和相关管理规定；</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②项目调整及支出调整手续是否完备；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③项目合同书、验收报告、技术鉴定等资料是否齐全并及时归档；</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产出数量</w:t>
            </w:r>
          </w:p>
        </w:tc>
        <w:tc>
          <w:tcPr>
            <w:tcW w:w="1411" w:type="dxa"/>
            <w:tcBorders>
              <w:tl2br w:val="nil"/>
              <w:tr2bl w:val="nil"/>
            </w:tcBorders>
            <w:shd w:val="clear" w:color="auto" w:fill="FFFFFF"/>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新建，改造，维修校舍面积</w:t>
            </w:r>
          </w:p>
        </w:tc>
        <w:tc>
          <w:tcPr>
            <w:tcW w:w="2789"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实际完成率=（实际产出数/计划产出数）×100%。</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实际产出数：一定时期（本年度或项目期）内项目实际产出的产品或提供的服务数量。</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享受公用经费补助学生人数</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产出</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产出质量</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免学费应受助学生资助比例</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质量达标率=（质量达标产出数/实际产出数）×100%。</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yellow"/>
              </w:rPr>
            </w:pPr>
          </w:p>
        </w:tc>
        <w:tc>
          <w:tcPr>
            <w:tcW w:w="1199" w:type="dxa"/>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产出时效</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资金按期拨付率</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实际完成时间：项目实施单位完成该项目实际所耗用的时间。</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3"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产出成本</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公用经费补助标准</w:t>
            </w:r>
          </w:p>
        </w:tc>
        <w:tc>
          <w:tcPr>
            <w:tcW w:w="2789"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成本节约率=[（计划成本-实际成本）/计划成本]×100%。</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实际成本：项目实施单位如期、保质、保量完成既定工作目标实际所耗费的支出。</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36" w:hRule="atLeast"/>
          <w:jc w:val="center"/>
        </w:trPr>
        <w:tc>
          <w:tcPr>
            <w:tcW w:w="1155" w:type="dxa"/>
            <w:vMerge w:val="continue"/>
            <w:tcBorders>
              <w:tl2br w:val="nil"/>
              <w:tr2bl w:val="nil"/>
            </w:tcBorders>
            <w:shd w:val="clear" w:color="auto" w:fill="FFFFFF"/>
            <w:vAlign w:val="center"/>
          </w:tcPr>
          <w:p>
            <w:pPr>
              <w:widowControl/>
              <w:ind w:firstLine="0" w:firstLineChars="0"/>
              <w:jc w:val="center"/>
            </w:pPr>
          </w:p>
        </w:tc>
        <w:tc>
          <w:tcPr>
            <w:tcW w:w="1199" w:type="dxa"/>
            <w:vMerge w:val="continue"/>
            <w:tcBorders>
              <w:tl2br w:val="nil"/>
              <w:tr2bl w:val="nil"/>
            </w:tcBorders>
            <w:shd w:val="clear" w:color="auto" w:fill="FFFFFF"/>
            <w:vAlign w:val="center"/>
          </w:tcPr>
          <w:p>
            <w:pPr>
              <w:widowControl/>
              <w:ind w:firstLine="0" w:firstLineChars="0"/>
              <w:jc w:val="cente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取暖费补助标准</w:t>
            </w:r>
          </w:p>
        </w:tc>
        <w:tc>
          <w:tcPr>
            <w:tcW w:w="2789" w:type="dxa"/>
            <w:vMerge w:val="continue"/>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highlight w:val="yellow"/>
              </w:rPr>
            </w:pPr>
          </w:p>
        </w:tc>
        <w:tc>
          <w:tcPr>
            <w:tcW w:w="7341" w:type="dxa"/>
            <w:vMerge w:val="continue"/>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highlight w:val="yellow"/>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36" w:hRule="atLeast"/>
          <w:jc w:val="center"/>
        </w:trPr>
        <w:tc>
          <w:tcPr>
            <w:tcW w:w="1155" w:type="dxa"/>
            <w:vMerge w:val="continue"/>
            <w:tcBorders>
              <w:tl2br w:val="nil"/>
              <w:tr2bl w:val="nil"/>
            </w:tcBorders>
            <w:shd w:val="clear" w:color="auto" w:fill="FFFFFF"/>
            <w:vAlign w:val="center"/>
          </w:tcPr>
          <w:p>
            <w:pPr>
              <w:widowControl/>
              <w:ind w:firstLine="0" w:firstLineChars="0"/>
              <w:jc w:val="center"/>
            </w:pPr>
          </w:p>
        </w:tc>
        <w:tc>
          <w:tcPr>
            <w:tcW w:w="1199" w:type="dxa"/>
            <w:vMerge w:val="continue"/>
            <w:tcBorders>
              <w:tl2br w:val="nil"/>
              <w:tr2bl w:val="nil"/>
            </w:tcBorders>
            <w:shd w:val="clear" w:color="auto" w:fill="FFFFFF"/>
            <w:vAlign w:val="center"/>
          </w:tcPr>
          <w:p>
            <w:pPr>
              <w:widowControl/>
              <w:ind w:firstLine="0" w:firstLineChars="0"/>
              <w:jc w:val="center"/>
            </w:pPr>
          </w:p>
        </w:tc>
        <w:tc>
          <w:tcPr>
            <w:tcW w:w="141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随班就读学生补助标准</w:t>
            </w:r>
          </w:p>
        </w:tc>
        <w:tc>
          <w:tcPr>
            <w:tcW w:w="2789" w:type="dxa"/>
            <w:vMerge w:val="continue"/>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ascii="Times New Roman" w:hAnsi="Times New Roman" w:eastAsia="宋体" w:cs="Times New Roman"/>
                <w:color w:val="000000"/>
                <w:kern w:val="0"/>
                <w:sz w:val="22"/>
              </w:rPr>
              <w:t>效益</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社会效益指标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落实教育惠民政策</w:t>
            </w:r>
          </w:p>
        </w:tc>
        <w:tc>
          <w:tcPr>
            <w:tcW w:w="2789" w:type="dxa"/>
            <w:vMerge w:val="restart"/>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可持续影响指标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创设各族青少年良好条件</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ascii="Times New Roman" w:hAnsi="Times New Roman" w:eastAsia="宋体" w:cs="Times New Roman"/>
                <w:color w:val="000000"/>
                <w:kern w:val="0"/>
                <w:sz w:val="22"/>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ascii="Times New Roman" w:hAnsi="Times New Roman" w:eastAsia="宋体" w:cs="Times New Roman"/>
                <w:color w:val="000000"/>
                <w:kern w:val="0"/>
                <w:sz w:val="22"/>
              </w:rPr>
              <w:t>满意度指标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受益学生满意度</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4"/>
        <w:spacing w:before="0" w:after="0" w:line="360" w:lineRule="auto"/>
        <w:ind w:firstLine="643"/>
        <w:jc w:val="left"/>
        <w:rPr>
          <w:rFonts w:ascii="Times New Roman" w:hAnsi="Times New Roman" w:eastAsia="仿宋" w:cs="Times New Roman"/>
          <w:sz w:val="32"/>
          <w:szCs w:val="32"/>
          <w:lang w:bidi="en-US"/>
        </w:rPr>
      </w:pPr>
      <w:bookmarkStart w:id="18" w:name="_Toc100784593"/>
      <w:bookmarkStart w:id="19" w:name="_Hlk67586038"/>
      <w:r>
        <w:rPr>
          <w:rFonts w:ascii="Times New Roman" w:hAnsi="Times New Roman" w:eastAsia="仿宋" w:cs="Times New Roman"/>
          <w:sz w:val="32"/>
          <w:szCs w:val="32"/>
          <w:lang w:bidi="en-US"/>
        </w:rPr>
        <w:t>3.评价方法</w:t>
      </w:r>
      <w:bookmarkEnd w:id="18"/>
    </w:p>
    <w:bookmarkEnd w:id="19"/>
    <w:p>
      <w:pPr>
        <w:spacing w:line="360" w:lineRule="auto"/>
        <w:ind w:firstLine="560"/>
        <w:rPr>
          <w:rFonts w:ascii="Times New Roman" w:hAnsi="Times New Roman" w:cs="Times New Roman"/>
        </w:rPr>
      </w:pPr>
      <w:r>
        <w:rPr>
          <w:rFonts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ascii="Times New Roman" w:hAnsi="Times New Roman" w:cs="Times New Roman"/>
        </w:rPr>
      </w:pPr>
      <w:r>
        <w:rPr>
          <w:rFonts w:ascii="Times New Roman" w:hAnsi="Times New Roman" w:cs="Times New Roman"/>
        </w:rPr>
        <w:t>（1）成本效益分析法。是指将投入与产出、效益进行关联性分析的方法。</w:t>
      </w:r>
    </w:p>
    <w:p>
      <w:pPr>
        <w:spacing w:line="360" w:lineRule="auto"/>
        <w:ind w:firstLine="560"/>
        <w:rPr>
          <w:rFonts w:ascii="Times New Roman" w:hAnsi="Times New Roman" w:cs="Times New Roman"/>
        </w:rPr>
      </w:pPr>
      <w:r>
        <w:rPr>
          <w:rFonts w:ascii="Times New Roman" w:hAnsi="Times New Roman" w:cs="Times New Roman"/>
        </w:rPr>
        <w:t>（2）比较法。是指将实施情况与绩效目标、历史情况、不同部门和地区同类支出情况进行比较的方法。</w:t>
      </w:r>
    </w:p>
    <w:p>
      <w:pPr>
        <w:spacing w:line="360" w:lineRule="auto"/>
        <w:ind w:firstLine="560"/>
        <w:rPr>
          <w:rFonts w:ascii="Times New Roman" w:hAnsi="Times New Roman" w:cs="Times New Roman"/>
        </w:rPr>
      </w:pPr>
      <w:r>
        <w:rPr>
          <w:rFonts w:ascii="Times New Roman" w:hAnsi="Times New Roman" w:cs="Times New Roman"/>
        </w:rPr>
        <w:t>（3）因素分析法。是指综合分析影响绩效目标实现、实施效果的内外部因素的方法。</w:t>
      </w:r>
    </w:p>
    <w:p>
      <w:pPr>
        <w:spacing w:line="360" w:lineRule="auto"/>
        <w:ind w:firstLine="560"/>
        <w:rPr>
          <w:rFonts w:ascii="Times New Roman" w:hAnsi="Times New Roman" w:cs="Times New Roman"/>
        </w:rPr>
      </w:pPr>
      <w:r>
        <w:rPr>
          <w:rFonts w:ascii="Times New Roman" w:hAnsi="Times New Roman" w:cs="Times New Roman"/>
        </w:rPr>
        <w:t>（4）最低成本法。是指在绩效目标确定的前提下，成本最小者为优的方法。</w:t>
      </w:r>
    </w:p>
    <w:p>
      <w:pPr>
        <w:spacing w:line="360" w:lineRule="auto"/>
        <w:ind w:firstLine="560"/>
        <w:rPr>
          <w:rFonts w:ascii="Times New Roman" w:hAnsi="Times New Roman" w:cs="Times New Roman"/>
        </w:rPr>
      </w:pPr>
      <w:r>
        <w:rPr>
          <w:rFonts w:ascii="Times New Roman" w:hAnsi="Times New Roman" w:cs="Times New Roman"/>
        </w:rPr>
        <w:t>（5）公众评判法。是指通过专家评估、公众问卷及抽样调查等方式进行评判的方法。</w:t>
      </w:r>
    </w:p>
    <w:p>
      <w:pPr>
        <w:spacing w:line="360" w:lineRule="auto"/>
        <w:ind w:firstLine="560"/>
        <w:rPr>
          <w:rFonts w:ascii="Times New Roman" w:hAnsi="Times New Roman" w:cs="Times New Roman"/>
        </w:rPr>
      </w:pPr>
      <w:r>
        <w:rPr>
          <w:rFonts w:ascii="Times New Roman" w:hAnsi="Times New Roman" w:cs="Times New Roman"/>
        </w:rPr>
        <w:t>（6）标杆管理法。是指以国内外同行业中较高的绩效水平为标杆进行评判的方法。</w:t>
      </w:r>
    </w:p>
    <w:p>
      <w:pPr>
        <w:spacing w:line="360" w:lineRule="auto"/>
        <w:ind w:firstLine="560"/>
        <w:rPr>
          <w:rFonts w:ascii="Times New Roman" w:hAnsi="Times New Roman" w:cs="Times New Roman"/>
        </w:rPr>
      </w:pPr>
      <w:r>
        <w:rPr>
          <w:rFonts w:ascii="Times New Roman" w:hAnsi="Times New Roman" w:cs="Times New Roman"/>
        </w:rPr>
        <w:t>（7）其他评价方法。</w:t>
      </w:r>
    </w:p>
    <w:p>
      <w:pPr>
        <w:spacing w:line="360" w:lineRule="auto"/>
        <w:ind w:firstLine="560"/>
        <w:rPr>
          <w:rFonts w:hint="eastAsia" w:ascii="Times New Roman" w:hAnsi="Times New Roman" w:eastAsia="仿宋_GB2312" w:cs="Times New Roman"/>
          <w:lang w:val="en-US" w:eastAsia="zh-CN"/>
        </w:rPr>
      </w:pPr>
      <w:r>
        <w:rPr>
          <w:rFonts w:ascii="Times New Roman" w:hAnsi="Times New Roman" w:cs="Times New Roman"/>
        </w:rPr>
        <w:t>根据本项目</w:t>
      </w:r>
      <w:r>
        <w:rPr>
          <w:rFonts w:hint="eastAsia" w:ascii="Times New Roman" w:hAnsi="Times New Roman" w:eastAsia="仿宋" w:cs="Times New Roman"/>
          <w:bCs/>
          <w:color w:val="333333"/>
          <w:szCs w:val="28"/>
        </w:rPr>
        <w:t>乌财科教【2021】96号关于提前下达2022年教育直达资金城乡义务教育补助公用经费</w:t>
      </w:r>
      <w:r>
        <w:rPr>
          <w:rFonts w:hint="eastAsia" w:ascii="Times New Roman" w:hAnsi="Times New Roman" w:eastAsia="仿宋" w:cs="Times New Roman"/>
          <w:bCs/>
          <w:color w:val="333333"/>
          <w:szCs w:val="28"/>
          <w:lang w:val="en-US" w:eastAsia="zh-CN"/>
        </w:rPr>
        <w:t>的特点，</w:t>
      </w:r>
      <w:r>
        <w:rPr>
          <w:rFonts w:hint="default" w:ascii="Times New Roman" w:hAnsi="Times New Roman" w:cs="Times New Roman"/>
          <w:highlight w:val="none"/>
        </w:rPr>
        <w:t>本次评价主要</w:t>
      </w:r>
      <w:r>
        <w:rPr>
          <w:rFonts w:ascii="Times New Roman" w:hAnsi="Times New Roman" w:cs="Times New Roman"/>
          <w:highlight w:val="none"/>
        </w:rPr>
        <w:t>采用</w:t>
      </w:r>
      <w:r>
        <w:rPr>
          <w:rFonts w:hint="eastAsia" w:ascii="Times New Roman" w:hAnsi="Times New Roman" w:cs="Times New Roman"/>
          <w:highlight w:val="none"/>
          <w:lang w:val="en-US" w:eastAsia="zh-CN"/>
        </w:rPr>
        <w:t>比较法，</w:t>
      </w:r>
      <w:r>
        <w:rPr>
          <w:rFonts w:hint="eastAsia" w:ascii="Times New Roman" w:hAnsi="Times New Roman" w:eastAsia="仿宋" w:cs="Times New Roman"/>
          <w:bCs/>
          <w:color w:val="333333"/>
          <w:szCs w:val="28"/>
        </w:rPr>
        <w:t>乌财科教【2021】96号关于提前下达2022年教育直达资金城乡义务教育补助公用经费</w:t>
      </w:r>
      <w:r>
        <w:rPr>
          <w:rFonts w:hint="eastAsia" w:ascii="Times New Roman" w:hAnsi="Times New Roman" w:eastAsia="仿宋" w:cs="Times New Roman"/>
          <w:bCs/>
          <w:color w:val="333333"/>
          <w:szCs w:val="28"/>
          <w:lang w:val="en-US" w:eastAsia="zh-CN"/>
        </w:rPr>
        <w:t>预算数</w:t>
      </w:r>
      <w:r>
        <w:rPr>
          <w:rFonts w:hint="eastAsia" w:ascii="Times New Roman" w:hAnsi="Times New Roman" w:eastAsia="仿宋" w:cs="Times New Roman"/>
          <w:bCs/>
          <w:color w:val="333333"/>
          <w:szCs w:val="28"/>
        </w:rPr>
        <w:t>43.94</w:t>
      </w:r>
      <w:r>
        <w:rPr>
          <w:rFonts w:hint="eastAsia" w:ascii="Times New Roman" w:hAnsi="Times New Roman" w:cs="Times New Roman"/>
        </w:rPr>
        <w:t>万元</w:t>
      </w:r>
      <w:r>
        <w:rPr>
          <w:rFonts w:ascii="Times New Roman" w:hAnsi="Times New Roman" w:cs="Times New Roman"/>
        </w:rPr>
        <w:t>，</w:t>
      </w:r>
      <w:r>
        <w:rPr>
          <w:rFonts w:hint="eastAsia" w:ascii="Times New Roman" w:hAnsi="Times New Roman" w:cs="Times New Roman"/>
          <w:lang w:val="en-US" w:eastAsia="zh-CN"/>
        </w:rPr>
        <w:t>执行数为43.69万元，执行率99.43%，</w:t>
      </w:r>
      <w:r>
        <w:rPr>
          <w:rFonts w:hint="eastAsia" w:ascii="Times New Roman" w:hAnsi="Times New Roman" w:cs="Times New Roman"/>
        </w:rPr>
        <w:t>2021年</w:t>
      </w:r>
      <w:r>
        <w:rPr>
          <w:rFonts w:hint="eastAsia" w:ascii="Times New Roman" w:hAnsi="Times New Roman" w:eastAsia="仿宋" w:cs="Times New Roman"/>
          <w:bCs/>
          <w:color w:val="333333"/>
          <w:szCs w:val="28"/>
        </w:rPr>
        <w:t>教育直达资金城乡义务教育补助公用经费</w:t>
      </w:r>
      <w:r>
        <w:rPr>
          <w:rFonts w:hint="eastAsia" w:ascii="Times New Roman" w:hAnsi="Times New Roman" w:eastAsia="仿宋" w:cs="Times New Roman"/>
          <w:bCs/>
          <w:color w:val="333333"/>
          <w:szCs w:val="28"/>
          <w:lang w:val="en-US" w:eastAsia="zh-CN"/>
        </w:rPr>
        <w:t>预算数</w:t>
      </w:r>
      <w:r>
        <w:rPr>
          <w:rFonts w:hint="eastAsia" w:ascii="Times New Roman" w:hAnsi="Times New Roman" w:eastAsia="仿宋" w:cs="Times New Roman"/>
          <w:bCs/>
          <w:color w:val="333333"/>
          <w:szCs w:val="28"/>
        </w:rPr>
        <w:t>38.85万元</w:t>
      </w:r>
      <w:r>
        <w:rPr>
          <w:rFonts w:hint="eastAsia" w:ascii="Times New Roman" w:hAnsi="Times New Roman" w:eastAsia="仿宋" w:cs="Times New Roman"/>
          <w:bCs/>
          <w:color w:val="333333"/>
          <w:szCs w:val="28"/>
          <w:lang w:eastAsia="zh-CN"/>
        </w:rPr>
        <w:t>，</w:t>
      </w:r>
      <w:r>
        <w:rPr>
          <w:rFonts w:hint="eastAsia" w:ascii="Times New Roman" w:hAnsi="Times New Roman" w:eastAsia="仿宋" w:cs="Times New Roman"/>
          <w:bCs/>
          <w:color w:val="333333"/>
          <w:szCs w:val="28"/>
          <w:lang w:val="en-US" w:eastAsia="zh-CN"/>
        </w:rPr>
        <w:t>执行数38.85万元，执行率100%</w:t>
      </w:r>
      <w:r>
        <w:rPr>
          <w:rFonts w:hint="eastAsia" w:ascii="Times New Roman" w:hAnsi="Times New Roman" w:cs="Times New Roman"/>
          <w:color w:val="auto"/>
          <w:highlight w:val="none"/>
          <w:lang w:val="en-US" w:eastAsia="zh-CN"/>
        </w:rPr>
        <w:t>。2022年该</w:t>
      </w:r>
      <w:r>
        <w:rPr>
          <w:rFonts w:hint="default" w:ascii="Times New Roman" w:hAnsi="Times New Roman" w:cs="Times New Roman"/>
        </w:rPr>
        <w:t>项目实际产出和效益</w:t>
      </w:r>
      <w:r>
        <w:rPr>
          <w:rFonts w:hint="eastAsia" w:ascii="Times New Roman" w:hAnsi="Times New Roman" w:cs="Times New Roman"/>
          <w:lang w:val="en-US" w:eastAsia="zh-CN"/>
        </w:rPr>
        <w:t>和2021年相比，</w:t>
      </w:r>
      <w:r>
        <w:rPr>
          <w:rFonts w:hint="eastAsia" w:ascii="Times New Roman" w:hAnsi="Times New Roman" w:cs="Times New Roman"/>
          <w:lang w:eastAsia="zh-CN"/>
        </w:rPr>
        <w:t>达到预期效率。</w:t>
      </w:r>
    </w:p>
    <w:p>
      <w:pPr>
        <w:spacing w:line="560" w:lineRule="exact"/>
        <w:ind w:firstLine="560"/>
        <w:rPr>
          <w:rFonts w:ascii="Times New Roman" w:hAnsi="Times New Roman" w:cs="Times New Roman"/>
        </w:rPr>
      </w:pP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pPr>
    </w:p>
    <w:p>
      <w:pPr>
        <w:pStyle w:val="4"/>
        <w:spacing w:before="0" w:after="0" w:line="360" w:lineRule="auto"/>
        <w:ind w:firstLine="643"/>
        <w:jc w:val="left"/>
        <w:rPr>
          <w:rFonts w:ascii="Times New Roman" w:hAnsi="Times New Roman" w:eastAsia="仿宋" w:cs="Times New Roman"/>
          <w:sz w:val="32"/>
          <w:szCs w:val="32"/>
          <w:lang w:bidi="en-US"/>
        </w:rPr>
      </w:pPr>
      <w:bookmarkStart w:id="20" w:name="_Toc100784594"/>
      <w:r>
        <w:rPr>
          <w:rFonts w:ascii="Times New Roman" w:hAnsi="Times New Roman" w:eastAsia="仿宋" w:cs="Times New Roman"/>
          <w:sz w:val="32"/>
          <w:szCs w:val="32"/>
          <w:lang w:bidi="en-US"/>
        </w:rPr>
        <w:t>4.评价标准</w:t>
      </w:r>
      <w:bookmarkEnd w:id="20"/>
    </w:p>
    <w:p>
      <w:pPr>
        <w:spacing w:line="360" w:lineRule="auto"/>
        <w:ind w:firstLine="560"/>
        <w:rPr>
          <w:rFonts w:ascii="Times New Roman" w:hAnsi="Times New Roman" w:cs="Times New Roman"/>
        </w:rPr>
      </w:pPr>
      <w:r>
        <w:rPr>
          <w:rFonts w:ascii="Times New Roman" w:hAnsi="Times New Roman" w:cs="Times New Roman"/>
        </w:rPr>
        <w:t>绩效评价标准主要包括计划标准、行业标准、历史标准等，用于对绩效指标完成情况进行比较。</w:t>
      </w:r>
    </w:p>
    <w:p>
      <w:pPr>
        <w:spacing w:line="360" w:lineRule="auto"/>
        <w:ind w:firstLine="560"/>
        <w:rPr>
          <w:rFonts w:ascii="Times New Roman" w:hAnsi="Times New Roman" w:cs="Times New Roman"/>
        </w:rPr>
      </w:pPr>
      <w:r>
        <w:rPr>
          <w:rFonts w:ascii="Times New Roman" w:hAnsi="Times New Roman" w:cs="Times New Roman"/>
        </w:rPr>
        <w:t>（1）计划标准。指以预先制定的目标、计划、预算、定额等作为评价标准。</w:t>
      </w:r>
    </w:p>
    <w:p>
      <w:pPr>
        <w:spacing w:line="360" w:lineRule="auto"/>
        <w:ind w:firstLine="560"/>
        <w:rPr>
          <w:rFonts w:ascii="Times New Roman" w:hAnsi="Times New Roman" w:cs="Times New Roman"/>
        </w:rPr>
      </w:pPr>
      <w:r>
        <w:rPr>
          <w:rFonts w:ascii="Times New Roman" w:hAnsi="Times New Roman" w:cs="Times New Roman"/>
        </w:rPr>
        <w:t>（2）行业标准。指参照国家公布的行业指标数据制定的评价标准。</w:t>
      </w:r>
    </w:p>
    <w:p>
      <w:pPr>
        <w:spacing w:line="360" w:lineRule="auto"/>
        <w:ind w:firstLine="560"/>
        <w:rPr>
          <w:rFonts w:ascii="Times New Roman" w:hAnsi="Times New Roman" w:cs="Times New Roman"/>
        </w:rPr>
      </w:pPr>
      <w:r>
        <w:rPr>
          <w:rFonts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ascii="Times New Roman" w:hAnsi="Times New Roman" w:cs="Times New Roman"/>
        </w:rPr>
      </w:pPr>
      <w:r>
        <w:rPr>
          <w:rFonts w:ascii="Times New Roman" w:hAnsi="Times New Roman" w:cs="Times New Roman"/>
        </w:rPr>
        <w:t>在上述评价标准的基础上，本次评价依据以下文件为重要指导和准绳：</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《中共中央国务院关于全面实施预算绩效管理的意见》（中发〔2018〕34号）</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《关于印发&lt;乌鲁木齐市本级部门预算绩效目标管理暂行办法&gt;的通知》（乌财预〔2018〕56号）</w:t>
      </w:r>
    </w:p>
    <w:p>
      <w:pPr>
        <w:spacing w:line="360" w:lineRule="auto"/>
        <w:ind w:firstLine="560" w:firstLineChars="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《关于做好2019年部门预算项目支出绩效目标管理有关事宜的通知》（乌财预〔2018〕76号）</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《项目支出绩效评价管理办法》（财预〔2020〕10号）</w:t>
      </w:r>
    </w:p>
    <w:p>
      <w:pPr>
        <w:pStyle w:val="4"/>
        <w:spacing w:before="0" w:after="0" w:line="360" w:lineRule="auto"/>
        <w:ind w:firstLine="0" w:firstLineChars="0"/>
        <w:jc w:val="left"/>
        <w:rPr>
          <w:rFonts w:ascii="Times New Roman" w:hAnsi="Times New Roman" w:eastAsia="仿宋" w:cs="Times New Roman"/>
          <w:sz w:val="32"/>
          <w:szCs w:val="32"/>
          <w:lang w:bidi="en-US"/>
        </w:rPr>
      </w:pPr>
      <w:r>
        <w:rPr>
          <w:rFonts w:ascii="Times New Roman" w:hAnsi="Times New Roman" w:eastAsia="仿宋" w:cs="Times New Roman"/>
          <w:sz w:val="32"/>
          <w:szCs w:val="32"/>
          <w:lang w:bidi="en-US"/>
        </w:rPr>
        <w:t xml:space="preserve"> </w:t>
      </w:r>
      <w:bookmarkStart w:id="21" w:name="_Toc100784595"/>
      <w:bookmarkStart w:id="22" w:name="_Toc67911607"/>
      <w:r>
        <w:rPr>
          <w:rFonts w:ascii="Times New Roman" w:hAnsi="Times New Roman" w:eastAsia="仿宋" w:cs="Times New Roman"/>
          <w:sz w:val="32"/>
          <w:szCs w:val="32"/>
          <w:lang w:bidi="en-US"/>
        </w:rPr>
        <w:t>（三）绩效评价工作过程</w:t>
      </w:r>
      <w:bookmarkEnd w:id="21"/>
      <w:bookmarkEnd w:id="22"/>
    </w:p>
    <w:p>
      <w:pPr>
        <w:spacing w:line="360" w:lineRule="auto"/>
        <w:ind w:firstLine="560"/>
        <w:rPr>
          <w:rFonts w:ascii="Times New Roman" w:hAnsi="Times New Roman" w:cs="Times New Roman"/>
        </w:rPr>
      </w:pPr>
      <w:r>
        <w:rPr>
          <w:rFonts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3"/>
          <w:rFonts w:ascii="Times New Roman" w:hAnsi="Times New Roman" w:cs="Times New Roman"/>
        </w:rPr>
        <w:footnoteReference w:id="0"/>
      </w:r>
      <w:r>
        <w:rPr>
          <w:rFonts w:ascii="Times New Roman" w:hAnsi="Times New Roman" w:cs="Times New Roman"/>
        </w:rPr>
        <w:t>、材料审核分析、现场核查评价、综合分析评价及报告撰写，评价项目实施情况，展现资金使用效益。</w:t>
      </w:r>
    </w:p>
    <w:p>
      <w:pPr>
        <w:pStyle w:val="4"/>
        <w:spacing w:before="0" w:after="0" w:line="560" w:lineRule="exact"/>
        <w:ind w:firstLine="723"/>
        <w:jc w:val="left"/>
        <w:rPr>
          <w:rFonts w:ascii="Times New Roman" w:hAnsi="Times New Roman" w:eastAsia="仿宋" w:cs="Times New Roman"/>
          <w:sz w:val="36"/>
          <w:szCs w:val="36"/>
          <w:lang w:bidi="en-US"/>
        </w:rPr>
      </w:pPr>
      <w:bookmarkStart w:id="23" w:name="_Toc67911608"/>
      <w:bookmarkStart w:id="24" w:name="_Toc100784596"/>
    </w:p>
    <w:p>
      <w:pPr>
        <w:pStyle w:val="4"/>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三、综合评价情况及评价结论</w:t>
      </w:r>
      <w:bookmarkEnd w:id="23"/>
      <w:bookmarkEnd w:id="24"/>
    </w:p>
    <w:p>
      <w:pPr>
        <w:pStyle w:val="4"/>
        <w:spacing w:before="0" w:after="0" w:line="360" w:lineRule="auto"/>
        <w:ind w:firstLine="0" w:firstLineChars="0"/>
        <w:jc w:val="left"/>
        <w:rPr>
          <w:rFonts w:ascii="Times New Roman" w:hAnsi="Times New Roman" w:eastAsia="仿宋" w:cs="Times New Roman"/>
          <w:sz w:val="32"/>
          <w:szCs w:val="32"/>
          <w:lang w:bidi="en-US"/>
        </w:rPr>
      </w:pPr>
      <w:bookmarkStart w:id="25" w:name="_Toc67911609"/>
      <w:bookmarkStart w:id="26" w:name="_Toc100784597"/>
      <w:r>
        <w:rPr>
          <w:rFonts w:ascii="Times New Roman" w:hAnsi="Times New Roman" w:eastAsia="仿宋" w:cs="Times New Roman"/>
          <w:sz w:val="32"/>
          <w:szCs w:val="32"/>
          <w:lang w:bidi="en-US"/>
        </w:rPr>
        <w:t>（一）评价结论</w:t>
      </w:r>
      <w:bookmarkEnd w:id="25"/>
      <w:bookmarkEnd w:id="26"/>
    </w:p>
    <w:p>
      <w:pPr>
        <w:spacing w:line="360" w:lineRule="auto"/>
        <w:ind w:firstLine="560"/>
        <w:rPr>
          <w:rFonts w:ascii="Times New Roman" w:hAnsi="Times New Roman" w:cs="Times New Roman"/>
          <w:szCs w:val="28"/>
        </w:rPr>
      </w:pPr>
      <w:r>
        <w:rPr>
          <w:rFonts w:ascii="Times New Roman" w:hAnsi="Times New Roman" w:cs="Times New Roman"/>
          <w:szCs w:val="28"/>
        </w:rPr>
        <w:t>结合项目特点，制定符合项目实际的绩效评价指标体系及评分标准，通过数据采集、问卷调查及访谈等形式，对2022年</w:t>
      </w:r>
      <w:r>
        <w:rPr>
          <w:rFonts w:ascii="Times New Roman" w:hAnsi="Times New Roman" w:cs="Times New Roman"/>
        </w:rPr>
        <w:t>根据本项目</w:t>
      </w:r>
      <w:r>
        <w:rPr>
          <w:rFonts w:hint="eastAsia" w:ascii="Times New Roman" w:hAnsi="Times New Roman" w:eastAsia="仿宋" w:cs="Times New Roman"/>
          <w:bCs/>
          <w:color w:val="333333"/>
          <w:szCs w:val="28"/>
        </w:rPr>
        <w:t>乌财科教【2021】96号关于提前下达2022年教育直达资金城乡义务教育补助公用经费</w:t>
      </w:r>
      <w:r>
        <w:rPr>
          <w:rFonts w:ascii="Times New Roman" w:hAnsi="Times New Roman" w:cs="Times New Roman"/>
          <w:szCs w:val="28"/>
        </w:rPr>
        <w:t>进行客观评价，最终评分结果为：总分为</w:t>
      </w:r>
      <w:r>
        <w:rPr>
          <w:rFonts w:hint="eastAsia" w:ascii="Times New Roman" w:hAnsi="Times New Roman" w:cs="Times New Roman"/>
          <w:szCs w:val="28"/>
        </w:rPr>
        <w:t>98.97</w:t>
      </w:r>
      <w:r>
        <w:rPr>
          <w:rFonts w:ascii="Times New Roman" w:hAnsi="Times New Roman" w:cs="Times New Roman"/>
          <w:szCs w:val="28"/>
        </w:rPr>
        <w:t>分，绩效评级为“</w:t>
      </w:r>
      <w:r>
        <w:rPr>
          <w:rFonts w:hint="eastAsia" w:ascii="Times New Roman" w:hAnsi="Times New Roman" w:cs="Times New Roman"/>
          <w:szCs w:val="28"/>
        </w:rPr>
        <w:t>优</w:t>
      </w:r>
      <w:r>
        <w:rPr>
          <w:rFonts w:ascii="Times New Roman" w:hAnsi="Times New Roman" w:cs="Times New Roman"/>
          <w:szCs w:val="28"/>
        </w:rPr>
        <w:t>”</w:t>
      </w:r>
      <w:r>
        <w:rPr>
          <w:rStyle w:val="23"/>
          <w:rFonts w:ascii="Times New Roman" w:hAnsi="Times New Roman" w:cs="Times New Roman"/>
          <w:szCs w:val="28"/>
        </w:rPr>
        <w:footnoteReference w:id="1"/>
      </w:r>
      <w:r>
        <w:rPr>
          <w:rFonts w:ascii="Times New Roman" w:hAnsi="Times New Roman" w:cs="Times New Roman"/>
          <w:szCs w:val="28"/>
        </w:rPr>
        <w:t>。</w:t>
      </w:r>
    </w:p>
    <w:p>
      <w:pPr>
        <w:spacing w:line="360" w:lineRule="auto"/>
        <w:ind w:firstLine="560"/>
        <w:rPr>
          <w:rFonts w:ascii="Times New Roman" w:hAnsi="Times New Roman" w:cs="Times New Roman"/>
          <w:szCs w:val="28"/>
        </w:rPr>
      </w:pPr>
      <w:r>
        <w:rPr>
          <w:rFonts w:ascii="Times New Roman" w:hAnsi="Times New Roman" w:cs="Times New Roman"/>
          <w:szCs w:val="28"/>
        </w:rPr>
        <w:t>项目各部分权重和绩效分值如附表所示：</w:t>
      </w:r>
    </w:p>
    <w:p>
      <w:pPr>
        <w:spacing w:line="360" w:lineRule="auto"/>
        <w:ind w:firstLine="0" w:firstLineChars="0"/>
        <w:jc w:val="center"/>
        <w:rPr>
          <w:rFonts w:ascii="Times New Roman" w:hAnsi="Times New Roman" w:cs="Times New Roman"/>
          <w:b/>
          <w:bCs/>
          <w:szCs w:val="28"/>
        </w:rPr>
      </w:pPr>
      <w:r>
        <w:rPr>
          <w:rFonts w:ascii="Times New Roman" w:hAnsi="Times New Roman" w:cs="Times New Roman"/>
          <w:b/>
          <w:bCs/>
          <w:szCs w:val="28"/>
        </w:rPr>
        <w:t xml:space="preserve">  项目各部分权重和绩效分值</w:t>
      </w:r>
    </w:p>
    <w:tbl>
      <w:tblPr>
        <w:tblStyle w:val="18"/>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4.97</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99.4%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制</w:t>
            </w:r>
            <w:r>
              <w:rPr>
                <w:rFonts w:hint="eastAsia" w:ascii="Times New Roman" w:hAnsi="Times New Roman" w:cs="Times New Roman"/>
                <w:kern w:val="0"/>
                <w:sz w:val="24"/>
                <w:szCs w:val="24"/>
              </w:rPr>
              <w:t>度</w:t>
            </w:r>
            <w:r>
              <w:rPr>
                <w:rFonts w:hint="eastAsia" w:ascii="Times New Roman" w:hAnsi="Times New Roman" w:eastAsia="宋体" w:cs="Times New Roman"/>
                <w:color w:val="000000"/>
                <w:kern w:val="0"/>
                <w:sz w:val="22"/>
              </w:rPr>
              <w:t>执行</w:t>
            </w:r>
            <w:r>
              <w:rPr>
                <w:rFonts w:hint="eastAsia" w:ascii="Times New Roman" w:hAnsi="Times New Roman" w:cs="Times New Roman"/>
                <w:kern w:val="0"/>
                <w:sz w:val="24"/>
                <w:szCs w:val="24"/>
              </w:rPr>
              <w:t>有效性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75%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产出数量</w:t>
            </w:r>
          </w:p>
        </w:tc>
        <w:tc>
          <w:tcPr>
            <w:tcW w:w="2693"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新建、改造、维修校舍（教学辅 助用房、文体活动场、实验室等） 面积</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p>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p>
            <w:pPr>
              <w:ind w:firstLine="560"/>
            </w:pPr>
          </w:p>
        </w:tc>
        <w:tc>
          <w:tcPr>
            <w:tcW w:w="1039" w:type="dxa"/>
            <w:vMerge w:val="restart"/>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yellow"/>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享受公用经费补助学生人数</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39" w:type="dxa"/>
            <w:vMerge w:val="continue"/>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0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产出质量</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免学费应受助学生资助比例</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产出时效</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资金按期拨付率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240" w:firstLineChars="100"/>
            </w:pPr>
            <w:r>
              <w:rPr>
                <w:rFonts w:ascii="Times New Roman" w:hAnsi="Times New Roman" w:cs="Times New Roman"/>
                <w:kern w:val="0"/>
                <w:sz w:val="24"/>
                <w:szCs w:val="24"/>
              </w:rPr>
              <w:t>产出成本</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公用经费补助标准</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39" w:type="dxa"/>
            <w:vMerge w:val="restart"/>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p>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p>
            <w:pPr>
              <w:widowControl/>
              <w:ind w:firstLine="0" w:firstLineChars="0"/>
              <w:jc w:val="center"/>
              <w:rPr>
                <w:rFonts w:ascii="Times New Roman" w:hAnsi="Times New Roman" w:cs="Times New Roman"/>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取暖费补助标准</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39" w:type="dxa"/>
            <w:vMerge w:val="continue"/>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随班就读学生补助标准</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4</w:t>
            </w:r>
          </w:p>
        </w:tc>
        <w:tc>
          <w:tcPr>
            <w:tcW w:w="1039" w:type="dxa"/>
            <w:vMerge w:val="continue"/>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效益</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项目效益</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落实教育惠民政策</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创设各族青少年学习在学校、生活在学校、成长在学校的良好条件</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受益学生满意度</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b/>
                <w:bCs/>
                <w:kern w:val="0"/>
                <w:sz w:val="24"/>
                <w:szCs w:val="24"/>
              </w:rPr>
              <w:t>合计</w:t>
            </w: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98.97</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98.97%</w:t>
            </w:r>
          </w:p>
        </w:tc>
      </w:tr>
    </w:tbl>
    <w:p>
      <w:pPr>
        <w:pStyle w:val="4"/>
        <w:spacing w:before="0" w:after="0" w:line="360" w:lineRule="auto"/>
        <w:ind w:firstLine="643"/>
        <w:jc w:val="left"/>
        <w:rPr>
          <w:rFonts w:ascii="Times New Roman" w:hAnsi="Times New Roman" w:eastAsia="仿宋" w:cs="Times New Roman"/>
          <w:sz w:val="32"/>
          <w:szCs w:val="32"/>
          <w:lang w:bidi="en-US"/>
        </w:rPr>
      </w:pPr>
      <w:bookmarkStart w:id="27" w:name="_Toc100784598"/>
      <w:bookmarkStart w:id="28" w:name="_Toc67911610"/>
    </w:p>
    <w:p>
      <w:pPr>
        <w:pStyle w:val="4"/>
        <w:spacing w:before="0" w:after="0" w:line="360" w:lineRule="auto"/>
        <w:ind w:firstLine="0" w:firstLineChars="0"/>
        <w:jc w:val="left"/>
        <w:rPr>
          <w:rFonts w:ascii="Times New Roman" w:hAnsi="Times New Roman" w:eastAsia="仿宋" w:cs="Times New Roman"/>
          <w:sz w:val="32"/>
          <w:szCs w:val="32"/>
          <w:lang w:bidi="en-US"/>
        </w:rPr>
      </w:pPr>
      <w:r>
        <w:rPr>
          <w:rFonts w:ascii="Times New Roman" w:hAnsi="Times New Roman" w:eastAsia="仿宋" w:cs="Times New Roman"/>
          <w:sz w:val="32"/>
          <w:szCs w:val="32"/>
          <w:lang w:bidi="en-US"/>
        </w:rPr>
        <w:t>（二）主要绩效</w:t>
      </w:r>
      <w:bookmarkEnd w:id="27"/>
      <w:bookmarkEnd w:id="28"/>
    </w:p>
    <w:p>
      <w:pPr>
        <w:spacing w:line="560" w:lineRule="exact"/>
        <w:ind w:firstLine="560"/>
        <w:rPr>
          <w:rFonts w:ascii="Times New Roman" w:hAnsi="Times New Roman" w:cs="Times New Roman"/>
        </w:rPr>
      </w:pPr>
      <w:r>
        <w:rPr>
          <w:rFonts w:ascii="Times New Roman" w:hAnsi="Times New Roman" w:cs="Times New Roman"/>
          <w:bCs/>
          <w:szCs w:val="28"/>
        </w:rPr>
        <w:t>该项目资金区财政及时拨付，</w:t>
      </w:r>
      <w:r>
        <w:rPr>
          <w:rFonts w:hint="eastAsia" w:ascii="Times New Roman" w:hAnsi="Times New Roman" w:cs="Times New Roman"/>
          <w:bCs/>
          <w:szCs w:val="28"/>
        </w:rPr>
        <w:t>补助标准为</w:t>
      </w:r>
      <w:r>
        <w:rPr>
          <w:rFonts w:hint="eastAsia" w:ascii="Times New Roman" w:hAnsi="Times New Roman" w:cs="Times New Roman"/>
        </w:rPr>
        <w:t>普通初中每生每年850元，在此基础上对寄宿制学校按照寄宿生年生均200元标准增加公用经费补助，对各学校按照采暖期长短补助取暖费，特殊学校和随班就读残疾学生按每生每年6000元标准补助公用经费。</w:t>
      </w:r>
    </w:p>
    <w:p>
      <w:pPr>
        <w:spacing w:line="360" w:lineRule="auto"/>
        <w:ind w:firstLine="548" w:firstLineChars="196"/>
        <w:rPr>
          <w:rFonts w:ascii="Times New Roman" w:hAnsi="Times New Roman" w:cs="Times New Roman"/>
          <w:bCs/>
          <w:szCs w:val="28"/>
          <w:highlight w:val="yellow"/>
        </w:rPr>
      </w:pPr>
      <w:r>
        <w:rPr>
          <w:rFonts w:hint="eastAsia" w:ascii="Times New Roman" w:hAnsi="Times New Roman" w:cs="Times New Roman"/>
          <w:bCs/>
          <w:szCs w:val="28"/>
        </w:rPr>
        <w:t>保证学校各项工作正常运转，改善农村学校办学条件，优化办学环境，推进城乡教育均衡发展，加快教育进程，创设先进的办学理念、不断提高学校教育教学水平。为学生的成长、教师专业化水平的提高和学生的自主发展创设了优良的人文环境与和谐的发展氛围。</w:t>
      </w:r>
    </w:p>
    <w:p>
      <w:pPr>
        <w:pStyle w:val="4"/>
        <w:spacing w:before="0" w:after="0" w:line="360" w:lineRule="auto"/>
        <w:ind w:firstLine="0" w:firstLineChars="0"/>
        <w:jc w:val="left"/>
        <w:rPr>
          <w:rFonts w:ascii="Times New Roman" w:hAnsi="Times New Roman" w:eastAsia="仿宋" w:cs="Times New Roman"/>
          <w:sz w:val="36"/>
          <w:szCs w:val="36"/>
          <w:lang w:bidi="en-US"/>
        </w:rPr>
      </w:pPr>
      <w:bookmarkStart w:id="29" w:name="_Toc100784599"/>
      <w:bookmarkStart w:id="30" w:name="_Toc67911611"/>
    </w:p>
    <w:p>
      <w:pPr>
        <w:pStyle w:val="4"/>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四、绩效评价指标分析</w:t>
      </w:r>
      <w:bookmarkEnd w:id="29"/>
      <w:bookmarkEnd w:id="30"/>
    </w:p>
    <w:p>
      <w:pPr>
        <w:pStyle w:val="4"/>
        <w:spacing w:before="0" w:after="0" w:line="360" w:lineRule="auto"/>
        <w:ind w:firstLine="0" w:firstLineChars="0"/>
        <w:jc w:val="left"/>
        <w:rPr>
          <w:rFonts w:ascii="Times New Roman" w:hAnsi="Times New Roman" w:eastAsia="仿宋" w:cs="Times New Roman"/>
          <w:sz w:val="32"/>
          <w:szCs w:val="32"/>
          <w:lang w:bidi="en-US"/>
        </w:rPr>
      </w:pPr>
      <w:bookmarkStart w:id="31" w:name="_Toc67911612"/>
      <w:bookmarkStart w:id="32" w:name="_Toc100784600"/>
      <w:r>
        <w:rPr>
          <w:rFonts w:ascii="Times New Roman" w:hAnsi="Times New Roman" w:eastAsia="仿宋" w:cs="Times New Roman"/>
          <w:sz w:val="32"/>
          <w:szCs w:val="32"/>
          <w:lang w:bidi="en-US"/>
        </w:rPr>
        <w:t>（一）项目决策情况</w:t>
      </w:r>
      <w:bookmarkEnd w:id="31"/>
      <w:bookmarkEnd w:id="32"/>
    </w:p>
    <w:p>
      <w:pPr>
        <w:spacing w:line="360" w:lineRule="auto"/>
        <w:ind w:firstLine="560"/>
        <w:rPr>
          <w:rFonts w:ascii="Times New Roman" w:hAnsi="Times New Roman" w:cs="Times New Roman"/>
          <w:szCs w:val="28"/>
        </w:rPr>
      </w:pPr>
      <w:r>
        <w:rPr>
          <w:rFonts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rPr>
        <w:t>20</w:t>
      </w:r>
      <w:r>
        <w:rPr>
          <w:rFonts w:ascii="Times New Roman" w:hAnsi="Times New Roman" w:cs="Times New Roman"/>
          <w:szCs w:val="28"/>
        </w:rPr>
        <w:t>分。</w:t>
      </w:r>
    </w:p>
    <w:p>
      <w:pPr>
        <w:pStyle w:val="4"/>
        <w:spacing w:before="0" w:after="0" w:line="360" w:lineRule="auto"/>
        <w:ind w:firstLine="643"/>
        <w:jc w:val="left"/>
        <w:rPr>
          <w:rFonts w:ascii="Times New Roman" w:hAnsi="Times New Roman" w:eastAsia="仿宋" w:cs="Times New Roman"/>
          <w:sz w:val="32"/>
          <w:szCs w:val="32"/>
          <w:lang w:bidi="en-US"/>
        </w:rPr>
      </w:pPr>
      <w:bookmarkStart w:id="33" w:name="_Toc100784601"/>
      <w:r>
        <w:rPr>
          <w:rFonts w:ascii="Times New Roman" w:hAnsi="Times New Roman" w:eastAsia="仿宋" w:cs="Times New Roman"/>
          <w:sz w:val="32"/>
          <w:szCs w:val="32"/>
          <w:lang w:bidi="en-US"/>
        </w:rPr>
        <w:t>1.项目立项</w:t>
      </w:r>
      <w:bookmarkEnd w:id="33"/>
    </w:p>
    <w:p>
      <w:pPr>
        <w:spacing w:line="360" w:lineRule="auto"/>
        <w:ind w:firstLine="562"/>
        <w:rPr>
          <w:rFonts w:ascii="Times New Roman" w:hAnsi="Times New Roman" w:cs="Times New Roman"/>
          <w:szCs w:val="28"/>
        </w:rPr>
      </w:pPr>
      <w:r>
        <w:rPr>
          <w:rFonts w:ascii="Times New Roman" w:hAnsi="Times New Roman" w:cs="Times New Roman"/>
          <w:b/>
          <w:bCs/>
          <w:szCs w:val="28"/>
        </w:rPr>
        <w:t>立项依据充分性：</w:t>
      </w:r>
      <w:r>
        <w:rPr>
          <w:rFonts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ascii="Times New Roman" w:hAnsi="Times New Roman" w:cs="Times New Roman"/>
          <w:szCs w:val="28"/>
        </w:rPr>
      </w:pPr>
      <w:r>
        <w:rPr>
          <w:rFonts w:ascii="Times New Roman" w:hAnsi="Times New Roman" w:cs="Times New Roman"/>
          <w:b/>
          <w:bCs/>
          <w:szCs w:val="28"/>
        </w:rPr>
        <w:t>立项程序规范性:</w:t>
      </w:r>
      <w:r>
        <w:rPr>
          <w:rFonts w:ascii="Times New Roman" w:hAnsi="Times New Roman" w:cs="Times New Roman"/>
        </w:rPr>
        <w:t xml:space="preserve"> </w:t>
      </w:r>
      <w:r>
        <w:rPr>
          <w:rFonts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综上，该指标满分8分，得分8分。</w:t>
      </w:r>
    </w:p>
    <w:p>
      <w:pPr>
        <w:pStyle w:val="4"/>
        <w:spacing w:before="0" w:after="0" w:line="360" w:lineRule="auto"/>
        <w:ind w:firstLine="643"/>
        <w:jc w:val="left"/>
        <w:rPr>
          <w:rFonts w:ascii="Times New Roman" w:hAnsi="Times New Roman" w:eastAsia="仿宋" w:cs="Times New Roman"/>
          <w:sz w:val="32"/>
          <w:szCs w:val="32"/>
          <w:lang w:bidi="en-US"/>
        </w:rPr>
      </w:pPr>
      <w:bookmarkStart w:id="34" w:name="_Toc100784602"/>
      <w:r>
        <w:rPr>
          <w:rFonts w:ascii="Times New Roman" w:hAnsi="Times New Roman" w:eastAsia="仿宋" w:cs="Times New Roman"/>
          <w:sz w:val="32"/>
          <w:szCs w:val="32"/>
          <w:lang w:bidi="en-US"/>
        </w:rPr>
        <w:t>2.绩效目标</w:t>
      </w:r>
      <w:bookmarkEnd w:id="34"/>
    </w:p>
    <w:p>
      <w:pPr>
        <w:spacing w:line="360" w:lineRule="auto"/>
        <w:ind w:firstLine="562"/>
        <w:rPr>
          <w:rFonts w:ascii="Times New Roman" w:hAnsi="Times New Roman" w:cs="Times New Roman"/>
          <w:szCs w:val="28"/>
        </w:rPr>
      </w:pPr>
      <w:r>
        <w:rPr>
          <w:rFonts w:ascii="Times New Roman" w:hAnsi="Times New Roman" w:cs="Times New Roman"/>
          <w:b/>
          <w:bCs/>
          <w:szCs w:val="28"/>
        </w:rPr>
        <w:t>绩效目标合理性：</w:t>
      </w:r>
      <w:r>
        <w:rPr>
          <w:rFonts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w:t>
      </w:r>
      <w:r>
        <w:rPr>
          <w:rFonts w:hint="eastAsia" w:ascii="Times New Roman" w:hAnsi="Times New Roman" w:cs="Times New Roman"/>
          <w:szCs w:val="28"/>
        </w:rPr>
        <w:t>2</w:t>
      </w:r>
      <w:r>
        <w:rPr>
          <w:rFonts w:ascii="Times New Roman" w:hAnsi="Times New Roman" w:cs="Times New Roman"/>
          <w:szCs w:val="28"/>
        </w:rPr>
        <w:t>分。</w:t>
      </w:r>
    </w:p>
    <w:p>
      <w:pPr>
        <w:autoSpaceDE w:val="0"/>
        <w:spacing w:line="600" w:lineRule="exact"/>
        <w:ind w:firstLine="562"/>
        <w:rPr>
          <w:rFonts w:ascii="Times New Roman" w:hAnsi="Times New Roman" w:cs="Times New Roman"/>
          <w:kern w:val="0"/>
          <w:szCs w:val="28"/>
        </w:rPr>
      </w:pPr>
      <w:r>
        <w:rPr>
          <w:rFonts w:ascii="Times New Roman" w:hAnsi="Times New Roman" w:cs="Times New Roman"/>
          <w:b/>
          <w:kern w:val="0"/>
          <w:szCs w:val="28"/>
        </w:rPr>
        <w:t>绩效目标明确性：</w:t>
      </w:r>
      <w:r>
        <w:rPr>
          <w:rFonts w:hint="eastAsia" w:ascii="Times New Roman" w:hAnsi="Times New Roman" w:cs="Times New Roman"/>
          <w:kern w:val="0"/>
          <w:szCs w:val="28"/>
        </w:rPr>
        <w:t>保证学校各项工作正常运转，改善农村学校办学条件，优化办学环境，推进城乡教育均衡发展，加快教育进程，创设先进的办学理念、不断提高学校教育教学水平。为学生的成长、教师专业化水平的提高和学生的自主发展创设了优良的人文环境与和谐的发展氛围</w:t>
      </w:r>
      <w:r>
        <w:rPr>
          <w:rFonts w:ascii="Times New Roman" w:hAnsi="Times New Roman" w:cs="Times New Roman"/>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综上，该指标满分6分，得分6分。</w:t>
      </w:r>
    </w:p>
    <w:p>
      <w:pPr>
        <w:pStyle w:val="4"/>
        <w:spacing w:before="0" w:after="0" w:line="360" w:lineRule="auto"/>
        <w:ind w:firstLine="643"/>
        <w:jc w:val="left"/>
        <w:rPr>
          <w:rFonts w:ascii="Times New Roman" w:hAnsi="Times New Roman" w:eastAsia="仿宋" w:cs="Times New Roman"/>
          <w:sz w:val="32"/>
          <w:szCs w:val="32"/>
          <w:lang w:bidi="en-US"/>
        </w:rPr>
      </w:pPr>
      <w:bookmarkStart w:id="35" w:name="_Toc100784603"/>
      <w:r>
        <w:rPr>
          <w:rFonts w:ascii="Times New Roman" w:hAnsi="Times New Roman" w:eastAsia="仿宋" w:cs="Times New Roman"/>
          <w:sz w:val="32"/>
          <w:szCs w:val="32"/>
          <w:lang w:bidi="en-US"/>
        </w:rPr>
        <w:t>3.资金投入</w:t>
      </w:r>
      <w:bookmarkEnd w:id="35"/>
    </w:p>
    <w:p>
      <w:pPr>
        <w:autoSpaceDE w:val="0"/>
        <w:spacing w:line="600" w:lineRule="exact"/>
        <w:ind w:firstLine="562"/>
        <w:rPr>
          <w:rFonts w:ascii="Times New Roman" w:hAnsi="Times New Roman" w:cs="Times New Roman"/>
          <w:bCs/>
          <w:kern w:val="0"/>
          <w:szCs w:val="28"/>
        </w:rPr>
      </w:pPr>
      <w:r>
        <w:rPr>
          <w:rFonts w:ascii="Times New Roman" w:hAnsi="Times New Roman" w:cs="Times New Roman"/>
          <w:b/>
          <w:kern w:val="0"/>
          <w:szCs w:val="28"/>
        </w:rPr>
        <w:t>预算编制科学性。</w:t>
      </w:r>
      <w:r>
        <w:rPr>
          <w:rFonts w:hint="eastAsia" w:ascii="Times New Roman" w:hAnsi="Times New Roman" w:eastAsia="仿宋" w:cs="Times New Roman"/>
          <w:bCs/>
          <w:color w:val="333333"/>
          <w:szCs w:val="28"/>
        </w:rPr>
        <w:t>乌财科教【2021】96号</w:t>
      </w:r>
      <w:r>
        <w:rPr>
          <w:rFonts w:ascii="Times New Roman" w:hAnsi="Times New Roman" w:cs="Times New Roman"/>
        </w:rPr>
        <w:t>文件批准，项目系2022年中央资金，共安排预算</w:t>
      </w:r>
      <w:r>
        <w:rPr>
          <w:rFonts w:hint="eastAsia" w:ascii="Times New Roman" w:hAnsi="Times New Roman" w:eastAsia="仿宋" w:cs="Times New Roman"/>
          <w:bCs/>
          <w:color w:val="333333"/>
          <w:szCs w:val="28"/>
        </w:rPr>
        <w:t>43.94</w:t>
      </w:r>
      <w:r>
        <w:rPr>
          <w:rFonts w:ascii="Times New Roman" w:hAnsi="Times New Roman" w:cs="Times New Roman"/>
        </w:rPr>
        <w:t>万元，于2022年年初部分预算批复项目，</w:t>
      </w:r>
      <w:r>
        <w:rPr>
          <w:rFonts w:ascii="Times New Roman" w:hAnsi="Times New Roman" w:eastAsia="仿宋" w:cs="Times New Roman"/>
          <w:bCs/>
          <w:color w:val="333333"/>
          <w:szCs w:val="28"/>
        </w:rPr>
        <w:t>年预算数</w:t>
      </w:r>
      <w:r>
        <w:rPr>
          <w:rFonts w:hint="eastAsia" w:ascii="Times New Roman" w:hAnsi="Times New Roman" w:eastAsia="仿宋" w:cs="Times New Roman"/>
          <w:bCs/>
          <w:color w:val="333333"/>
          <w:szCs w:val="28"/>
        </w:rPr>
        <w:t>43.94</w:t>
      </w:r>
      <w:r>
        <w:rPr>
          <w:rFonts w:ascii="Times New Roman" w:hAnsi="Times New Roman" w:eastAsia="仿宋" w:cs="Times New Roman"/>
          <w:bCs/>
          <w:color w:val="333333"/>
          <w:szCs w:val="28"/>
        </w:rPr>
        <w:t>万元，全年执行</w:t>
      </w:r>
      <w:r>
        <w:rPr>
          <w:rFonts w:hint="eastAsia" w:ascii="Times New Roman" w:hAnsi="Times New Roman" w:eastAsia="仿宋" w:cs="Times New Roman"/>
          <w:bCs/>
          <w:color w:val="333333"/>
          <w:szCs w:val="28"/>
        </w:rPr>
        <w:t>43.69</w:t>
      </w:r>
      <w:r>
        <w:rPr>
          <w:rFonts w:ascii="Times New Roman" w:hAnsi="Times New Roman" w:eastAsia="仿宋" w:cs="Times New Roman"/>
          <w:bCs/>
          <w:color w:val="333333"/>
          <w:szCs w:val="28"/>
        </w:rPr>
        <w:t>万元，执行率</w:t>
      </w:r>
      <w:r>
        <w:rPr>
          <w:rFonts w:hint="eastAsia" w:ascii="Times New Roman" w:hAnsi="Times New Roman" w:eastAsia="仿宋" w:cs="Times New Roman"/>
          <w:bCs/>
          <w:color w:val="333333"/>
          <w:szCs w:val="28"/>
        </w:rPr>
        <w:t>99.43</w:t>
      </w:r>
      <w:r>
        <w:rPr>
          <w:rFonts w:ascii="Times New Roman" w:hAnsi="Times New Roman" w:eastAsia="仿宋" w:cs="Times New Roman"/>
          <w:bCs/>
          <w:color w:val="333333"/>
          <w:szCs w:val="28"/>
        </w:rPr>
        <w:t>%。</w:t>
      </w:r>
      <w:r>
        <w:rPr>
          <w:rFonts w:ascii="Times New Roman" w:hAnsi="Times New Roman" w:cs="Times New Roman"/>
          <w:kern w:val="0"/>
          <w:szCs w:val="28"/>
        </w:rPr>
        <w:t>故预算编制科学性指标得分3分。</w:t>
      </w:r>
    </w:p>
    <w:p>
      <w:pPr>
        <w:spacing w:line="360" w:lineRule="auto"/>
        <w:ind w:firstLine="562"/>
        <w:rPr>
          <w:rFonts w:ascii="Times New Roman" w:hAnsi="Times New Roman" w:cs="Times New Roman"/>
        </w:rPr>
      </w:pPr>
      <w:r>
        <w:rPr>
          <w:rFonts w:ascii="Times New Roman" w:hAnsi="Times New Roman" w:cs="Times New Roman"/>
          <w:b/>
          <w:bCs/>
        </w:rPr>
        <w:t>资金分配合理性</w:t>
      </w:r>
      <w:r>
        <w:rPr>
          <w:rFonts w:ascii="Times New Roman" w:hAnsi="Times New Roman" w:cs="Times New Roman"/>
        </w:rPr>
        <w:t>：</w:t>
      </w:r>
      <w:r>
        <w:rPr>
          <w:rFonts w:hint="eastAsia" w:ascii="Times New Roman" w:hAnsi="Times New Roman" w:eastAsia="仿宋" w:cs="Times New Roman"/>
          <w:bCs/>
          <w:color w:val="333333"/>
          <w:szCs w:val="28"/>
        </w:rPr>
        <w:t>乌财科教【2021】96号</w:t>
      </w:r>
      <w:r>
        <w:rPr>
          <w:rFonts w:ascii="Times New Roman" w:hAnsi="Times New Roman" w:cs="Times New Roman"/>
        </w:rPr>
        <w:t>文件</w:t>
      </w:r>
      <w:r>
        <w:rPr>
          <w:rFonts w:hint="eastAsia" w:ascii="Times New Roman" w:hAnsi="Times New Roman" w:cs="Times New Roman"/>
        </w:rPr>
        <w:t>，该项目资金</w:t>
      </w:r>
      <w:r>
        <w:rPr>
          <w:rFonts w:hint="eastAsia" w:ascii="Times New Roman" w:hAnsi="Times New Roman" w:cs="Times New Roman"/>
          <w:kern w:val="0"/>
          <w:szCs w:val="28"/>
        </w:rPr>
        <w:t>保证了学校各项工作正常运转，改善农村学校办学条件，优化办学环境，推进城乡教育均衡发展，加快教育进程，创设先进的办学理念、不断提高学校教育教学水平</w:t>
      </w:r>
      <w:r>
        <w:rPr>
          <w:rFonts w:ascii="Times New Roman" w:hAnsi="Times New Roman" w:cs="Times New Roman"/>
          <w:b/>
          <w:kern w:val="0"/>
          <w:szCs w:val="28"/>
        </w:rPr>
        <w:t>。</w:t>
      </w:r>
      <w:r>
        <w:rPr>
          <w:rFonts w:ascii="Times New Roman" w:hAnsi="Times New Roman" w:cs="Times New Roman"/>
          <w:kern w:val="0"/>
          <w:szCs w:val="28"/>
        </w:rPr>
        <w:t>故资金分配合理性指标得分3分。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综上，该指标满分6分，得分</w:t>
      </w:r>
      <w:r>
        <w:rPr>
          <w:rFonts w:hint="eastAsia" w:ascii="Times New Roman" w:hAnsi="Times New Roman" w:cs="Times New Roman"/>
          <w:b/>
          <w:kern w:val="0"/>
          <w:szCs w:val="28"/>
        </w:rPr>
        <w:t>6</w:t>
      </w:r>
      <w:r>
        <w:rPr>
          <w:rFonts w:ascii="Times New Roman" w:hAnsi="Times New Roman" w:cs="Times New Roman"/>
          <w:b/>
          <w:kern w:val="0"/>
          <w:szCs w:val="28"/>
        </w:rPr>
        <w:t>分。</w:t>
      </w:r>
    </w:p>
    <w:p>
      <w:pPr>
        <w:pStyle w:val="4"/>
        <w:spacing w:before="0" w:after="0" w:line="360" w:lineRule="auto"/>
        <w:ind w:firstLine="0" w:firstLineChars="0"/>
        <w:jc w:val="left"/>
        <w:rPr>
          <w:rFonts w:ascii="Times New Roman" w:hAnsi="Times New Roman" w:eastAsia="仿宋" w:cs="Times New Roman"/>
          <w:sz w:val="32"/>
          <w:szCs w:val="32"/>
          <w:lang w:bidi="en-US"/>
        </w:rPr>
      </w:pPr>
      <w:bookmarkStart w:id="36" w:name="_Toc100784604"/>
      <w:bookmarkStart w:id="37" w:name="_Toc67911613"/>
      <w:r>
        <w:rPr>
          <w:rFonts w:ascii="Times New Roman" w:hAnsi="Times New Roman" w:eastAsia="仿宋" w:cs="Times New Roman"/>
          <w:sz w:val="32"/>
          <w:szCs w:val="32"/>
          <w:lang w:bidi="en-US"/>
        </w:rPr>
        <w:t>（二）项目过程情况</w:t>
      </w:r>
      <w:bookmarkEnd w:id="36"/>
      <w:bookmarkEnd w:id="37"/>
    </w:p>
    <w:p>
      <w:pPr>
        <w:spacing w:line="360" w:lineRule="auto"/>
        <w:ind w:firstLine="560"/>
        <w:rPr>
          <w:rFonts w:ascii="Times New Roman" w:hAnsi="Times New Roman" w:cs="Times New Roman"/>
          <w:szCs w:val="28"/>
        </w:rPr>
      </w:pPr>
      <w:r>
        <w:rPr>
          <w:rFonts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rPr>
        <w:t>18.97</w:t>
      </w:r>
      <w:r>
        <w:rPr>
          <w:rFonts w:ascii="Times New Roman" w:hAnsi="Times New Roman" w:cs="Times New Roman"/>
          <w:szCs w:val="28"/>
        </w:rPr>
        <w:t>分。</w:t>
      </w:r>
    </w:p>
    <w:p>
      <w:pPr>
        <w:pStyle w:val="4"/>
        <w:spacing w:before="0" w:after="0" w:line="360" w:lineRule="auto"/>
        <w:ind w:firstLine="643"/>
        <w:jc w:val="left"/>
        <w:rPr>
          <w:rFonts w:ascii="Times New Roman" w:hAnsi="Times New Roman" w:eastAsia="仿宋" w:cs="Times New Roman"/>
          <w:sz w:val="32"/>
          <w:szCs w:val="32"/>
          <w:lang w:bidi="en-US"/>
        </w:rPr>
      </w:pPr>
      <w:bookmarkStart w:id="38" w:name="_Toc100784605"/>
      <w:r>
        <w:rPr>
          <w:rFonts w:ascii="Times New Roman" w:hAnsi="Times New Roman" w:eastAsia="仿宋" w:cs="Times New Roman"/>
          <w:sz w:val="32"/>
          <w:szCs w:val="32"/>
          <w:lang w:bidi="en-US"/>
        </w:rPr>
        <w:t>1.资金管理</w:t>
      </w:r>
      <w:bookmarkEnd w:id="38"/>
    </w:p>
    <w:p>
      <w:pPr>
        <w:spacing w:line="360" w:lineRule="auto"/>
        <w:ind w:firstLine="562"/>
        <w:rPr>
          <w:rFonts w:ascii="Times New Roman" w:hAnsi="Times New Roman" w:cs="Times New Roman"/>
          <w:szCs w:val="28"/>
        </w:rPr>
      </w:pPr>
      <w:r>
        <w:rPr>
          <w:rFonts w:ascii="Times New Roman" w:hAnsi="Times New Roman" w:cs="Times New Roman"/>
          <w:b/>
          <w:bCs/>
          <w:szCs w:val="28"/>
        </w:rPr>
        <w:t>资金到位率：</w:t>
      </w:r>
      <w:r>
        <w:rPr>
          <w:rFonts w:hint="eastAsia" w:ascii="Times New Roman" w:hAnsi="Times New Roman" w:cs="Times New Roman"/>
          <w:szCs w:val="28"/>
        </w:rPr>
        <w:t>2</w:t>
      </w:r>
      <w:r>
        <w:rPr>
          <w:rFonts w:hint="eastAsia" w:ascii="Times New Roman" w:hAnsi="Times New Roman" w:eastAsia="仿宋" w:cs="Times New Roman"/>
          <w:bCs/>
          <w:color w:val="333333"/>
          <w:szCs w:val="28"/>
        </w:rPr>
        <w:t>022年1月到位</w:t>
      </w:r>
      <w:r>
        <w:rPr>
          <w:rFonts w:ascii="Times New Roman" w:hAnsi="Times New Roman" w:eastAsia="仿宋" w:cs="Times New Roman"/>
          <w:bCs/>
          <w:color w:val="333333"/>
          <w:szCs w:val="28"/>
        </w:rPr>
        <w:t>年预算数</w:t>
      </w:r>
      <w:r>
        <w:rPr>
          <w:rFonts w:hint="eastAsia" w:ascii="Times New Roman" w:hAnsi="Times New Roman" w:eastAsia="仿宋" w:cs="Times New Roman"/>
          <w:bCs/>
          <w:color w:val="333333"/>
          <w:szCs w:val="28"/>
        </w:rPr>
        <w:t>43.94</w:t>
      </w:r>
      <w:r>
        <w:rPr>
          <w:rFonts w:ascii="Times New Roman" w:hAnsi="Times New Roman" w:eastAsia="仿宋" w:cs="Times New Roman"/>
          <w:bCs/>
          <w:color w:val="333333"/>
          <w:szCs w:val="28"/>
        </w:rPr>
        <w:t>万元</w:t>
      </w:r>
      <w:r>
        <w:rPr>
          <w:rFonts w:hint="eastAsia" w:ascii="Times New Roman" w:hAnsi="Times New Roman" w:eastAsia="仿宋" w:cs="Times New Roman"/>
          <w:bCs/>
          <w:color w:val="333333"/>
          <w:szCs w:val="28"/>
        </w:rPr>
        <w:t>，到位数43.94万元</w:t>
      </w:r>
      <w:r>
        <w:rPr>
          <w:rFonts w:ascii="Times New Roman" w:hAnsi="Times New Roman" w:cs="Times New Roman"/>
          <w:b/>
          <w:kern w:val="0"/>
          <w:szCs w:val="28"/>
        </w:rPr>
        <w:t>。</w:t>
      </w:r>
      <w:r>
        <w:rPr>
          <w:rFonts w:ascii="Times New Roman" w:hAnsi="Times New Roman" w:cs="Times New Roman"/>
          <w:kern w:val="0"/>
          <w:szCs w:val="28"/>
        </w:rPr>
        <w:t>故资金到位率指标得分</w:t>
      </w:r>
      <w:r>
        <w:rPr>
          <w:rFonts w:hint="eastAsia" w:ascii="Times New Roman" w:hAnsi="Times New Roman" w:cs="Times New Roman"/>
          <w:kern w:val="0"/>
          <w:szCs w:val="28"/>
        </w:rPr>
        <w:t>5</w:t>
      </w:r>
      <w:r>
        <w:rPr>
          <w:rFonts w:ascii="Times New Roman" w:hAnsi="Times New Roman" w:cs="Times New Roman"/>
          <w:kern w:val="0"/>
          <w:szCs w:val="28"/>
        </w:rPr>
        <w:t>分。</w:t>
      </w:r>
    </w:p>
    <w:p>
      <w:pPr>
        <w:spacing w:line="360" w:lineRule="auto"/>
        <w:ind w:firstLine="562"/>
        <w:rPr>
          <w:rFonts w:ascii="Times New Roman" w:hAnsi="Times New Roman" w:cs="Times New Roman"/>
          <w:b/>
          <w:bCs/>
          <w:szCs w:val="28"/>
        </w:rPr>
      </w:pPr>
      <w:r>
        <w:rPr>
          <w:rFonts w:ascii="Times New Roman" w:hAnsi="Times New Roman" w:cs="Times New Roman"/>
          <w:b/>
          <w:bCs/>
          <w:szCs w:val="28"/>
        </w:rPr>
        <w:t>预算执行率：</w:t>
      </w:r>
      <w:r>
        <w:rPr>
          <w:rFonts w:ascii="Times New Roman" w:hAnsi="Times New Roman" w:cs="Times New Roman"/>
        </w:rPr>
        <w:t>2022年</w:t>
      </w:r>
      <w:r>
        <w:rPr>
          <w:rFonts w:hint="eastAsia" w:ascii="Times New Roman" w:hAnsi="Times New Roman" w:cs="Times New Roman"/>
        </w:rPr>
        <w:t>该资金支出于7至12月</w:t>
      </w:r>
      <w:r>
        <w:rPr>
          <w:rFonts w:ascii="Times New Roman" w:hAnsi="Times New Roman" w:cs="Times New Roman"/>
        </w:rPr>
        <w:t>，</w:t>
      </w:r>
      <w:r>
        <w:rPr>
          <w:rFonts w:hint="eastAsia" w:ascii="Times New Roman" w:hAnsi="Times New Roman" w:eastAsia="仿宋" w:cs="Times New Roman"/>
          <w:bCs/>
          <w:color w:val="333333"/>
          <w:szCs w:val="28"/>
        </w:rPr>
        <w:t>主要2022年7月7日支付给沙依巴克区阿里路华诚信文体用品经销部42925元的体育教学用品</w:t>
      </w:r>
      <w:r>
        <w:rPr>
          <w:rFonts w:hint="eastAsia" w:ascii="Times New Roman" w:hAnsi="Times New Roman" w:eastAsia="仿宋" w:cs="Times New Roman"/>
          <w:bCs/>
          <w:color w:val="333333"/>
          <w:szCs w:val="28"/>
          <w:lang w:eastAsia="zh-CN"/>
        </w:rPr>
        <w:t>；</w:t>
      </w:r>
      <w:r>
        <w:rPr>
          <w:rFonts w:hint="eastAsia" w:ascii="Times New Roman" w:hAnsi="Times New Roman" w:eastAsia="仿宋" w:cs="Times New Roman"/>
          <w:bCs/>
          <w:color w:val="333333"/>
          <w:szCs w:val="28"/>
        </w:rPr>
        <w:t>2022年7月18日支付给乌鲁木齐好益顺商贸有限公司34421元的清洁用品</w:t>
      </w:r>
      <w:r>
        <w:rPr>
          <w:rFonts w:hint="eastAsia" w:ascii="Times New Roman" w:hAnsi="Times New Roman" w:eastAsia="仿宋" w:cs="Times New Roman"/>
          <w:bCs/>
          <w:color w:val="333333"/>
          <w:szCs w:val="28"/>
          <w:lang w:eastAsia="zh-CN"/>
        </w:rPr>
        <w:t>；</w:t>
      </w:r>
      <w:r>
        <w:rPr>
          <w:rFonts w:hint="eastAsia" w:ascii="Times New Roman" w:hAnsi="Times New Roman" w:eastAsia="仿宋" w:cs="Times New Roman"/>
          <w:bCs/>
          <w:color w:val="333333"/>
          <w:szCs w:val="28"/>
        </w:rPr>
        <w:t>2022年7月18日支付给科学网北京有限公司25000元的网费</w:t>
      </w:r>
      <w:r>
        <w:rPr>
          <w:rFonts w:hint="eastAsia" w:ascii="Times New Roman" w:hAnsi="Times New Roman" w:eastAsia="仿宋" w:cs="Times New Roman"/>
          <w:bCs/>
          <w:color w:val="333333"/>
          <w:szCs w:val="28"/>
          <w:lang w:eastAsia="zh-CN"/>
        </w:rPr>
        <w:t>；</w:t>
      </w:r>
      <w:r>
        <w:rPr>
          <w:rFonts w:hint="eastAsia" w:ascii="Times New Roman" w:hAnsi="Times New Roman" w:eastAsia="仿宋" w:cs="Times New Roman"/>
          <w:bCs/>
          <w:color w:val="333333"/>
          <w:szCs w:val="28"/>
        </w:rPr>
        <w:t>2022年7月18日支付给沙依巴克区阿里路华诚信文体用品经销部12020元的安保器材</w:t>
      </w:r>
      <w:r>
        <w:rPr>
          <w:rFonts w:hint="eastAsia" w:ascii="Times New Roman" w:hAnsi="Times New Roman" w:eastAsia="仿宋" w:cs="Times New Roman"/>
          <w:bCs/>
          <w:color w:val="333333"/>
          <w:szCs w:val="28"/>
          <w:lang w:eastAsia="zh-CN"/>
        </w:rPr>
        <w:t>；</w:t>
      </w:r>
      <w:r>
        <w:rPr>
          <w:rFonts w:hint="eastAsia" w:ascii="Times New Roman" w:hAnsi="Times New Roman" w:eastAsia="仿宋" w:cs="Times New Roman"/>
          <w:bCs/>
          <w:color w:val="333333"/>
          <w:szCs w:val="28"/>
        </w:rPr>
        <w:t>2022年12月12日支付给昌源通网络有限公司15125元的信息化设备维修</w:t>
      </w:r>
      <w:r>
        <w:rPr>
          <w:rFonts w:hint="eastAsia" w:ascii="Times New Roman" w:hAnsi="Times New Roman" w:eastAsia="仿宋" w:cs="Times New Roman"/>
          <w:bCs/>
          <w:color w:val="333333"/>
          <w:szCs w:val="28"/>
          <w:lang w:eastAsia="zh-CN"/>
        </w:rPr>
        <w:t>；</w:t>
      </w:r>
      <w:r>
        <w:rPr>
          <w:rFonts w:hint="eastAsia" w:ascii="Times New Roman" w:hAnsi="Times New Roman" w:eastAsia="仿宋" w:cs="Times New Roman"/>
          <w:bCs/>
          <w:color w:val="333333"/>
          <w:szCs w:val="28"/>
        </w:rPr>
        <w:t>2022年12月12日支付给红旗路鑫业同创电子商品12121元的防控设备</w:t>
      </w:r>
      <w:r>
        <w:rPr>
          <w:rFonts w:hint="eastAsia" w:ascii="Times New Roman" w:hAnsi="Times New Roman" w:eastAsia="仿宋" w:cs="Times New Roman"/>
          <w:bCs/>
          <w:color w:val="333333"/>
          <w:szCs w:val="28"/>
          <w:lang w:eastAsia="zh-CN"/>
        </w:rPr>
        <w:t>；</w:t>
      </w:r>
      <w:r>
        <w:rPr>
          <w:rFonts w:hint="eastAsia" w:ascii="Times New Roman" w:hAnsi="Times New Roman" w:eastAsia="仿宋" w:cs="Times New Roman"/>
          <w:bCs/>
          <w:color w:val="333333"/>
          <w:szCs w:val="28"/>
        </w:rPr>
        <w:t>2022年12月12日支付给乌鲁木齐骊珠辰广告有限公司23385元的宣传展板</w:t>
      </w:r>
      <w:r>
        <w:rPr>
          <w:rFonts w:ascii="Times New Roman" w:hAnsi="Times New Roman" w:cs="Times New Roman"/>
          <w:b/>
          <w:bCs/>
          <w:szCs w:val="28"/>
        </w:rPr>
        <w:t>。</w:t>
      </w:r>
      <w:r>
        <w:rPr>
          <w:rFonts w:hint="eastAsia" w:ascii="Times New Roman" w:hAnsi="Times New Roman" w:cs="Times New Roman"/>
          <w:szCs w:val="28"/>
        </w:rPr>
        <w:t>实际支出资金万元43.69万元，预算执行率为99.43%。</w:t>
      </w:r>
      <w:r>
        <w:rPr>
          <w:rFonts w:ascii="Times New Roman" w:hAnsi="Times New Roman" w:cs="Times New Roman"/>
          <w:szCs w:val="28"/>
        </w:rPr>
        <w:t>故预算执行率得分为</w:t>
      </w:r>
      <w:r>
        <w:rPr>
          <w:rFonts w:hint="eastAsia" w:ascii="Times New Roman" w:hAnsi="Times New Roman" w:cs="Times New Roman"/>
          <w:szCs w:val="28"/>
        </w:rPr>
        <w:t>4.97</w:t>
      </w:r>
      <w:r>
        <w:rPr>
          <w:rFonts w:ascii="Times New Roman" w:hAnsi="Times New Roman" w:cs="Times New Roman"/>
          <w:szCs w:val="28"/>
        </w:rPr>
        <w:t>分。</w:t>
      </w:r>
      <w:bookmarkStart w:id="62" w:name="_GoBack"/>
      <w:bookmarkEnd w:id="62"/>
    </w:p>
    <w:p>
      <w:pPr>
        <w:spacing w:line="360" w:lineRule="auto"/>
        <w:ind w:firstLine="562"/>
        <w:rPr>
          <w:rFonts w:ascii="Times New Roman" w:hAnsi="Times New Roman" w:cs="Times New Roman"/>
          <w:szCs w:val="28"/>
        </w:rPr>
      </w:pPr>
      <w:r>
        <w:rPr>
          <w:rFonts w:ascii="Times New Roman" w:hAnsi="Times New Roman" w:cs="Times New Roman"/>
          <w:b/>
          <w:bCs/>
          <w:szCs w:val="28"/>
        </w:rPr>
        <w:t>资金使用合规性：</w:t>
      </w:r>
      <w:r>
        <w:rPr>
          <w:rFonts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综上，该指标满分13分，得分</w:t>
      </w:r>
      <w:r>
        <w:rPr>
          <w:rFonts w:hint="eastAsia" w:ascii="Times New Roman" w:hAnsi="Times New Roman" w:cs="Times New Roman"/>
          <w:b/>
          <w:kern w:val="0"/>
          <w:szCs w:val="28"/>
        </w:rPr>
        <w:t>12.97</w:t>
      </w:r>
      <w:r>
        <w:rPr>
          <w:rFonts w:ascii="Times New Roman" w:hAnsi="Times New Roman" w:cs="Times New Roman"/>
          <w:b/>
          <w:kern w:val="0"/>
          <w:szCs w:val="28"/>
        </w:rPr>
        <w:t>分。</w:t>
      </w:r>
    </w:p>
    <w:p>
      <w:pPr>
        <w:pStyle w:val="4"/>
        <w:spacing w:before="0" w:after="0" w:line="360" w:lineRule="auto"/>
        <w:ind w:firstLine="643"/>
        <w:jc w:val="left"/>
        <w:rPr>
          <w:rFonts w:ascii="Times New Roman" w:hAnsi="Times New Roman" w:eastAsia="仿宋" w:cs="Times New Roman"/>
          <w:sz w:val="32"/>
          <w:szCs w:val="32"/>
          <w:lang w:bidi="en-US"/>
        </w:rPr>
      </w:pPr>
      <w:bookmarkStart w:id="39" w:name="_Toc100784606"/>
      <w:r>
        <w:rPr>
          <w:rFonts w:ascii="Times New Roman" w:hAnsi="Times New Roman" w:eastAsia="仿宋" w:cs="Times New Roman"/>
          <w:sz w:val="32"/>
          <w:szCs w:val="32"/>
          <w:lang w:bidi="en-US"/>
        </w:rPr>
        <w:t>2.组织实施</w:t>
      </w:r>
      <w:bookmarkEnd w:id="39"/>
    </w:p>
    <w:p>
      <w:pPr>
        <w:spacing w:line="360" w:lineRule="auto"/>
        <w:ind w:firstLine="562"/>
        <w:rPr>
          <w:rFonts w:ascii="Times New Roman" w:hAnsi="Times New Roman" w:cs="Times New Roman"/>
          <w:szCs w:val="28"/>
        </w:rPr>
      </w:pPr>
      <w:r>
        <w:rPr>
          <w:rFonts w:ascii="Times New Roman" w:hAnsi="Times New Roman" w:cs="Times New Roman"/>
          <w:b/>
          <w:bCs/>
          <w:szCs w:val="28"/>
        </w:rPr>
        <w:t>管理制度健全性</w:t>
      </w:r>
      <w:r>
        <w:rPr>
          <w:rFonts w:ascii="Times New Roman" w:hAnsi="Times New Roman" w:cs="Times New Roman"/>
          <w:szCs w:val="28"/>
        </w:rPr>
        <w:t>：</w:t>
      </w:r>
      <w:r>
        <w:rPr>
          <w:rFonts w:hint="eastAsia" w:ascii="Times New Roman" w:hAnsi="Times New Roman" w:cs="Times New Roman"/>
          <w:szCs w:val="28"/>
        </w:rPr>
        <w:t>乌鲁木齐县庙尔沟中学</w:t>
      </w:r>
      <w:r>
        <w:rPr>
          <w:rFonts w:ascii="Times New Roman" w:hAnsi="Times New Roman" w:cs="Times New Roman"/>
          <w:szCs w:val="28"/>
        </w:rPr>
        <w:t>已制定相应的财务和业务管理制度，且制度合法、合规、完整，为项目顺利实施提供重要保障。故管理制度健全性得分为3分。</w:t>
      </w:r>
    </w:p>
    <w:p>
      <w:pPr>
        <w:spacing w:line="360" w:lineRule="auto"/>
        <w:ind w:firstLine="562"/>
        <w:rPr>
          <w:rFonts w:ascii="Times New Roman" w:hAnsi="Times New Roman" w:cs="Times New Roman"/>
          <w:szCs w:val="28"/>
        </w:rPr>
      </w:pPr>
      <w:r>
        <w:rPr>
          <w:rFonts w:ascii="Times New Roman" w:hAnsi="Times New Roman" w:cs="Times New Roman"/>
          <w:b/>
          <w:bCs/>
          <w:szCs w:val="28"/>
        </w:rPr>
        <w:t>制度执行有效性：</w:t>
      </w:r>
      <w:r>
        <w:rPr>
          <w:rFonts w:ascii="Times New Roman" w:hAnsi="Times New Roman" w:cs="Times New Roman"/>
          <w:szCs w:val="28"/>
        </w:rPr>
        <w:t>根据现场调研和资料抽查情况，</w:t>
      </w:r>
      <w:r>
        <w:rPr>
          <w:rFonts w:hint="eastAsia" w:ascii="Times New Roman" w:hAnsi="Times New Roman" w:cs="Times New Roman"/>
          <w:szCs w:val="28"/>
        </w:rPr>
        <w:t>乌鲁木齐县庙尔沟中学</w:t>
      </w:r>
      <w:r>
        <w:rPr>
          <w:rFonts w:ascii="Times New Roman" w:hAnsi="Times New Roman" w:cs="Times New Roman"/>
          <w:szCs w:val="28"/>
        </w:rPr>
        <w:t>严格遵守相关法律法规和相关管理规定，项目调整及支出调整手续完备，整体管理合理有序，项目完成后，及时将会计凭证、固定资产入库单等相关资料分类归档，制度执行有效。故制度执行有效性指标得分</w:t>
      </w:r>
      <w:r>
        <w:rPr>
          <w:rFonts w:hint="eastAsia" w:ascii="Times New Roman" w:hAnsi="Times New Roman" w:cs="Times New Roman"/>
          <w:szCs w:val="28"/>
        </w:rPr>
        <w:t>3</w:t>
      </w:r>
      <w:r>
        <w:rPr>
          <w:rFonts w:ascii="Times New Roman" w:hAnsi="Times New Roman" w:cs="Times New Roman"/>
          <w:szCs w:val="28"/>
        </w:rPr>
        <w:t>分。</w:t>
      </w:r>
    </w:p>
    <w:p>
      <w:pPr>
        <w:autoSpaceDE w:val="0"/>
        <w:spacing w:line="600" w:lineRule="exact"/>
        <w:ind w:firstLine="562"/>
        <w:rPr>
          <w:rFonts w:ascii="Times New Roman" w:hAnsi="Times New Roman" w:cs="Times New Roman"/>
          <w:b/>
          <w:kern w:val="0"/>
          <w:szCs w:val="28"/>
        </w:rPr>
      </w:pPr>
      <w:bookmarkStart w:id="40" w:name="_Hlk67670213"/>
      <w:r>
        <w:rPr>
          <w:rFonts w:ascii="Times New Roman" w:hAnsi="Times New Roman" w:cs="Times New Roman"/>
          <w:b/>
          <w:kern w:val="0"/>
          <w:szCs w:val="28"/>
        </w:rPr>
        <w:t>综上，该指标满分7分，得分</w:t>
      </w:r>
      <w:r>
        <w:rPr>
          <w:rFonts w:hint="eastAsia" w:ascii="Times New Roman" w:hAnsi="Times New Roman" w:cs="Times New Roman"/>
          <w:b/>
          <w:kern w:val="0"/>
          <w:szCs w:val="28"/>
        </w:rPr>
        <w:t>6</w:t>
      </w:r>
      <w:r>
        <w:rPr>
          <w:rFonts w:ascii="Times New Roman" w:hAnsi="Times New Roman" w:cs="Times New Roman"/>
          <w:b/>
          <w:kern w:val="0"/>
          <w:szCs w:val="28"/>
        </w:rPr>
        <w:t>分。</w:t>
      </w:r>
    </w:p>
    <w:bookmarkEnd w:id="40"/>
    <w:p>
      <w:pPr>
        <w:pStyle w:val="4"/>
        <w:spacing w:before="0" w:after="0" w:line="360" w:lineRule="auto"/>
        <w:ind w:firstLine="0" w:firstLineChars="0"/>
        <w:jc w:val="left"/>
        <w:rPr>
          <w:rFonts w:ascii="Times New Roman" w:hAnsi="Times New Roman" w:eastAsia="仿宋" w:cs="Times New Roman"/>
          <w:sz w:val="32"/>
          <w:szCs w:val="32"/>
          <w:lang w:bidi="en-US"/>
        </w:rPr>
      </w:pPr>
      <w:bookmarkStart w:id="41" w:name="_Toc67911614"/>
      <w:bookmarkStart w:id="42" w:name="_Toc100784607"/>
      <w:r>
        <w:rPr>
          <w:rFonts w:ascii="Times New Roman" w:hAnsi="Times New Roman" w:eastAsia="仿宋" w:cs="Times New Roman"/>
          <w:sz w:val="32"/>
          <w:szCs w:val="32"/>
          <w:lang w:bidi="en-US"/>
        </w:rPr>
        <w:t>（三）项目产出情况</w:t>
      </w:r>
      <w:bookmarkEnd w:id="41"/>
      <w:bookmarkEnd w:id="42"/>
    </w:p>
    <w:p>
      <w:pPr>
        <w:spacing w:line="360" w:lineRule="auto"/>
        <w:ind w:firstLine="560"/>
        <w:rPr>
          <w:rFonts w:ascii="Times New Roman" w:hAnsi="Times New Roman" w:cs="Times New Roman"/>
          <w:szCs w:val="28"/>
        </w:rPr>
      </w:pPr>
      <w:r>
        <w:rPr>
          <w:rFonts w:ascii="Times New Roman" w:hAnsi="Times New Roman" w:cs="Times New Roman"/>
          <w:szCs w:val="28"/>
        </w:rPr>
        <w:t>项目产出指标由4个二级指标和</w:t>
      </w:r>
      <w:r>
        <w:rPr>
          <w:rFonts w:hint="eastAsia" w:ascii="Times New Roman" w:hAnsi="Times New Roman" w:cs="Times New Roman"/>
          <w:szCs w:val="28"/>
        </w:rPr>
        <w:t>7</w:t>
      </w:r>
      <w:r>
        <w:rPr>
          <w:rFonts w:ascii="Times New Roman" w:hAnsi="Times New Roman" w:cs="Times New Roman"/>
          <w:szCs w:val="28"/>
        </w:rPr>
        <w:t>个三级指标构成，权重为40分，实际得分</w:t>
      </w:r>
      <w:r>
        <w:rPr>
          <w:rFonts w:hint="eastAsia" w:ascii="Times New Roman" w:hAnsi="Times New Roman" w:cs="Times New Roman"/>
          <w:szCs w:val="28"/>
        </w:rPr>
        <w:t>40</w:t>
      </w:r>
      <w:r>
        <w:rPr>
          <w:rFonts w:ascii="Times New Roman" w:hAnsi="Times New Roman" w:cs="Times New Roman"/>
          <w:szCs w:val="28"/>
        </w:rPr>
        <w:t>分。</w:t>
      </w:r>
    </w:p>
    <w:p>
      <w:pPr>
        <w:pStyle w:val="4"/>
        <w:spacing w:before="0" w:after="0" w:line="360" w:lineRule="auto"/>
        <w:ind w:firstLine="643"/>
        <w:jc w:val="left"/>
        <w:rPr>
          <w:rFonts w:ascii="Times New Roman" w:hAnsi="Times New Roman" w:eastAsia="仿宋" w:cs="Times New Roman"/>
          <w:sz w:val="32"/>
          <w:szCs w:val="32"/>
          <w:lang w:bidi="en-US"/>
        </w:rPr>
      </w:pPr>
      <w:bookmarkStart w:id="43" w:name="_Toc100784608"/>
      <w:r>
        <w:rPr>
          <w:rFonts w:ascii="Times New Roman" w:hAnsi="Times New Roman" w:eastAsia="仿宋" w:cs="Times New Roman"/>
          <w:sz w:val="32"/>
          <w:szCs w:val="32"/>
          <w:lang w:bidi="en-US"/>
        </w:rPr>
        <w:t>1.产出数量</w:t>
      </w:r>
      <w:bookmarkEnd w:id="43"/>
    </w:p>
    <w:p>
      <w:pPr>
        <w:spacing w:line="360" w:lineRule="auto"/>
        <w:ind w:firstLine="560"/>
        <w:rPr>
          <w:rFonts w:ascii="Times New Roman" w:hAnsi="Times New Roman" w:cs="Times New Roman"/>
          <w:bCs/>
          <w:szCs w:val="28"/>
        </w:rPr>
      </w:pPr>
      <w:r>
        <w:rPr>
          <w:rFonts w:ascii="Times New Roman" w:hAnsi="Times New Roman" w:cs="Times New Roman"/>
          <w:bCs/>
          <w:szCs w:val="28"/>
        </w:rPr>
        <w:t>数量指标</w:t>
      </w:r>
      <w:r>
        <w:rPr>
          <w:rFonts w:ascii="仿宋" w:hAnsi="仿宋" w:eastAsia="仿宋" w:cs="Times New Roman"/>
          <w:bCs/>
          <w:szCs w:val="28"/>
        </w:rPr>
        <w:t>“</w:t>
      </w:r>
      <w:r>
        <w:rPr>
          <w:rFonts w:hint="eastAsia" w:ascii="仿宋" w:hAnsi="仿宋" w:eastAsia="仿宋" w:cs="Times New Roman"/>
          <w:color w:val="000000"/>
          <w:kern w:val="0"/>
          <w:szCs w:val="28"/>
        </w:rPr>
        <w:t>新建、改造、维修校舍（教学辅 助用房、文体活动场、实验室等） 面积</w:t>
      </w:r>
      <w:r>
        <w:rPr>
          <w:rFonts w:ascii="仿宋" w:hAnsi="仿宋" w:eastAsia="仿宋" w:cs="Times New Roman"/>
          <w:bCs/>
          <w:szCs w:val="28"/>
        </w:rPr>
        <w:t>”</w:t>
      </w:r>
      <w:r>
        <w:rPr>
          <w:rFonts w:ascii="Times New Roman" w:hAnsi="Times New Roman" w:cs="Times New Roman"/>
          <w:bCs/>
          <w:szCs w:val="28"/>
        </w:rPr>
        <w:t>的目标值是</w:t>
      </w:r>
      <w:r>
        <w:rPr>
          <w:rFonts w:hint="eastAsia" w:ascii="Times New Roman" w:hAnsi="Times New Roman" w:cs="Times New Roman"/>
          <w:bCs/>
          <w:szCs w:val="28"/>
        </w:rPr>
        <w:t>&gt;=3000平方米</w:t>
      </w:r>
      <w:r>
        <w:rPr>
          <w:rFonts w:ascii="Times New Roman" w:hAnsi="Times New Roman" w:cs="Times New Roman"/>
          <w:bCs/>
          <w:szCs w:val="28"/>
        </w:rPr>
        <w:t>，2022年度我单位实际完成</w:t>
      </w:r>
      <w:r>
        <w:rPr>
          <w:rFonts w:hint="eastAsia" w:ascii="Times New Roman" w:hAnsi="Times New Roman" w:cs="Times New Roman"/>
          <w:bCs/>
          <w:szCs w:val="28"/>
        </w:rPr>
        <w:t>3000平方米；</w:t>
      </w:r>
    </w:p>
    <w:p>
      <w:pPr>
        <w:spacing w:line="360" w:lineRule="auto"/>
        <w:ind w:firstLine="560"/>
        <w:rPr>
          <w:rFonts w:ascii="Times New Roman" w:hAnsi="Times New Roman" w:cs="Times New Roman"/>
          <w:bCs/>
          <w:szCs w:val="28"/>
        </w:rPr>
      </w:pPr>
      <w:r>
        <w:rPr>
          <w:rFonts w:ascii="Times New Roman" w:hAnsi="Times New Roman" w:cs="Times New Roman"/>
          <w:bCs/>
          <w:szCs w:val="28"/>
        </w:rPr>
        <w:t>数量指标“</w:t>
      </w:r>
      <w:r>
        <w:rPr>
          <w:rFonts w:hint="eastAsia" w:ascii="Times New Roman" w:hAnsi="Times New Roman" w:cs="Times New Roman"/>
          <w:bCs/>
          <w:szCs w:val="28"/>
        </w:rPr>
        <w:t>享受公用经费补助学生人数</w:t>
      </w:r>
      <w:r>
        <w:rPr>
          <w:rFonts w:ascii="Times New Roman" w:hAnsi="Times New Roman" w:cs="Times New Roman"/>
          <w:bCs/>
          <w:szCs w:val="28"/>
        </w:rPr>
        <w:t>”的目标值是</w:t>
      </w:r>
      <w:r>
        <w:rPr>
          <w:rFonts w:hint="eastAsia" w:ascii="Times New Roman" w:hAnsi="Times New Roman" w:cs="Times New Roman"/>
          <w:bCs/>
          <w:szCs w:val="28"/>
        </w:rPr>
        <w:t>&gt;=473人</w:t>
      </w:r>
      <w:r>
        <w:rPr>
          <w:rFonts w:ascii="Times New Roman" w:hAnsi="Times New Roman" w:cs="Times New Roman"/>
          <w:bCs/>
          <w:szCs w:val="28"/>
        </w:rPr>
        <w:t>，2022年度我单位</w:t>
      </w:r>
      <w:r>
        <w:rPr>
          <w:rFonts w:hint="eastAsia" w:ascii="Times New Roman" w:hAnsi="Times New Roman" w:cs="Times New Roman"/>
          <w:bCs/>
          <w:szCs w:val="28"/>
        </w:rPr>
        <w:t>473人。</w:t>
      </w:r>
    </w:p>
    <w:p>
      <w:pPr>
        <w:spacing w:line="360" w:lineRule="auto"/>
        <w:ind w:firstLine="562"/>
        <w:rPr>
          <w:rFonts w:ascii="Times New Roman" w:hAnsi="Times New Roman" w:cs="Times New Roman"/>
          <w:szCs w:val="28"/>
        </w:rPr>
      </w:pPr>
      <w:r>
        <w:rPr>
          <w:rFonts w:ascii="Times New Roman" w:hAnsi="Times New Roman" w:cs="Times New Roman"/>
          <w:b/>
          <w:bCs/>
          <w:szCs w:val="28"/>
        </w:rPr>
        <w:t>实际完成率：</w:t>
      </w:r>
      <w:r>
        <w:rPr>
          <w:rFonts w:hint="eastAsia" w:ascii="Times New Roman" w:hAnsi="Times New Roman" w:cs="Times New Roman"/>
          <w:b/>
          <w:bCs/>
          <w:szCs w:val="28"/>
        </w:rPr>
        <w:t>100%</w:t>
      </w:r>
      <w:r>
        <w:rPr>
          <w:rFonts w:ascii="Times New Roman" w:hAnsi="Times New Roman" w:cs="Times New Roman"/>
          <w:szCs w:val="28"/>
        </w:rPr>
        <w:t>，故实际完成率得分为</w:t>
      </w:r>
      <w:r>
        <w:rPr>
          <w:rFonts w:hint="eastAsia" w:ascii="Times New Roman" w:hAnsi="Times New Roman" w:cs="Times New Roman"/>
          <w:szCs w:val="28"/>
        </w:rPr>
        <w:t>10</w:t>
      </w:r>
      <w:r>
        <w:rPr>
          <w:rFonts w:ascii="Times New Roman" w:hAnsi="Times New Roman" w:cs="Times New Roman"/>
          <w:szCs w:val="28"/>
        </w:rPr>
        <w:t>分。</w:t>
      </w:r>
    </w:p>
    <w:p>
      <w:pPr>
        <w:pStyle w:val="4"/>
        <w:spacing w:before="0" w:after="0" w:line="360" w:lineRule="auto"/>
        <w:ind w:firstLine="643"/>
        <w:jc w:val="left"/>
        <w:rPr>
          <w:rFonts w:ascii="Times New Roman" w:hAnsi="Times New Roman" w:eastAsia="仿宋" w:cs="Times New Roman"/>
          <w:sz w:val="32"/>
          <w:szCs w:val="32"/>
          <w:lang w:bidi="en-US"/>
        </w:rPr>
      </w:pPr>
      <w:bookmarkStart w:id="44" w:name="_Toc100784609"/>
      <w:r>
        <w:rPr>
          <w:rFonts w:ascii="Times New Roman" w:hAnsi="Times New Roman" w:eastAsia="仿宋" w:cs="Times New Roman"/>
          <w:sz w:val="32"/>
          <w:szCs w:val="32"/>
          <w:lang w:bidi="en-US"/>
        </w:rPr>
        <w:t>2.产出质量</w:t>
      </w:r>
      <w:bookmarkEnd w:id="44"/>
    </w:p>
    <w:p>
      <w:pPr>
        <w:spacing w:line="360" w:lineRule="auto"/>
        <w:ind w:firstLine="562"/>
        <w:rPr>
          <w:rFonts w:ascii="Times New Roman" w:hAnsi="Times New Roman" w:cs="Times New Roman"/>
          <w:szCs w:val="28"/>
        </w:rPr>
      </w:pPr>
      <w:r>
        <w:rPr>
          <w:rFonts w:hint="eastAsia" w:ascii="Times New Roman" w:hAnsi="Times New Roman" w:cs="Times New Roman"/>
          <w:b/>
          <w:bCs/>
          <w:szCs w:val="28"/>
        </w:rPr>
        <w:t>免学费应受助学生资助比例：</w:t>
      </w:r>
      <w:r>
        <w:rPr>
          <w:rFonts w:ascii="Times New Roman" w:hAnsi="Times New Roman" w:cs="Times New Roman"/>
          <w:szCs w:val="28"/>
        </w:rPr>
        <w:t>质量达标率得分为</w:t>
      </w:r>
      <w:r>
        <w:rPr>
          <w:rFonts w:hint="eastAsia" w:ascii="Times New Roman" w:hAnsi="Times New Roman" w:cs="Times New Roman"/>
          <w:szCs w:val="28"/>
        </w:rPr>
        <w:t>10</w:t>
      </w:r>
      <w:r>
        <w:rPr>
          <w:rFonts w:ascii="Times New Roman" w:hAnsi="Times New Roman" w:cs="Times New Roman"/>
          <w:szCs w:val="28"/>
        </w:rPr>
        <w:t>分。</w:t>
      </w:r>
      <w:r>
        <w:rPr>
          <w:rFonts w:hint="eastAsia" w:ascii="Times New Roman" w:hAnsi="Times New Roman" w:cs="Times New Roman"/>
          <w:szCs w:val="28"/>
        </w:rPr>
        <w:t>目标值≥95%，实际完成率95%，故得分10分。</w:t>
      </w:r>
    </w:p>
    <w:p>
      <w:pPr>
        <w:pStyle w:val="4"/>
        <w:spacing w:before="0" w:after="0" w:line="360" w:lineRule="auto"/>
        <w:ind w:firstLine="643"/>
        <w:jc w:val="left"/>
        <w:rPr>
          <w:rFonts w:ascii="Times New Roman" w:hAnsi="Times New Roman" w:eastAsia="仿宋" w:cs="Times New Roman"/>
          <w:sz w:val="32"/>
          <w:szCs w:val="32"/>
          <w:lang w:bidi="en-US"/>
        </w:rPr>
      </w:pPr>
      <w:bookmarkStart w:id="45" w:name="_Toc100784610"/>
      <w:r>
        <w:rPr>
          <w:rFonts w:ascii="Times New Roman" w:hAnsi="Times New Roman" w:eastAsia="仿宋" w:cs="Times New Roman"/>
          <w:sz w:val="32"/>
          <w:szCs w:val="32"/>
          <w:lang w:bidi="en-US"/>
        </w:rPr>
        <w:t>3.产出时效</w:t>
      </w:r>
      <w:bookmarkEnd w:id="45"/>
    </w:p>
    <w:p>
      <w:pPr>
        <w:spacing w:line="360" w:lineRule="auto"/>
        <w:ind w:firstLine="562"/>
        <w:rPr>
          <w:rFonts w:ascii="Times New Roman" w:hAnsi="Times New Roman" w:cs="Times New Roman"/>
          <w:b/>
          <w:bCs/>
          <w:szCs w:val="28"/>
        </w:rPr>
      </w:pPr>
      <w:r>
        <w:rPr>
          <w:rFonts w:hint="eastAsia" w:ascii="Times New Roman" w:hAnsi="Times New Roman" w:eastAsia="仿宋" w:cs="Times New Roman"/>
          <w:b/>
          <w:color w:val="333333"/>
          <w:szCs w:val="28"/>
        </w:rPr>
        <w:t>资金按期拨付率：</w:t>
      </w:r>
      <w:r>
        <w:rPr>
          <w:rFonts w:hint="eastAsia" w:ascii="Times New Roman" w:hAnsi="Times New Roman" w:eastAsia="仿宋" w:cs="Times New Roman"/>
          <w:bCs/>
          <w:color w:val="333333"/>
          <w:szCs w:val="28"/>
        </w:rPr>
        <w:t>2022年1月到位财政拨款43.94</w:t>
      </w:r>
      <w:r>
        <w:rPr>
          <w:rFonts w:ascii="Times New Roman" w:hAnsi="Times New Roman" w:eastAsia="仿宋" w:cs="Times New Roman"/>
          <w:bCs/>
          <w:color w:val="333333"/>
          <w:szCs w:val="28"/>
        </w:rPr>
        <w:t>万元</w:t>
      </w:r>
      <w:r>
        <w:rPr>
          <w:rFonts w:hint="eastAsia" w:ascii="Times New Roman" w:hAnsi="Times New Roman" w:eastAsia="仿宋" w:cs="Times New Roman"/>
          <w:bCs/>
          <w:color w:val="333333"/>
          <w:szCs w:val="28"/>
        </w:rPr>
        <w:t>，资金按期拨付率为95%，达到预期目标值。</w:t>
      </w:r>
    </w:p>
    <w:p>
      <w:pPr>
        <w:spacing w:line="360" w:lineRule="auto"/>
        <w:ind w:firstLine="560"/>
        <w:rPr>
          <w:rFonts w:ascii="Times New Roman" w:hAnsi="Times New Roman" w:cs="Times New Roman"/>
          <w:szCs w:val="28"/>
        </w:rPr>
      </w:pPr>
      <w:r>
        <w:rPr>
          <w:rFonts w:ascii="Times New Roman" w:hAnsi="Times New Roman" w:cs="Times New Roman"/>
          <w:szCs w:val="28"/>
        </w:rPr>
        <w:t>故完成及时性得分为</w:t>
      </w:r>
      <w:r>
        <w:rPr>
          <w:rFonts w:hint="eastAsia" w:ascii="Times New Roman" w:hAnsi="Times New Roman" w:cs="Times New Roman"/>
          <w:szCs w:val="28"/>
        </w:rPr>
        <w:t>10分</w:t>
      </w:r>
      <w:r>
        <w:rPr>
          <w:rFonts w:ascii="Times New Roman" w:hAnsi="Times New Roman" w:cs="Times New Roman"/>
          <w:szCs w:val="28"/>
        </w:rPr>
        <w:t>。</w:t>
      </w:r>
    </w:p>
    <w:p>
      <w:pPr>
        <w:pStyle w:val="4"/>
        <w:spacing w:before="0" w:after="0" w:line="360" w:lineRule="auto"/>
        <w:ind w:firstLine="643"/>
        <w:jc w:val="left"/>
        <w:rPr>
          <w:rFonts w:ascii="Times New Roman" w:hAnsi="Times New Roman" w:eastAsia="仿宋" w:cs="Times New Roman"/>
          <w:sz w:val="32"/>
          <w:szCs w:val="32"/>
          <w:lang w:bidi="en-US"/>
        </w:rPr>
      </w:pPr>
      <w:bookmarkStart w:id="46" w:name="_Toc100784611"/>
      <w:r>
        <w:rPr>
          <w:rFonts w:ascii="Times New Roman" w:hAnsi="Times New Roman" w:eastAsia="仿宋" w:cs="Times New Roman"/>
          <w:sz w:val="32"/>
          <w:szCs w:val="32"/>
          <w:lang w:bidi="en-US"/>
        </w:rPr>
        <w:t>4.产出成本</w:t>
      </w:r>
      <w:bookmarkEnd w:id="46"/>
    </w:p>
    <w:p>
      <w:pPr>
        <w:spacing w:line="360" w:lineRule="auto"/>
        <w:ind w:firstLine="562"/>
        <w:rPr>
          <w:rFonts w:ascii="Times New Roman" w:hAnsi="Times New Roman" w:eastAsia="仿宋" w:cs="Times New Roman"/>
          <w:bCs/>
          <w:color w:val="333333"/>
          <w:szCs w:val="28"/>
        </w:rPr>
      </w:pPr>
      <w:r>
        <w:rPr>
          <w:rFonts w:hint="eastAsia" w:ascii="Times New Roman" w:hAnsi="Times New Roman" w:cs="Times New Roman"/>
          <w:b/>
          <w:bCs/>
          <w:szCs w:val="28"/>
        </w:rPr>
        <w:t>公用经费补助标准</w:t>
      </w:r>
      <w:r>
        <w:rPr>
          <w:rFonts w:ascii="Times New Roman" w:hAnsi="Times New Roman" w:cs="Times New Roman"/>
          <w:b/>
          <w:bCs/>
          <w:szCs w:val="28"/>
        </w:rPr>
        <w:t>：</w:t>
      </w:r>
      <w:r>
        <w:rPr>
          <w:rFonts w:hint="eastAsia" w:ascii="Times New Roman" w:hAnsi="Times New Roman" w:eastAsia="仿宋" w:cs="Times New Roman"/>
          <w:bCs/>
          <w:color w:val="333333"/>
          <w:szCs w:val="28"/>
        </w:rPr>
        <w:t>公用经费补助标准目标值是850元/生/年，实际完成值是850元/生/年；</w:t>
      </w:r>
    </w:p>
    <w:p>
      <w:pPr>
        <w:spacing w:line="360" w:lineRule="auto"/>
        <w:ind w:firstLine="562"/>
        <w:rPr>
          <w:rFonts w:ascii="Times New Roman" w:hAnsi="Times New Roman" w:eastAsia="仿宋" w:cs="Times New Roman"/>
          <w:bCs/>
          <w:color w:val="333333"/>
          <w:szCs w:val="28"/>
        </w:rPr>
      </w:pPr>
      <w:r>
        <w:rPr>
          <w:rFonts w:hint="eastAsia" w:ascii="Times New Roman" w:hAnsi="Times New Roman" w:cs="Times New Roman"/>
          <w:b/>
          <w:bCs/>
          <w:szCs w:val="28"/>
        </w:rPr>
        <w:t>随班就读学生补助标准：</w:t>
      </w:r>
      <w:r>
        <w:rPr>
          <w:rFonts w:hint="eastAsia" w:ascii="Times New Roman" w:hAnsi="Times New Roman" w:eastAsia="仿宋" w:cs="Times New Roman"/>
          <w:bCs/>
          <w:color w:val="333333"/>
          <w:szCs w:val="28"/>
        </w:rPr>
        <w:t>随班就读学生补助标准目标值是6000元/生/年，实际完成值是6000元/生/年；</w:t>
      </w:r>
    </w:p>
    <w:p>
      <w:pPr>
        <w:spacing w:line="360" w:lineRule="auto"/>
        <w:ind w:firstLine="562"/>
        <w:rPr>
          <w:rFonts w:ascii="Times New Roman" w:hAnsi="Times New Roman" w:cs="Times New Roman"/>
          <w:b/>
          <w:bCs/>
          <w:szCs w:val="28"/>
        </w:rPr>
      </w:pPr>
      <w:r>
        <w:rPr>
          <w:rFonts w:hint="eastAsia" w:ascii="Times New Roman" w:hAnsi="Times New Roman" w:cs="Times New Roman"/>
          <w:b/>
          <w:bCs/>
          <w:szCs w:val="28"/>
        </w:rPr>
        <w:t>取暖费补助标准：</w:t>
      </w:r>
      <w:r>
        <w:rPr>
          <w:rFonts w:hint="eastAsia" w:ascii="Times New Roman" w:hAnsi="Times New Roman" w:eastAsia="仿宋" w:cs="Times New Roman"/>
          <w:bCs/>
          <w:color w:val="333333"/>
          <w:szCs w:val="28"/>
        </w:rPr>
        <w:t>取暖费补助标准目标值是180元/生/年，实际完成值是180元/生/年。</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综上，该指标满分40分，得分</w:t>
      </w:r>
      <w:r>
        <w:rPr>
          <w:rFonts w:hint="eastAsia" w:ascii="Times New Roman" w:hAnsi="Times New Roman" w:cs="Times New Roman"/>
          <w:b/>
          <w:kern w:val="0"/>
          <w:szCs w:val="28"/>
        </w:rPr>
        <w:t>39.97</w:t>
      </w:r>
      <w:r>
        <w:rPr>
          <w:rFonts w:ascii="Times New Roman" w:hAnsi="Times New Roman" w:cs="Times New Roman"/>
          <w:b/>
          <w:kern w:val="0"/>
          <w:szCs w:val="28"/>
        </w:rPr>
        <w:t>分。</w:t>
      </w:r>
    </w:p>
    <w:p>
      <w:pPr>
        <w:pStyle w:val="4"/>
        <w:spacing w:before="0" w:after="0" w:line="360" w:lineRule="auto"/>
        <w:ind w:firstLine="0" w:firstLineChars="0"/>
        <w:jc w:val="left"/>
        <w:rPr>
          <w:rFonts w:ascii="Times New Roman" w:hAnsi="Times New Roman" w:eastAsia="仿宋" w:cs="Times New Roman"/>
          <w:sz w:val="32"/>
          <w:szCs w:val="32"/>
          <w:lang w:bidi="en-US"/>
        </w:rPr>
      </w:pPr>
      <w:bookmarkStart w:id="47" w:name="_Toc100784612"/>
      <w:bookmarkStart w:id="48" w:name="_Toc67911615"/>
      <w:r>
        <w:rPr>
          <w:rFonts w:ascii="Times New Roman" w:hAnsi="Times New Roman" w:eastAsia="仿宋" w:cs="Times New Roman"/>
          <w:sz w:val="32"/>
          <w:szCs w:val="32"/>
          <w:lang w:bidi="en-US"/>
        </w:rPr>
        <w:t>（四）项目效益情况</w:t>
      </w:r>
      <w:bookmarkEnd w:id="47"/>
      <w:bookmarkEnd w:id="48"/>
    </w:p>
    <w:p>
      <w:pPr>
        <w:spacing w:line="360" w:lineRule="auto"/>
        <w:ind w:firstLine="560"/>
        <w:rPr>
          <w:rFonts w:ascii="Times New Roman" w:hAnsi="Times New Roman" w:cs="Times New Roman"/>
          <w:szCs w:val="28"/>
        </w:rPr>
      </w:pPr>
      <w:r>
        <w:rPr>
          <w:rFonts w:ascii="Times New Roman" w:hAnsi="Times New Roman" w:cs="Times New Roman"/>
          <w:szCs w:val="28"/>
        </w:rPr>
        <w:t>项目效益指标由</w:t>
      </w:r>
      <w:r>
        <w:rPr>
          <w:rFonts w:hint="eastAsia" w:ascii="Times New Roman" w:hAnsi="Times New Roman" w:cs="Times New Roman"/>
          <w:szCs w:val="28"/>
        </w:rPr>
        <w:t>2</w:t>
      </w:r>
      <w:r>
        <w:rPr>
          <w:rFonts w:ascii="Times New Roman" w:hAnsi="Times New Roman" w:cs="Times New Roman"/>
          <w:szCs w:val="28"/>
        </w:rPr>
        <w:t>个二级指标和2个三级指标构成，权重为</w:t>
      </w:r>
      <w:r>
        <w:rPr>
          <w:rFonts w:hint="eastAsia" w:ascii="Times New Roman" w:hAnsi="Times New Roman" w:cs="Times New Roman"/>
          <w:szCs w:val="28"/>
        </w:rPr>
        <w:t>15</w:t>
      </w:r>
      <w:r>
        <w:rPr>
          <w:rFonts w:ascii="Times New Roman" w:hAnsi="Times New Roman" w:cs="Times New Roman"/>
          <w:szCs w:val="28"/>
        </w:rPr>
        <w:t>分，实际得分</w:t>
      </w:r>
      <w:r>
        <w:rPr>
          <w:rFonts w:hint="eastAsia" w:ascii="Times New Roman" w:hAnsi="Times New Roman" w:cs="Times New Roman"/>
          <w:szCs w:val="28"/>
        </w:rPr>
        <w:t>15</w:t>
      </w:r>
      <w:r>
        <w:rPr>
          <w:rFonts w:ascii="Times New Roman" w:hAnsi="Times New Roman" w:cs="Times New Roman"/>
          <w:szCs w:val="28"/>
        </w:rPr>
        <w:t xml:space="preserve">分。 </w:t>
      </w:r>
    </w:p>
    <w:p>
      <w:pPr>
        <w:pStyle w:val="6"/>
        <w:ind w:firstLine="643"/>
        <w:rPr>
          <w:rFonts w:ascii="Times New Roman" w:hAnsi="Times New Roman" w:cs="Times New Roman"/>
        </w:rPr>
      </w:pPr>
      <w:bookmarkStart w:id="49" w:name="_Toc100784613"/>
      <w:r>
        <w:rPr>
          <w:rFonts w:ascii="Times New Roman" w:hAnsi="Times New Roman" w:cs="Times New Roman"/>
        </w:rPr>
        <w:t>1.项目效益</w:t>
      </w:r>
      <w:bookmarkEnd w:id="49"/>
    </w:p>
    <w:p>
      <w:pPr>
        <w:spacing w:line="360" w:lineRule="auto"/>
        <w:ind w:firstLine="562"/>
        <w:rPr>
          <w:rFonts w:ascii="Times New Roman" w:hAnsi="Times New Roman" w:cs="Times New Roman"/>
          <w:b/>
          <w:bCs/>
          <w:szCs w:val="28"/>
        </w:rPr>
      </w:pPr>
      <w:r>
        <w:rPr>
          <w:rFonts w:ascii="Times New Roman" w:hAnsi="Times New Roman" w:cs="Times New Roman"/>
          <w:b/>
          <w:bCs/>
          <w:szCs w:val="28"/>
        </w:rPr>
        <w:t>（1）实施效益</w:t>
      </w:r>
    </w:p>
    <w:p>
      <w:pPr>
        <w:spacing w:line="360" w:lineRule="auto"/>
        <w:ind w:firstLine="562"/>
        <w:rPr>
          <w:rFonts w:ascii="Times New Roman" w:hAnsi="Times New Roman" w:cs="Times New Roman"/>
          <w:szCs w:val="28"/>
        </w:rPr>
      </w:pPr>
      <w:r>
        <w:rPr>
          <w:rFonts w:ascii="Times New Roman" w:hAnsi="Times New Roman" w:cs="Times New Roman"/>
          <w:b/>
          <w:bCs/>
          <w:szCs w:val="28"/>
        </w:rPr>
        <w:t>经济效益指标：</w:t>
      </w:r>
      <w:r>
        <w:rPr>
          <w:rFonts w:ascii="Times New Roman" w:hAnsi="Times New Roman" w:cs="Times New Roman"/>
          <w:szCs w:val="28"/>
        </w:rPr>
        <w:t xml:space="preserve">不适用。 </w:t>
      </w:r>
    </w:p>
    <w:p>
      <w:pPr>
        <w:spacing w:line="360" w:lineRule="auto"/>
        <w:ind w:firstLine="562"/>
        <w:rPr>
          <w:rFonts w:ascii="Times New Roman" w:hAnsi="Times New Roman" w:cs="Times New Roman"/>
          <w:szCs w:val="28"/>
        </w:rPr>
      </w:pPr>
      <w:r>
        <w:rPr>
          <w:rFonts w:ascii="Times New Roman" w:hAnsi="Times New Roman" w:cs="Times New Roman"/>
          <w:b/>
          <w:bCs/>
          <w:szCs w:val="28"/>
        </w:rPr>
        <w:t>社会效益指标</w:t>
      </w:r>
      <w:r>
        <w:rPr>
          <w:rFonts w:ascii="Times New Roman" w:hAnsi="Times New Roman" w:cs="Times New Roman"/>
          <w:szCs w:val="28"/>
        </w:rPr>
        <w:t>：评价指标“</w:t>
      </w:r>
      <w:r>
        <w:rPr>
          <w:rFonts w:hint="eastAsia" w:ascii="Times New Roman" w:hAnsi="Times New Roman" w:cs="Times New Roman"/>
          <w:szCs w:val="28"/>
        </w:rPr>
        <w:t>落实教育惠民政策</w:t>
      </w:r>
      <w:r>
        <w:rPr>
          <w:rFonts w:ascii="Times New Roman" w:hAnsi="Times New Roman" w:cs="Times New Roman"/>
          <w:szCs w:val="28"/>
        </w:rPr>
        <w:t>”，指标值：</w:t>
      </w:r>
      <w:r>
        <w:rPr>
          <w:rFonts w:hint="eastAsia" w:ascii="Times New Roman" w:hAnsi="Times New Roman" w:cs="Times New Roman"/>
          <w:szCs w:val="28"/>
        </w:rPr>
        <w:t>有效落实</w:t>
      </w:r>
      <w:r>
        <w:rPr>
          <w:rFonts w:ascii="Times New Roman" w:hAnsi="Times New Roman" w:cs="Times New Roman"/>
          <w:szCs w:val="28"/>
        </w:rPr>
        <w:t>，实际完成值：</w:t>
      </w:r>
      <w:r>
        <w:rPr>
          <w:rFonts w:hint="eastAsia" w:ascii="Times New Roman" w:hAnsi="Times New Roman" w:cs="Times New Roman"/>
          <w:szCs w:val="28"/>
        </w:rPr>
        <w:t>完全达到预期效果</w:t>
      </w:r>
      <w:r>
        <w:rPr>
          <w:rFonts w:ascii="Times New Roman" w:hAnsi="Times New Roman" w:cs="Times New Roman"/>
          <w:szCs w:val="28"/>
        </w:rPr>
        <w:t>。本项目的实施</w:t>
      </w:r>
      <w:r>
        <w:rPr>
          <w:rFonts w:hint="eastAsia" w:ascii="仿宋_GB2312"/>
          <w:szCs w:val="28"/>
        </w:rPr>
        <w:t>保障我校教育惠民政策，资金按期拨付，各项补助按期发放，确实减轻我县农牧民家庭经济负担，落实教育惠民政策、全面推进教育发展。</w:t>
      </w:r>
    </w:p>
    <w:p>
      <w:pPr>
        <w:spacing w:line="360" w:lineRule="auto"/>
        <w:ind w:firstLine="562"/>
        <w:rPr>
          <w:rFonts w:ascii="Times New Roman" w:hAnsi="Times New Roman" w:cs="Times New Roman"/>
          <w:szCs w:val="28"/>
        </w:rPr>
      </w:pPr>
      <w:r>
        <w:rPr>
          <w:rFonts w:ascii="Times New Roman" w:hAnsi="Times New Roman" w:cs="Times New Roman"/>
          <w:b/>
          <w:bCs/>
          <w:szCs w:val="28"/>
        </w:rPr>
        <w:t>生态效益指标</w:t>
      </w:r>
      <w:r>
        <w:rPr>
          <w:rFonts w:ascii="Times New Roman" w:hAnsi="Times New Roman" w:cs="Times New Roman"/>
          <w:szCs w:val="28"/>
        </w:rPr>
        <w:t>：不适用。</w:t>
      </w:r>
    </w:p>
    <w:p>
      <w:pPr>
        <w:spacing w:line="360" w:lineRule="auto"/>
        <w:ind w:firstLine="562"/>
        <w:rPr>
          <w:rFonts w:ascii="Times New Roman" w:hAnsi="Times New Roman" w:cs="Times New Roman"/>
          <w:szCs w:val="28"/>
        </w:rPr>
      </w:pPr>
      <w:r>
        <w:rPr>
          <w:rFonts w:ascii="Times New Roman" w:hAnsi="Times New Roman" w:cs="Times New Roman"/>
          <w:b/>
          <w:bCs/>
          <w:szCs w:val="28"/>
        </w:rPr>
        <w:t>可持续影响指标：</w:t>
      </w:r>
      <w:r>
        <w:rPr>
          <w:rFonts w:ascii="Times New Roman" w:hAnsi="Times New Roman" w:cs="Times New Roman"/>
          <w:szCs w:val="28"/>
        </w:rPr>
        <w:t>评价指标“</w:t>
      </w:r>
      <w:r>
        <w:rPr>
          <w:rFonts w:hint="eastAsia" w:ascii="Times New Roman" w:hAnsi="Times New Roman" w:cs="Times New Roman"/>
          <w:szCs w:val="28"/>
        </w:rPr>
        <w:t>创设各族青少年学习在学校、生活在学校、成长在学校的良好条件</w:t>
      </w:r>
      <w:r>
        <w:rPr>
          <w:rFonts w:ascii="Times New Roman" w:hAnsi="Times New Roman" w:cs="Times New Roman"/>
          <w:szCs w:val="28"/>
        </w:rPr>
        <w:t>”，指标值：</w:t>
      </w:r>
      <w:r>
        <w:rPr>
          <w:rFonts w:hint="eastAsia" w:ascii="Times New Roman" w:hAnsi="Times New Roman" w:cs="Times New Roman"/>
          <w:szCs w:val="28"/>
        </w:rPr>
        <w:t>长期积极创设</w:t>
      </w:r>
      <w:r>
        <w:rPr>
          <w:rFonts w:ascii="Times New Roman" w:hAnsi="Times New Roman" w:cs="Times New Roman"/>
          <w:szCs w:val="28"/>
        </w:rPr>
        <w:t>，实际完成值：</w:t>
      </w:r>
      <w:r>
        <w:rPr>
          <w:rFonts w:hint="eastAsia" w:ascii="Times New Roman" w:hAnsi="Times New Roman" w:cs="Times New Roman"/>
          <w:szCs w:val="28"/>
        </w:rPr>
        <w:t>完全达到预期效果</w:t>
      </w:r>
      <w:r>
        <w:rPr>
          <w:rFonts w:ascii="Times New Roman" w:hAnsi="Times New Roman" w:cs="Times New Roman"/>
          <w:szCs w:val="28"/>
        </w:rPr>
        <w:t>。</w:t>
      </w:r>
      <w:r>
        <w:rPr>
          <w:rFonts w:hint="eastAsia" w:ascii="Times New Roman" w:hAnsi="Times New Roman" w:cs="Times New Roman"/>
          <w:szCs w:val="28"/>
        </w:rPr>
        <w:t>本项目的实施为学生在学校的学习生活提供了良好的条件，减轻农牧民家庭的经济负担。</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综上，该指标满分1</w:t>
      </w:r>
      <w:r>
        <w:rPr>
          <w:rFonts w:hint="eastAsia" w:ascii="Times New Roman" w:hAnsi="Times New Roman" w:cs="Times New Roman"/>
          <w:b/>
          <w:kern w:val="0"/>
          <w:szCs w:val="28"/>
        </w:rPr>
        <w:t>5</w:t>
      </w:r>
      <w:r>
        <w:rPr>
          <w:rFonts w:ascii="Times New Roman" w:hAnsi="Times New Roman" w:cs="Times New Roman"/>
          <w:b/>
          <w:kern w:val="0"/>
          <w:szCs w:val="28"/>
        </w:rPr>
        <w:t>分，得分</w:t>
      </w:r>
      <w:r>
        <w:rPr>
          <w:rFonts w:hint="eastAsia" w:ascii="Times New Roman" w:hAnsi="Times New Roman" w:cs="Times New Roman"/>
          <w:b/>
          <w:kern w:val="0"/>
          <w:szCs w:val="28"/>
        </w:rPr>
        <w:t>15</w:t>
      </w:r>
      <w:r>
        <w:rPr>
          <w:rFonts w:ascii="Times New Roman" w:hAnsi="Times New Roman" w:cs="Times New Roman"/>
          <w:b/>
          <w:kern w:val="0"/>
          <w:szCs w:val="28"/>
        </w:rPr>
        <w:t>分。</w:t>
      </w:r>
    </w:p>
    <w:p>
      <w:pPr>
        <w:autoSpaceDE w:val="0"/>
        <w:spacing w:line="600" w:lineRule="exact"/>
        <w:ind w:firstLine="562"/>
        <w:rPr>
          <w:rFonts w:ascii="Times New Roman" w:hAnsi="Times New Roman" w:cs="Times New Roman"/>
          <w:b/>
          <w:kern w:val="0"/>
          <w:szCs w:val="28"/>
        </w:rPr>
      </w:pPr>
    </w:p>
    <w:p>
      <w:pPr>
        <w:pStyle w:val="6"/>
        <w:ind w:firstLine="643"/>
        <w:rPr>
          <w:rFonts w:ascii="Times New Roman" w:hAnsi="Times New Roman" w:cs="Times New Roman"/>
        </w:rPr>
      </w:pPr>
      <w:bookmarkStart w:id="50" w:name="_Toc100784614"/>
      <w:r>
        <w:rPr>
          <w:rFonts w:ascii="Times New Roman" w:hAnsi="Times New Roman" w:cs="Times New Roman"/>
        </w:rPr>
        <w:t>2. 满意度指标完成情况分析</w:t>
      </w:r>
      <w:bookmarkEnd w:id="50"/>
    </w:p>
    <w:p>
      <w:pPr>
        <w:spacing w:line="360" w:lineRule="auto"/>
        <w:ind w:firstLine="562"/>
        <w:rPr>
          <w:rFonts w:ascii="Times New Roman" w:hAnsi="Times New Roman" w:cs="Times New Roman"/>
          <w:b/>
          <w:bCs/>
          <w:szCs w:val="28"/>
        </w:rPr>
      </w:pPr>
      <w:r>
        <w:rPr>
          <w:rFonts w:ascii="Times New Roman" w:hAnsi="Times New Roman" w:cs="Times New Roman"/>
          <w:b/>
          <w:bCs/>
          <w:szCs w:val="28"/>
        </w:rPr>
        <w:t>（1）满意度指标</w:t>
      </w:r>
    </w:p>
    <w:p>
      <w:pPr>
        <w:spacing w:line="360" w:lineRule="auto"/>
        <w:ind w:firstLine="562"/>
      </w:pPr>
      <w:r>
        <w:rPr>
          <w:rFonts w:ascii="Times New Roman" w:hAnsi="Times New Roman" w:cs="Times New Roman"/>
          <w:b/>
          <w:bCs/>
          <w:szCs w:val="28"/>
        </w:rPr>
        <w:t>群众满意度：</w:t>
      </w:r>
      <w:r>
        <w:rPr>
          <w:rFonts w:ascii="Times New Roman" w:hAnsi="Times New Roman" w:cs="Times New Roman"/>
          <w:szCs w:val="28"/>
        </w:rPr>
        <w:t>评价指标“</w:t>
      </w:r>
      <w:r>
        <w:rPr>
          <w:rFonts w:hint="eastAsia" w:ascii="Times New Roman" w:hAnsi="Times New Roman" w:cs="Times New Roman"/>
          <w:szCs w:val="28"/>
        </w:rPr>
        <w:t>受益学生满意度</w:t>
      </w:r>
      <w:r>
        <w:rPr>
          <w:rFonts w:ascii="Times New Roman" w:hAnsi="Times New Roman" w:cs="Times New Roman"/>
          <w:szCs w:val="28"/>
        </w:rPr>
        <w:t>”，指标值：≥</w:t>
      </w:r>
      <w:r>
        <w:rPr>
          <w:rFonts w:hint="eastAsia" w:ascii="Times New Roman" w:hAnsi="Times New Roman" w:cs="Times New Roman"/>
          <w:szCs w:val="28"/>
        </w:rPr>
        <w:t>90</w:t>
      </w:r>
      <w:r>
        <w:rPr>
          <w:rFonts w:ascii="Times New Roman" w:hAnsi="Times New Roman" w:cs="Times New Roman"/>
          <w:szCs w:val="28"/>
        </w:rPr>
        <w:t>%，实际完成值：≥</w:t>
      </w:r>
      <w:r>
        <w:rPr>
          <w:rFonts w:hint="eastAsia" w:ascii="Times New Roman" w:hAnsi="Times New Roman" w:cs="Times New Roman"/>
          <w:szCs w:val="28"/>
        </w:rPr>
        <w:t>90</w:t>
      </w:r>
      <w:r>
        <w:rPr>
          <w:rFonts w:ascii="Times New Roman" w:hAnsi="Times New Roman" w:cs="Times New Roman"/>
          <w:szCs w:val="28"/>
        </w:rPr>
        <w:t>%。通过设置问卷调查的方式进行考评评价，共计调查样本总量为</w:t>
      </w:r>
      <w:r>
        <w:rPr>
          <w:rFonts w:hint="eastAsia" w:ascii="Times New Roman" w:hAnsi="Times New Roman" w:cs="Times New Roman"/>
          <w:szCs w:val="28"/>
        </w:rPr>
        <w:t>25</w:t>
      </w:r>
      <w:r>
        <w:rPr>
          <w:rFonts w:ascii="Times New Roman" w:hAnsi="Times New Roman" w:cs="Times New Roman"/>
          <w:szCs w:val="28"/>
        </w:rPr>
        <w:t>个样本，有效调查问卷</w:t>
      </w:r>
      <w:r>
        <w:rPr>
          <w:rFonts w:hint="eastAsia" w:ascii="Times New Roman" w:hAnsi="Times New Roman" w:cs="Times New Roman"/>
          <w:szCs w:val="28"/>
        </w:rPr>
        <w:t>20</w:t>
      </w:r>
      <w:r>
        <w:rPr>
          <w:rFonts w:ascii="Times New Roman" w:hAnsi="Times New Roman" w:cs="Times New Roman"/>
          <w:szCs w:val="28"/>
        </w:rPr>
        <w:t>份。其中，统计“</w:t>
      </w:r>
      <w:r>
        <w:rPr>
          <w:rFonts w:hint="eastAsia" w:ascii="Times New Roman" w:hAnsi="Times New Roman" w:cs="Times New Roman"/>
          <w:szCs w:val="28"/>
        </w:rPr>
        <w:t>学生满意率</w:t>
      </w:r>
      <w:r>
        <w:rPr>
          <w:rFonts w:ascii="Times New Roman" w:hAnsi="Times New Roman" w:cs="Times New Roman"/>
          <w:szCs w:val="28"/>
        </w:rPr>
        <w:t>”的平均值为</w:t>
      </w:r>
      <w:r>
        <w:rPr>
          <w:rFonts w:hint="eastAsia" w:ascii="Times New Roman" w:hAnsi="Times New Roman" w:cs="Times New Roman"/>
          <w:szCs w:val="28"/>
        </w:rPr>
        <w:t>95</w:t>
      </w:r>
      <w:r>
        <w:rPr>
          <w:rFonts w:ascii="Times New Roman" w:hAnsi="Times New Roman" w:cs="Times New Roman"/>
          <w:szCs w:val="28"/>
        </w:rPr>
        <w:t>%。故满意度指标得分为</w:t>
      </w:r>
      <w:r>
        <w:rPr>
          <w:rFonts w:hint="eastAsia" w:ascii="Times New Roman" w:hAnsi="Times New Roman" w:cs="Times New Roman"/>
          <w:szCs w:val="28"/>
        </w:rPr>
        <w:t>5</w:t>
      </w:r>
      <w:r>
        <w:rPr>
          <w:rFonts w:ascii="Times New Roman" w:hAnsi="Times New Roman" w:cs="Times New Roman"/>
          <w:szCs w:val="28"/>
        </w:rPr>
        <w:t>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w:t>
      </w:r>
      <w:r>
        <w:rPr>
          <w:rFonts w:hint="eastAsia" w:ascii="Times New Roman" w:hAnsi="Times New Roman" w:cs="Times New Roman"/>
          <w:b/>
          <w:kern w:val="0"/>
          <w:szCs w:val="28"/>
        </w:rPr>
        <w:t>5</w:t>
      </w:r>
      <w:r>
        <w:rPr>
          <w:rFonts w:ascii="Times New Roman" w:hAnsi="Times New Roman" w:cs="Times New Roman"/>
          <w:b/>
          <w:kern w:val="0"/>
          <w:szCs w:val="28"/>
        </w:rPr>
        <w:t>分，得分</w:t>
      </w:r>
      <w:r>
        <w:rPr>
          <w:rFonts w:hint="eastAsia" w:ascii="Times New Roman" w:hAnsi="Times New Roman" w:cs="Times New Roman"/>
          <w:b/>
          <w:kern w:val="0"/>
          <w:szCs w:val="28"/>
        </w:rPr>
        <w:t>5分</w:t>
      </w:r>
      <w:r>
        <w:rPr>
          <w:rFonts w:ascii="Times New Roman" w:hAnsi="Times New Roman" w:cs="Times New Roman"/>
          <w:b/>
          <w:kern w:val="0"/>
          <w:szCs w:val="28"/>
        </w:rPr>
        <w:t>。</w:t>
      </w:r>
    </w:p>
    <w:p>
      <w:pPr>
        <w:pStyle w:val="2"/>
        <w:ind w:firstLine="560"/>
      </w:pPr>
    </w:p>
    <w:p>
      <w:pPr>
        <w:pStyle w:val="4"/>
        <w:spacing w:before="0" w:after="0" w:line="360" w:lineRule="auto"/>
        <w:ind w:firstLine="0" w:firstLineChars="0"/>
        <w:jc w:val="left"/>
        <w:rPr>
          <w:rFonts w:ascii="Times New Roman" w:hAnsi="Times New Roman" w:eastAsia="仿宋" w:cs="Times New Roman"/>
          <w:sz w:val="36"/>
          <w:szCs w:val="36"/>
          <w:lang w:bidi="en-US"/>
        </w:rPr>
      </w:pPr>
      <w:bookmarkStart w:id="51" w:name="_Toc100784615"/>
      <w:bookmarkStart w:id="52" w:name="_Toc67911616"/>
      <w:r>
        <w:rPr>
          <w:rFonts w:ascii="Times New Roman" w:hAnsi="Times New Roman" w:eastAsia="仿宋" w:cs="Times New Roman"/>
          <w:sz w:val="36"/>
          <w:szCs w:val="36"/>
          <w:lang w:bidi="en-US"/>
        </w:rPr>
        <w:t>五、预算执行进度与绩效指标偏差</w:t>
      </w:r>
      <w:bookmarkEnd w:id="51"/>
      <w:bookmarkEnd w:id="52"/>
    </w:p>
    <w:p>
      <w:pPr>
        <w:spacing w:line="360" w:lineRule="auto"/>
        <w:ind w:firstLine="560"/>
        <w:rPr>
          <w:rFonts w:ascii="Times New Roman" w:hAnsi="Times New Roman" w:cs="Times New Roman"/>
          <w:szCs w:val="28"/>
        </w:rPr>
      </w:pPr>
      <w:r>
        <w:rPr>
          <w:rFonts w:ascii="Times New Roman" w:hAnsi="Times New Roman" w:cs="Times New Roman"/>
          <w:szCs w:val="28"/>
        </w:rPr>
        <w:t>本项目预算执行率为</w:t>
      </w:r>
      <w:r>
        <w:rPr>
          <w:rFonts w:hint="eastAsia" w:ascii="Times New Roman" w:hAnsi="Times New Roman" w:cs="Times New Roman"/>
          <w:szCs w:val="28"/>
        </w:rPr>
        <w:t>99.41</w:t>
      </w:r>
      <w:r>
        <w:rPr>
          <w:rFonts w:ascii="Times New Roman" w:hAnsi="Times New Roman" w:cs="Times New Roman"/>
          <w:szCs w:val="28"/>
        </w:rPr>
        <w:t>%，指标总体完成率为</w:t>
      </w:r>
      <w:r>
        <w:rPr>
          <w:rFonts w:hint="eastAsia" w:ascii="Times New Roman" w:hAnsi="Times New Roman" w:cs="Times New Roman"/>
          <w:szCs w:val="28"/>
        </w:rPr>
        <w:t>100%</w:t>
      </w:r>
      <w:r>
        <w:rPr>
          <w:rFonts w:ascii="Times New Roman" w:hAnsi="Times New Roman" w:cs="Times New Roman"/>
          <w:szCs w:val="28"/>
        </w:rPr>
        <w:t>，二者之间的偏差值为</w:t>
      </w:r>
      <w:r>
        <w:rPr>
          <w:rFonts w:hint="eastAsia" w:ascii="Times New Roman" w:hAnsi="Times New Roman" w:cs="Times New Roman"/>
          <w:szCs w:val="28"/>
        </w:rPr>
        <w:t>0.59</w:t>
      </w:r>
      <w:r>
        <w:rPr>
          <w:rFonts w:ascii="Times New Roman" w:hAnsi="Times New Roman" w:cs="Times New Roman"/>
          <w:szCs w:val="28"/>
        </w:rPr>
        <w:t>%，小于20%。因此，本项目较好地完成了年度总体目标，财政资金使用效益和效率较高。</w:t>
      </w:r>
    </w:p>
    <w:p>
      <w:pPr>
        <w:pStyle w:val="4"/>
        <w:spacing w:before="0" w:after="0" w:line="360" w:lineRule="auto"/>
        <w:ind w:firstLine="0" w:firstLineChars="0"/>
        <w:jc w:val="left"/>
        <w:rPr>
          <w:rFonts w:ascii="Times New Roman" w:hAnsi="Times New Roman" w:eastAsia="仿宋" w:cs="Times New Roman"/>
          <w:sz w:val="36"/>
          <w:szCs w:val="36"/>
          <w:lang w:bidi="en-US"/>
        </w:rPr>
      </w:pPr>
      <w:bookmarkStart w:id="53" w:name="_Toc67911617"/>
      <w:bookmarkStart w:id="54" w:name="_Toc100784616"/>
    </w:p>
    <w:p>
      <w:pPr>
        <w:pStyle w:val="4"/>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六、主要经验及做法、存在的问题及原因分析</w:t>
      </w:r>
      <w:bookmarkEnd w:id="53"/>
      <w:bookmarkEnd w:id="54"/>
    </w:p>
    <w:p>
      <w:pPr>
        <w:pStyle w:val="4"/>
        <w:spacing w:before="0" w:after="0" w:line="360" w:lineRule="auto"/>
        <w:ind w:firstLine="0" w:firstLineChars="0"/>
        <w:jc w:val="left"/>
        <w:rPr>
          <w:rFonts w:ascii="Times New Roman" w:hAnsi="Times New Roman" w:eastAsia="仿宋" w:cs="Times New Roman"/>
          <w:sz w:val="32"/>
          <w:szCs w:val="32"/>
          <w:lang w:bidi="en-US"/>
        </w:rPr>
      </w:pPr>
      <w:bookmarkStart w:id="55" w:name="_Toc67911618"/>
      <w:bookmarkStart w:id="56" w:name="_Toc100784617"/>
      <w:r>
        <w:rPr>
          <w:rFonts w:ascii="Times New Roman" w:hAnsi="Times New Roman" w:eastAsia="仿宋" w:cs="Times New Roman"/>
          <w:sz w:val="32"/>
          <w:szCs w:val="32"/>
          <w:lang w:bidi="en-US"/>
        </w:rPr>
        <w:t>（一）主要经验及做法</w:t>
      </w:r>
      <w:bookmarkEnd w:id="55"/>
      <w:bookmarkEnd w:id="56"/>
    </w:p>
    <w:p>
      <w:pPr>
        <w:spacing w:line="360" w:lineRule="auto"/>
        <w:ind w:firstLine="560"/>
        <w:rPr>
          <w:rFonts w:ascii="Times New Roman" w:hAnsi="Times New Roman" w:cs="Times New Roman"/>
          <w:szCs w:val="28"/>
        </w:rPr>
      </w:pPr>
      <w:bookmarkStart w:id="57" w:name="_Toc100784618"/>
      <w:r>
        <w:rPr>
          <w:rFonts w:ascii="Times New Roman" w:hAnsi="Times New Roman" w:cs="Times New Roman"/>
          <w:szCs w:val="28"/>
        </w:rPr>
        <w:t>1.</w:t>
      </w:r>
      <w:r>
        <w:rPr>
          <w:rFonts w:hint="eastAsia" w:ascii="Times New Roman" w:hAnsi="Times New Roman" w:cs="Times New Roman"/>
          <w:szCs w:val="28"/>
        </w:rPr>
        <w:t>成立内控小组，对资金使用全过程实行监管。</w:t>
      </w:r>
    </w:p>
    <w:p>
      <w:pPr>
        <w:spacing w:line="360" w:lineRule="auto"/>
        <w:ind w:firstLine="560"/>
        <w:rPr>
          <w:rFonts w:ascii="Times New Roman" w:hAnsi="Times New Roman" w:cs="Times New Roman"/>
          <w:szCs w:val="28"/>
        </w:rPr>
      </w:pPr>
      <w:r>
        <w:rPr>
          <w:rFonts w:hint="eastAsia" w:ascii="Times New Roman" w:hAnsi="Times New Roman" w:cs="Times New Roman"/>
          <w:szCs w:val="28"/>
        </w:rPr>
        <w:t>我单位成立了由书记、校长、副校长、总务处为成员的内控领导小组，对日常内部控制的建立和实施情况尤其是资金使用情况进行监督，及时发现并指出资金使用过程中存在的问题和薄弱环节，督促落实整改计划和措施，确保内部控制体系的有效运行，确保资金安全、合法使用。</w:t>
      </w:r>
    </w:p>
    <w:p>
      <w:pPr>
        <w:spacing w:line="360" w:lineRule="auto"/>
        <w:ind w:firstLine="560"/>
        <w:rPr>
          <w:rFonts w:ascii="Times New Roman" w:hAnsi="Times New Roman" w:cs="Times New Roman"/>
          <w:szCs w:val="28"/>
        </w:rPr>
      </w:pPr>
      <w:r>
        <w:rPr>
          <w:rFonts w:ascii="Times New Roman" w:hAnsi="Times New Roman" w:cs="Times New Roman"/>
          <w:szCs w:val="28"/>
        </w:rPr>
        <w:t>2.</w:t>
      </w:r>
      <w:r>
        <w:rPr>
          <w:rFonts w:hint="eastAsia" w:ascii="Times New Roman" w:hAnsi="Times New Roman" w:cs="Times New Roman"/>
          <w:szCs w:val="28"/>
        </w:rPr>
        <w:t>规范资金拨付流程</w:t>
      </w:r>
    </w:p>
    <w:p>
      <w:pPr>
        <w:spacing w:line="360" w:lineRule="auto"/>
        <w:ind w:firstLine="560"/>
        <w:rPr>
          <w:rFonts w:ascii="Times New Roman" w:hAnsi="Times New Roman" w:cs="Times New Roman"/>
          <w:szCs w:val="28"/>
        </w:rPr>
      </w:pPr>
      <w:r>
        <w:rPr>
          <w:rFonts w:hint="eastAsia" w:ascii="Times New Roman" w:hAnsi="Times New Roman" w:cs="Times New Roman"/>
          <w:szCs w:val="28"/>
        </w:rPr>
        <w:t>在拨付依据上按照先有预算指标再有用款计划，按时间进度或项目进度进行拨付；在拨付审批权限上要求经办人、科室负责人、校领导、报账员、主管会计依次审核，从严把关。</w:t>
      </w:r>
    </w:p>
    <w:p>
      <w:pPr>
        <w:pStyle w:val="4"/>
        <w:spacing w:before="0" w:after="0" w:line="360" w:lineRule="auto"/>
        <w:ind w:firstLine="0" w:firstLineChars="0"/>
        <w:jc w:val="left"/>
        <w:rPr>
          <w:rFonts w:ascii="Times New Roman" w:hAnsi="Times New Roman" w:eastAsia="仿宋" w:cs="Times New Roman"/>
          <w:sz w:val="32"/>
          <w:szCs w:val="32"/>
          <w:lang w:bidi="en-US"/>
        </w:rPr>
      </w:pPr>
      <w:r>
        <w:rPr>
          <w:rFonts w:ascii="Times New Roman" w:hAnsi="Times New Roman" w:eastAsia="仿宋" w:cs="Times New Roman"/>
          <w:sz w:val="32"/>
          <w:szCs w:val="32"/>
          <w:lang w:bidi="en-US"/>
        </w:rPr>
        <w:t>（二）存在的问题及原因分析</w:t>
      </w:r>
      <w:bookmarkEnd w:id="57"/>
    </w:p>
    <w:p>
      <w:pPr>
        <w:pStyle w:val="16"/>
        <w:widowControl/>
        <w:shd w:val="clear" w:color="auto" w:fill="FFFFFF"/>
        <w:spacing w:beforeAutospacing="0" w:afterAutospacing="0" w:line="578" w:lineRule="atLeast"/>
        <w:ind w:firstLine="560"/>
        <w:jc w:val="both"/>
        <w:rPr>
          <w:rFonts w:ascii="Times New Roman" w:hAnsi="Times New Roman"/>
          <w:kern w:val="2"/>
          <w:sz w:val="28"/>
          <w:szCs w:val="28"/>
        </w:rPr>
      </w:pPr>
      <w:bookmarkStart w:id="58" w:name="_Toc67911619"/>
      <w:bookmarkStart w:id="59" w:name="_Toc100784619"/>
      <w:r>
        <w:rPr>
          <w:rFonts w:hint="eastAsia" w:ascii="Times New Roman" w:hAnsi="Times New Roman"/>
          <w:kern w:val="2"/>
          <w:sz w:val="28"/>
          <w:szCs w:val="28"/>
        </w:rPr>
        <w:t>1.资金使用制度不完善</w:t>
      </w:r>
    </w:p>
    <w:p>
      <w:pPr>
        <w:pStyle w:val="16"/>
        <w:widowControl/>
        <w:shd w:val="clear" w:color="auto" w:fill="FFFFFF"/>
        <w:spacing w:beforeAutospacing="0" w:afterAutospacing="0" w:line="578" w:lineRule="atLeast"/>
        <w:ind w:firstLine="560"/>
        <w:jc w:val="both"/>
        <w:rPr>
          <w:rFonts w:ascii="Times New Roman" w:hAnsi="Times New Roman"/>
          <w:kern w:val="2"/>
          <w:sz w:val="28"/>
          <w:szCs w:val="28"/>
        </w:rPr>
      </w:pPr>
      <w:r>
        <w:rPr>
          <w:rFonts w:hint="eastAsia" w:ascii="Times New Roman" w:hAnsi="Times New Roman"/>
          <w:kern w:val="2"/>
          <w:sz w:val="28"/>
          <w:szCs w:val="28"/>
        </w:rPr>
        <w:t>我单位虽然制定了一系列内控制度，对制度的执行力不够，导致有章不循，内部控制制度未能发挥应有的作用。</w:t>
      </w:r>
    </w:p>
    <w:p>
      <w:pPr>
        <w:pStyle w:val="16"/>
        <w:widowControl/>
        <w:shd w:val="clear" w:color="auto" w:fill="FFFFFF"/>
        <w:spacing w:beforeAutospacing="0" w:afterAutospacing="0" w:line="578" w:lineRule="atLeast"/>
        <w:ind w:firstLine="560"/>
        <w:jc w:val="both"/>
        <w:rPr>
          <w:rFonts w:ascii="Times New Roman" w:hAnsi="Times New Roman"/>
          <w:kern w:val="2"/>
          <w:sz w:val="28"/>
          <w:szCs w:val="28"/>
        </w:rPr>
      </w:pPr>
      <w:r>
        <w:rPr>
          <w:rFonts w:hint="eastAsia" w:ascii="Times New Roman" w:hAnsi="Times New Roman"/>
          <w:kern w:val="2"/>
          <w:sz w:val="28"/>
          <w:szCs w:val="28"/>
        </w:rPr>
        <w:t>2.财政资金名目繁多，无法按专项资金的原则和要求进行管理。</w:t>
      </w:r>
    </w:p>
    <w:p>
      <w:pPr>
        <w:pStyle w:val="16"/>
        <w:widowControl/>
        <w:shd w:val="clear" w:color="auto" w:fill="FFFFFF"/>
        <w:spacing w:beforeAutospacing="0" w:afterAutospacing="0" w:line="578" w:lineRule="atLeast"/>
        <w:ind w:firstLine="560"/>
        <w:jc w:val="both"/>
        <w:rPr>
          <w:rFonts w:ascii="Times New Roman" w:hAnsi="Times New Roman"/>
          <w:kern w:val="2"/>
          <w:sz w:val="28"/>
          <w:szCs w:val="28"/>
        </w:rPr>
      </w:pPr>
      <w:r>
        <w:rPr>
          <w:rFonts w:hint="eastAsia" w:ascii="Times New Roman" w:hAnsi="Times New Roman"/>
          <w:kern w:val="2"/>
          <w:sz w:val="28"/>
          <w:szCs w:val="28"/>
        </w:rPr>
        <w:t>有些专项资金已经失去了专项资金的意义，已经成为上级部门的一种分配模式。从专项资金的结构项目数量上来看过于分散，体现不出专项资金总体政策目标，不符合集中财力办大事的原则，不能使有限的资金形成规模，发挥应有的作用。</w:t>
      </w:r>
    </w:p>
    <w:p>
      <w:pPr>
        <w:pStyle w:val="4"/>
        <w:spacing w:before="0" w:after="0" w:line="360" w:lineRule="auto"/>
        <w:ind w:firstLine="0" w:firstLineChars="0"/>
        <w:jc w:val="left"/>
        <w:rPr>
          <w:rFonts w:ascii="Times New Roman" w:hAnsi="Times New Roman" w:eastAsia="仿宋" w:cs="Times New Roman"/>
          <w:sz w:val="36"/>
          <w:szCs w:val="36"/>
          <w:lang w:bidi="en-US"/>
        </w:rPr>
      </w:pPr>
    </w:p>
    <w:p>
      <w:pPr>
        <w:pStyle w:val="4"/>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七、其他需要说明的问题</w:t>
      </w:r>
      <w:bookmarkEnd w:id="58"/>
      <w:bookmarkEnd w:id="59"/>
    </w:p>
    <w:p>
      <w:pPr>
        <w:spacing w:line="360" w:lineRule="auto"/>
        <w:ind w:firstLine="560"/>
        <w:rPr>
          <w:rFonts w:ascii="Times New Roman" w:hAnsi="Times New Roman" w:cs="Times New Roman"/>
          <w:szCs w:val="28"/>
        </w:rPr>
      </w:pPr>
      <w:r>
        <w:rPr>
          <w:rFonts w:ascii="Times New Roman" w:hAnsi="Times New Roman" w:cs="Times New Roman"/>
          <w:szCs w:val="28"/>
        </w:rPr>
        <w:t>1.项目支出政策和路径设计科学，符合实际需要；</w:t>
      </w:r>
    </w:p>
    <w:p>
      <w:pPr>
        <w:spacing w:line="360" w:lineRule="auto"/>
        <w:ind w:firstLine="560"/>
        <w:rPr>
          <w:rFonts w:ascii="Times New Roman" w:hAnsi="Times New Roman" w:cs="Times New Roman"/>
          <w:szCs w:val="28"/>
        </w:rPr>
      </w:pPr>
      <w:r>
        <w:rPr>
          <w:rFonts w:ascii="Times New Roman" w:hAnsi="Times New Roman" w:cs="Times New Roman"/>
          <w:szCs w:val="28"/>
        </w:rPr>
        <w:t>2.项目安排准确，未发现背离项目立项初衷的情况；</w:t>
      </w:r>
    </w:p>
    <w:p>
      <w:pPr>
        <w:spacing w:line="360" w:lineRule="auto"/>
        <w:ind w:firstLine="560"/>
        <w:rPr>
          <w:rFonts w:ascii="Times New Roman" w:hAnsi="Times New Roman" w:cs="Times New Roman"/>
          <w:szCs w:val="28"/>
        </w:rPr>
      </w:pPr>
      <w:r>
        <w:rPr>
          <w:rFonts w:ascii="Times New Roman" w:hAnsi="Times New Roman" w:cs="Times New Roman"/>
          <w:szCs w:val="28"/>
        </w:rPr>
        <w:t>3.项目的申报、审核机制完善；</w:t>
      </w:r>
    </w:p>
    <w:p>
      <w:pPr>
        <w:spacing w:line="360" w:lineRule="auto"/>
        <w:ind w:firstLine="560"/>
        <w:rPr>
          <w:rFonts w:ascii="Times New Roman" w:hAnsi="Times New Roman" w:cs="Times New Roman"/>
          <w:szCs w:val="28"/>
        </w:rPr>
      </w:pPr>
      <w:r>
        <w:rPr>
          <w:rFonts w:ascii="Times New Roman" w:hAnsi="Times New Roman" w:cs="Times New Roman"/>
          <w:szCs w:val="28"/>
        </w:rPr>
        <w:t>4.未发现虚假行为和骗取财政资金的问题。</w:t>
      </w:r>
    </w:p>
    <w:p>
      <w:pPr>
        <w:pStyle w:val="4"/>
        <w:ind w:firstLine="0" w:firstLineChars="0"/>
        <w:jc w:val="left"/>
        <w:rPr>
          <w:rFonts w:ascii="Times New Roman" w:hAnsi="Times New Roman" w:eastAsia="仿宋" w:cs="Times New Roman"/>
          <w:sz w:val="36"/>
          <w:szCs w:val="36"/>
          <w:lang w:bidi="en-US"/>
        </w:rPr>
      </w:pPr>
      <w:bookmarkStart w:id="60" w:name="_Toc100784620"/>
      <w:bookmarkStart w:id="61" w:name="_Toc67911620"/>
      <w:r>
        <w:rPr>
          <w:rFonts w:ascii="Times New Roman" w:hAnsi="Times New Roman" w:eastAsia="仿宋" w:cs="Times New Roman"/>
          <w:sz w:val="36"/>
          <w:szCs w:val="36"/>
          <w:lang w:bidi="en-US"/>
        </w:rPr>
        <w:t>八、有关建议</w:t>
      </w:r>
      <w:bookmarkEnd w:id="60"/>
      <w:bookmarkEnd w:id="61"/>
    </w:p>
    <w:p>
      <w:pPr>
        <w:spacing w:line="360" w:lineRule="auto"/>
        <w:ind w:firstLine="560"/>
        <w:rPr>
          <w:rFonts w:ascii="Times New Roman" w:hAnsi="Times New Roman" w:cs="Times New Roman"/>
          <w:szCs w:val="28"/>
        </w:rPr>
      </w:pPr>
      <w:r>
        <w:rPr>
          <w:rFonts w:hint="eastAsia" w:ascii="仿宋_GB2312"/>
          <w:szCs w:val="28"/>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spacing w:line="360" w:lineRule="auto"/>
        <w:ind w:firstLine="560"/>
        <w:rPr>
          <w:rFonts w:ascii="Times New Roman" w:hAnsi="Times New Roman" w:cs="Times New Roman"/>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276182009"/>
    </w:sdtPr>
    <w:sdtEndPr>
      <w:rPr>
        <w:rFonts w:hint="eastAsia" w:ascii="仿宋_GB2312" w:hAnsi="Times New Roman" w:eastAsia="仿宋_GB2312" w:cs="Times New Roman"/>
        <w:sz w:val="21"/>
        <w:szCs w:val="21"/>
      </w:rPr>
    </w:sdtEndPr>
    <w:sdtContent>
      <w:p>
        <w:pPr>
          <w:pStyle w:val="11"/>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9</w:t>
        </w:r>
        <w:r>
          <w:rPr>
            <w:rFonts w:ascii="Times New Roman" w:hAnsi="Times New Roman" w:eastAsia="仿宋_GB2312" w:cs="Times New Roman"/>
            <w:sz w:val="21"/>
            <w:szCs w:val="21"/>
          </w:rPr>
          <w:fldChar w:fldCharType="end"/>
        </w:r>
      </w:p>
    </w:sdtContent>
  </w:sdt>
  <w:p>
    <w:pPr>
      <w:pStyle w:val="11"/>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10</w:t>
    </w:r>
    <w:r>
      <w:rPr>
        <w:rFonts w:ascii="Times New Roman" w:hAnsi="Times New Roman" w:eastAsia="仿宋_GB2312" w:cs="Times New Roman"/>
        <w:sz w:val="21"/>
        <w:szCs w:val="21"/>
      </w:rPr>
      <w:fldChar w:fldCharType="end"/>
    </w:r>
  </w:p>
  <w:p>
    <w:pPr>
      <w:pStyle w:val="11"/>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4"/>
        <w:ind w:firstLine="0" w:firstLineChars="0"/>
        <w:jc w:val="both"/>
        <w:rPr>
          <w:rFonts w:ascii="仿宋_GB2312"/>
        </w:rPr>
      </w:pPr>
      <w:r>
        <w:rPr>
          <w:rStyle w:val="23"/>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4"/>
        <w:ind w:firstLine="0" w:firstLineChars="0"/>
        <w:jc w:val="both"/>
        <w:rPr>
          <w:rFonts w:ascii="仿宋_GB2312"/>
        </w:rPr>
      </w:pPr>
      <w:r>
        <w:rPr>
          <w:rStyle w:val="23"/>
          <w:rFonts w:hint="eastAsia" w:ascii="仿宋_GB2312"/>
        </w:rPr>
        <w:footnoteRef/>
      </w:r>
      <w:r>
        <w:rPr>
          <w:rFonts w:ascii="仿宋_GB2312"/>
        </w:rPr>
        <w:t xml:space="preserve"> </w:t>
      </w:r>
      <w:r>
        <w:rPr>
          <w:rFonts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00A43A0A"/>
    <w:rsid w:val="00031A7F"/>
    <w:rsid w:val="00042151"/>
    <w:rsid w:val="000438A0"/>
    <w:rsid w:val="00046B49"/>
    <w:rsid w:val="00067752"/>
    <w:rsid w:val="0007002C"/>
    <w:rsid w:val="00071C0F"/>
    <w:rsid w:val="00072543"/>
    <w:rsid w:val="00086724"/>
    <w:rsid w:val="000A2B58"/>
    <w:rsid w:val="000A43E8"/>
    <w:rsid w:val="000B520E"/>
    <w:rsid w:val="000B6FA0"/>
    <w:rsid w:val="000C720A"/>
    <w:rsid w:val="000C77D3"/>
    <w:rsid w:val="000E1EB5"/>
    <w:rsid w:val="000E4CAA"/>
    <w:rsid w:val="000F5DE3"/>
    <w:rsid w:val="00111969"/>
    <w:rsid w:val="00131765"/>
    <w:rsid w:val="001421AA"/>
    <w:rsid w:val="00147D9F"/>
    <w:rsid w:val="001544E6"/>
    <w:rsid w:val="001645EB"/>
    <w:rsid w:val="00187B13"/>
    <w:rsid w:val="001A3189"/>
    <w:rsid w:val="001A79B9"/>
    <w:rsid w:val="001B3D0D"/>
    <w:rsid w:val="001B7E46"/>
    <w:rsid w:val="001C48F8"/>
    <w:rsid w:val="001C50BA"/>
    <w:rsid w:val="001D3DAC"/>
    <w:rsid w:val="001D66B5"/>
    <w:rsid w:val="001E754D"/>
    <w:rsid w:val="001E7E9F"/>
    <w:rsid w:val="00201C55"/>
    <w:rsid w:val="00213964"/>
    <w:rsid w:val="00213B17"/>
    <w:rsid w:val="00220DC6"/>
    <w:rsid w:val="0022245F"/>
    <w:rsid w:val="0022294C"/>
    <w:rsid w:val="00225A82"/>
    <w:rsid w:val="00247354"/>
    <w:rsid w:val="00250131"/>
    <w:rsid w:val="00261F2F"/>
    <w:rsid w:val="00262B75"/>
    <w:rsid w:val="002810AA"/>
    <w:rsid w:val="002B4287"/>
    <w:rsid w:val="002B7C09"/>
    <w:rsid w:val="002E1E67"/>
    <w:rsid w:val="002E608B"/>
    <w:rsid w:val="00302E15"/>
    <w:rsid w:val="0032183D"/>
    <w:rsid w:val="0032329D"/>
    <w:rsid w:val="00332C71"/>
    <w:rsid w:val="00333EA5"/>
    <w:rsid w:val="00336351"/>
    <w:rsid w:val="00340CED"/>
    <w:rsid w:val="00343485"/>
    <w:rsid w:val="00350839"/>
    <w:rsid w:val="00367424"/>
    <w:rsid w:val="00373C7E"/>
    <w:rsid w:val="003766AB"/>
    <w:rsid w:val="00377BA7"/>
    <w:rsid w:val="003C24DB"/>
    <w:rsid w:val="003C26FD"/>
    <w:rsid w:val="003C4BD9"/>
    <w:rsid w:val="003D74DE"/>
    <w:rsid w:val="00404C10"/>
    <w:rsid w:val="004249EE"/>
    <w:rsid w:val="00425C1F"/>
    <w:rsid w:val="00437C39"/>
    <w:rsid w:val="00466038"/>
    <w:rsid w:val="004925F6"/>
    <w:rsid w:val="004957B3"/>
    <w:rsid w:val="004B12BE"/>
    <w:rsid w:val="004B5A40"/>
    <w:rsid w:val="004D4759"/>
    <w:rsid w:val="004E0DF3"/>
    <w:rsid w:val="004F17C9"/>
    <w:rsid w:val="004F66E9"/>
    <w:rsid w:val="00510289"/>
    <w:rsid w:val="005345BF"/>
    <w:rsid w:val="00534DD6"/>
    <w:rsid w:val="00541376"/>
    <w:rsid w:val="005417D4"/>
    <w:rsid w:val="0054442E"/>
    <w:rsid w:val="00553F30"/>
    <w:rsid w:val="00563798"/>
    <w:rsid w:val="00566083"/>
    <w:rsid w:val="0056794C"/>
    <w:rsid w:val="005764CD"/>
    <w:rsid w:val="005779FD"/>
    <w:rsid w:val="0058379D"/>
    <w:rsid w:val="00592653"/>
    <w:rsid w:val="00593474"/>
    <w:rsid w:val="005A12D0"/>
    <w:rsid w:val="005A2254"/>
    <w:rsid w:val="005A2B63"/>
    <w:rsid w:val="005A5ABF"/>
    <w:rsid w:val="005A5E3B"/>
    <w:rsid w:val="005B2243"/>
    <w:rsid w:val="005B7A28"/>
    <w:rsid w:val="005D2F48"/>
    <w:rsid w:val="005D4D5B"/>
    <w:rsid w:val="005E2098"/>
    <w:rsid w:val="005F226E"/>
    <w:rsid w:val="005F273F"/>
    <w:rsid w:val="005F3A17"/>
    <w:rsid w:val="00604BA5"/>
    <w:rsid w:val="00607D5B"/>
    <w:rsid w:val="00611B95"/>
    <w:rsid w:val="00614CEC"/>
    <w:rsid w:val="00627F97"/>
    <w:rsid w:val="0065079B"/>
    <w:rsid w:val="00653464"/>
    <w:rsid w:val="00656DB7"/>
    <w:rsid w:val="00662C67"/>
    <w:rsid w:val="006B60FE"/>
    <w:rsid w:val="006C40AE"/>
    <w:rsid w:val="006E6431"/>
    <w:rsid w:val="006F0F34"/>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232CD"/>
    <w:rsid w:val="00831695"/>
    <w:rsid w:val="008327EB"/>
    <w:rsid w:val="00835535"/>
    <w:rsid w:val="0084760F"/>
    <w:rsid w:val="00863F65"/>
    <w:rsid w:val="00866FB0"/>
    <w:rsid w:val="00884C5F"/>
    <w:rsid w:val="00894E2C"/>
    <w:rsid w:val="008A0A56"/>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C10A7"/>
    <w:rsid w:val="009D4C5C"/>
    <w:rsid w:val="009F55B0"/>
    <w:rsid w:val="009F57A1"/>
    <w:rsid w:val="00A00443"/>
    <w:rsid w:val="00A106CE"/>
    <w:rsid w:val="00A2064E"/>
    <w:rsid w:val="00A22963"/>
    <w:rsid w:val="00A425B1"/>
    <w:rsid w:val="00A43A0A"/>
    <w:rsid w:val="00A52E6C"/>
    <w:rsid w:val="00A52E72"/>
    <w:rsid w:val="00A92F9F"/>
    <w:rsid w:val="00AD5430"/>
    <w:rsid w:val="00AE1DCD"/>
    <w:rsid w:val="00AE6C31"/>
    <w:rsid w:val="00B22F6F"/>
    <w:rsid w:val="00B275BF"/>
    <w:rsid w:val="00B27D0B"/>
    <w:rsid w:val="00B4167E"/>
    <w:rsid w:val="00B72218"/>
    <w:rsid w:val="00B90BA4"/>
    <w:rsid w:val="00B91704"/>
    <w:rsid w:val="00B962E0"/>
    <w:rsid w:val="00BA0A35"/>
    <w:rsid w:val="00BA10B1"/>
    <w:rsid w:val="00BA13B7"/>
    <w:rsid w:val="00BA65B8"/>
    <w:rsid w:val="00BA76B5"/>
    <w:rsid w:val="00BC5C63"/>
    <w:rsid w:val="00BD5966"/>
    <w:rsid w:val="00BF1766"/>
    <w:rsid w:val="00C00DA2"/>
    <w:rsid w:val="00C10C79"/>
    <w:rsid w:val="00C20C51"/>
    <w:rsid w:val="00C409B9"/>
    <w:rsid w:val="00C53FA3"/>
    <w:rsid w:val="00C634EC"/>
    <w:rsid w:val="00C66545"/>
    <w:rsid w:val="00C73BA7"/>
    <w:rsid w:val="00C8191C"/>
    <w:rsid w:val="00C81BA7"/>
    <w:rsid w:val="00C927D9"/>
    <w:rsid w:val="00CA74C5"/>
    <w:rsid w:val="00CB3DFC"/>
    <w:rsid w:val="00CB6D38"/>
    <w:rsid w:val="00CC7730"/>
    <w:rsid w:val="00CE5855"/>
    <w:rsid w:val="00CE6337"/>
    <w:rsid w:val="00CF640C"/>
    <w:rsid w:val="00D026FC"/>
    <w:rsid w:val="00D04E2D"/>
    <w:rsid w:val="00D152B1"/>
    <w:rsid w:val="00D23DCB"/>
    <w:rsid w:val="00D3320C"/>
    <w:rsid w:val="00D4562E"/>
    <w:rsid w:val="00D82A2F"/>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2F6"/>
    <w:rsid w:val="00E75E83"/>
    <w:rsid w:val="00E819A8"/>
    <w:rsid w:val="00EA63EF"/>
    <w:rsid w:val="00EA7E72"/>
    <w:rsid w:val="00EB0442"/>
    <w:rsid w:val="00EC5F03"/>
    <w:rsid w:val="00EF3B51"/>
    <w:rsid w:val="00F06D23"/>
    <w:rsid w:val="00F36E98"/>
    <w:rsid w:val="00F52C6D"/>
    <w:rsid w:val="00F55451"/>
    <w:rsid w:val="00F73710"/>
    <w:rsid w:val="00F872E7"/>
    <w:rsid w:val="00FA4373"/>
    <w:rsid w:val="00FA4E7F"/>
    <w:rsid w:val="00FB09C6"/>
    <w:rsid w:val="00FB2BBD"/>
    <w:rsid w:val="00FD7A36"/>
    <w:rsid w:val="00FD7C5F"/>
    <w:rsid w:val="00FE193C"/>
    <w:rsid w:val="00FE7DCA"/>
    <w:rsid w:val="00FF0452"/>
    <w:rsid w:val="01C11426"/>
    <w:rsid w:val="0C743400"/>
    <w:rsid w:val="0D7B4A6B"/>
    <w:rsid w:val="128679E9"/>
    <w:rsid w:val="159C398E"/>
    <w:rsid w:val="22CD49B7"/>
    <w:rsid w:val="27693709"/>
    <w:rsid w:val="292C49EE"/>
    <w:rsid w:val="296F6FD1"/>
    <w:rsid w:val="2CE85116"/>
    <w:rsid w:val="2CF0667B"/>
    <w:rsid w:val="30AA38AC"/>
    <w:rsid w:val="32B819E9"/>
    <w:rsid w:val="36D30B9F"/>
    <w:rsid w:val="3A4A63B1"/>
    <w:rsid w:val="4A011CF7"/>
    <w:rsid w:val="4A2E20EB"/>
    <w:rsid w:val="4C393D9A"/>
    <w:rsid w:val="51A1632C"/>
    <w:rsid w:val="54522687"/>
    <w:rsid w:val="55BF25B3"/>
    <w:rsid w:val="572825E0"/>
    <w:rsid w:val="5BBB3658"/>
    <w:rsid w:val="5E8532DD"/>
    <w:rsid w:val="5EE329F1"/>
    <w:rsid w:val="62D13935"/>
    <w:rsid w:val="656A07B8"/>
    <w:rsid w:val="692D1AE1"/>
    <w:rsid w:val="6A5A3AE2"/>
    <w:rsid w:val="71A155A9"/>
    <w:rsid w:val="73680E97"/>
    <w:rsid w:val="749461A0"/>
    <w:rsid w:val="75F6508D"/>
    <w:rsid w:val="7C75633B"/>
    <w:rsid w:val="7DD52D6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4">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3"/>
    <w:basedOn w:val="1"/>
    <w:next w:val="1"/>
    <w:link w:val="36"/>
    <w:unhideWhenUsed/>
    <w:qFormat/>
    <w:uiPriority w:val="9"/>
    <w:pPr>
      <w:keepNext/>
      <w:keepLines/>
      <w:spacing w:before="260" w:after="260" w:line="416" w:lineRule="auto"/>
      <w:outlineLvl w:val="2"/>
    </w:pPr>
    <w:rPr>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spacing w:before="100" w:beforeAutospacing="1"/>
      <w:ind w:firstLine="420"/>
    </w:pPr>
    <w:rPr>
      <w:rFonts w:ascii="Times New Roman" w:hAnsi="Times New Roman"/>
    </w:rPr>
  </w:style>
  <w:style w:type="paragraph" w:styleId="3">
    <w:name w:val="Body Text Indent"/>
    <w:basedOn w:val="1"/>
    <w:qFormat/>
    <w:uiPriority w:val="0"/>
    <w:pPr>
      <w:ind w:firstLine="560"/>
    </w:pPr>
    <w:rPr>
      <w:rFonts w:ascii="宋体"/>
      <w:szCs w:val="20"/>
    </w:rPr>
  </w:style>
  <w:style w:type="paragraph" w:styleId="7">
    <w:name w:val="annotation text"/>
    <w:basedOn w:val="1"/>
    <w:link w:val="33"/>
    <w:unhideWhenUsed/>
    <w:qFormat/>
    <w:uiPriority w:val="99"/>
    <w:pPr>
      <w:jc w:val="left"/>
    </w:pPr>
  </w:style>
  <w:style w:type="paragraph" w:styleId="8">
    <w:name w:val="toc 3"/>
    <w:basedOn w:val="1"/>
    <w:next w:val="1"/>
    <w:unhideWhenUsed/>
    <w:qFormat/>
    <w:uiPriority w:val="39"/>
    <w:pPr>
      <w:ind w:left="840" w:leftChars="400"/>
    </w:pPr>
  </w:style>
  <w:style w:type="paragraph" w:styleId="9">
    <w:name w:val="Date"/>
    <w:basedOn w:val="1"/>
    <w:next w:val="1"/>
    <w:link w:val="26"/>
    <w:semiHidden/>
    <w:unhideWhenUsed/>
    <w:qFormat/>
    <w:uiPriority w:val="99"/>
    <w:pPr>
      <w:ind w:left="100" w:leftChars="2500"/>
    </w:pPr>
  </w:style>
  <w:style w:type="paragraph" w:styleId="10">
    <w:name w:val="Balloon Text"/>
    <w:basedOn w:val="1"/>
    <w:link w:val="35"/>
    <w:semiHidden/>
    <w:unhideWhenUsed/>
    <w:qFormat/>
    <w:uiPriority w:val="99"/>
    <w:rPr>
      <w:sz w:val="18"/>
      <w:szCs w:val="18"/>
    </w:rPr>
  </w:style>
  <w:style w:type="paragraph" w:styleId="11">
    <w:name w:val="footer"/>
    <w:basedOn w:val="1"/>
    <w:link w:val="25"/>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2">
    <w:name w:val="header"/>
    <w:basedOn w:val="1"/>
    <w:link w:val="24"/>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3">
    <w:name w:val="toc 1"/>
    <w:basedOn w:val="1"/>
    <w:next w:val="1"/>
    <w:unhideWhenUsed/>
    <w:qFormat/>
    <w:uiPriority w:val="39"/>
  </w:style>
  <w:style w:type="paragraph" w:styleId="14">
    <w:name w:val="footnote text"/>
    <w:basedOn w:val="1"/>
    <w:link w:val="28"/>
    <w:semiHidden/>
    <w:unhideWhenUsed/>
    <w:qFormat/>
    <w:uiPriority w:val="99"/>
    <w:pPr>
      <w:snapToGrid w:val="0"/>
      <w:jc w:val="left"/>
    </w:pPr>
    <w:rPr>
      <w:sz w:val="18"/>
      <w:szCs w:val="18"/>
    </w:rPr>
  </w:style>
  <w:style w:type="paragraph" w:styleId="15">
    <w:name w:val="toc 2"/>
    <w:basedOn w:val="1"/>
    <w:next w:val="1"/>
    <w:unhideWhenUsed/>
    <w:qFormat/>
    <w:uiPriority w:val="39"/>
    <w:pPr>
      <w:ind w:left="420" w:leftChars="200"/>
    </w:pPr>
  </w:style>
  <w:style w:type="paragraph" w:styleId="16">
    <w:name w:val="Normal (Web)"/>
    <w:basedOn w:val="1"/>
    <w:semiHidden/>
    <w:unhideWhenUsed/>
    <w:qFormat/>
    <w:uiPriority w:val="99"/>
    <w:pPr>
      <w:spacing w:beforeAutospacing="1" w:afterAutospacing="1"/>
      <w:jc w:val="left"/>
    </w:pPr>
    <w:rPr>
      <w:rFonts w:cs="Times New Roman"/>
      <w:kern w:val="0"/>
      <w:sz w:val="24"/>
    </w:rPr>
  </w:style>
  <w:style w:type="paragraph" w:styleId="17">
    <w:name w:val="annotation subject"/>
    <w:basedOn w:val="7"/>
    <w:next w:val="7"/>
    <w:link w:val="34"/>
    <w:semiHidden/>
    <w:unhideWhenUsed/>
    <w:qFormat/>
    <w:uiPriority w:val="99"/>
    <w:rPr>
      <w:b/>
      <w:bCs/>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Hyperlink"/>
    <w:basedOn w:val="20"/>
    <w:unhideWhenUsed/>
    <w:qFormat/>
    <w:uiPriority w:val="99"/>
    <w:rPr>
      <w:color w:val="0563C1" w:themeColor="hyperlink"/>
      <w:u w:val="single"/>
      <w14:textFill>
        <w14:solidFill>
          <w14:schemeClr w14:val="hlink"/>
        </w14:solidFill>
      </w14:textFill>
    </w:rPr>
  </w:style>
  <w:style w:type="character" w:styleId="22">
    <w:name w:val="annotation reference"/>
    <w:basedOn w:val="20"/>
    <w:semiHidden/>
    <w:unhideWhenUsed/>
    <w:qFormat/>
    <w:uiPriority w:val="99"/>
    <w:rPr>
      <w:sz w:val="21"/>
      <w:szCs w:val="21"/>
    </w:rPr>
  </w:style>
  <w:style w:type="character" w:styleId="23">
    <w:name w:val="footnote reference"/>
    <w:basedOn w:val="20"/>
    <w:semiHidden/>
    <w:unhideWhenUsed/>
    <w:qFormat/>
    <w:uiPriority w:val="99"/>
    <w:rPr>
      <w:vertAlign w:val="superscript"/>
    </w:rPr>
  </w:style>
  <w:style w:type="character" w:customStyle="1" w:styleId="24">
    <w:name w:val="页眉 Char"/>
    <w:basedOn w:val="20"/>
    <w:link w:val="12"/>
    <w:qFormat/>
    <w:uiPriority w:val="99"/>
    <w:rPr>
      <w:sz w:val="18"/>
      <w:szCs w:val="18"/>
    </w:rPr>
  </w:style>
  <w:style w:type="character" w:customStyle="1" w:styleId="25">
    <w:name w:val="页脚 Char"/>
    <w:basedOn w:val="20"/>
    <w:link w:val="11"/>
    <w:qFormat/>
    <w:uiPriority w:val="99"/>
    <w:rPr>
      <w:sz w:val="18"/>
      <w:szCs w:val="18"/>
    </w:rPr>
  </w:style>
  <w:style w:type="character" w:customStyle="1" w:styleId="26">
    <w:name w:val="日期 Char"/>
    <w:basedOn w:val="20"/>
    <w:link w:val="9"/>
    <w:semiHidden/>
    <w:qFormat/>
    <w:uiPriority w:val="99"/>
    <w:rPr>
      <w:rFonts w:ascii="Calibri" w:hAnsi="Calibri" w:eastAsia="仿宋_GB2312" w:cs="黑体"/>
      <w:sz w:val="28"/>
    </w:rPr>
  </w:style>
  <w:style w:type="character" w:customStyle="1" w:styleId="27">
    <w:name w:val="标题 2 Char"/>
    <w:basedOn w:val="20"/>
    <w:link w:val="5"/>
    <w:qFormat/>
    <w:uiPriority w:val="9"/>
    <w:rPr>
      <w:rFonts w:asciiTheme="majorHAnsi" w:hAnsiTheme="majorHAnsi" w:eastAsiaTheme="majorEastAsia" w:cstheme="majorBidi"/>
      <w:b/>
      <w:bCs/>
      <w:sz w:val="32"/>
      <w:szCs w:val="32"/>
    </w:rPr>
  </w:style>
  <w:style w:type="character" w:customStyle="1" w:styleId="28">
    <w:name w:val="脚注文本 Char"/>
    <w:basedOn w:val="20"/>
    <w:link w:val="14"/>
    <w:semiHidden/>
    <w:qFormat/>
    <w:uiPriority w:val="99"/>
    <w:rPr>
      <w:rFonts w:ascii="Calibri" w:hAnsi="Calibri" w:eastAsia="仿宋_GB2312" w:cs="黑体"/>
      <w:sz w:val="18"/>
      <w:szCs w:val="18"/>
    </w:rPr>
  </w:style>
  <w:style w:type="paragraph" w:styleId="29">
    <w:name w:val="List Paragraph"/>
    <w:basedOn w:val="1"/>
    <w:qFormat/>
    <w:uiPriority w:val="34"/>
    <w:pPr>
      <w:ind w:firstLine="420"/>
    </w:pPr>
  </w:style>
  <w:style w:type="table" w:customStyle="1" w:styleId="30">
    <w:name w:val="网格型1"/>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1">
    <w:name w:val="标题 1 Char"/>
    <w:basedOn w:val="20"/>
    <w:link w:val="4"/>
    <w:qFormat/>
    <w:uiPriority w:val="9"/>
    <w:rPr>
      <w:rFonts w:ascii="Calibri" w:hAnsi="Calibri" w:eastAsia="仿宋_GB2312" w:cs="黑体"/>
      <w:b/>
      <w:bCs/>
      <w:kern w:val="44"/>
      <w:sz w:val="44"/>
      <w:szCs w:val="44"/>
    </w:rPr>
  </w:style>
  <w:style w:type="paragraph" w:customStyle="1" w:styleId="32">
    <w:name w:val="TOC 标题1"/>
    <w:basedOn w:val="4"/>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3">
    <w:name w:val="批注文字 Char"/>
    <w:basedOn w:val="20"/>
    <w:link w:val="7"/>
    <w:qFormat/>
    <w:uiPriority w:val="99"/>
    <w:rPr>
      <w:rFonts w:ascii="Calibri" w:hAnsi="Calibri" w:eastAsia="仿宋_GB2312" w:cs="黑体"/>
      <w:sz w:val="28"/>
    </w:rPr>
  </w:style>
  <w:style w:type="character" w:customStyle="1" w:styleId="34">
    <w:name w:val="批注主题 Char"/>
    <w:basedOn w:val="33"/>
    <w:link w:val="17"/>
    <w:semiHidden/>
    <w:qFormat/>
    <w:uiPriority w:val="99"/>
    <w:rPr>
      <w:rFonts w:ascii="Calibri" w:hAnsi="Calibri" w:eastAsia="仿宋_GB2312" w:cs="黑体"/>
      <w:b/>
      <w:bCs/>
      <w:sz w:val="28"/>
    </w:rPr>
  </w:style>
  <w:style w:type="character" w:customStyle="1" w:styleId="35">
    <w:name w:val="批注框文本 Char"/>
    <w:basedOn w:val="20"/>
    <w:link w:val="10"/>
    <w:semiHidden/>
    <w:qFormat/>
    <w:uiPriority w:val="99"/>
    <w:rPr>
      <w:rFonts w:ascii="Calibri" w:hAnsi="Calibri" w:eastAsia="仿宋_GB2312" w:cs="黑体"/>
      <w:sz w:val="18"/>
      <w:szCs w:val="18"/>
    </w:rPr>
  </w:style>
  <w:style w:type="character" w:customStyle="1" w:styleId="36">
    <w:name w:val="标题 3 Char"/>
    <w:basedOn w:val="20"/>
    <w:link w:val="6"/>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24</Pages>
  <Words>9696</Words>
  <Characters>10269</Characters>
  <Lines>94</Lines>
  <Paragraphs>26</Paragraphs>
  <TotalTime>24</TotalTime>
  <ScaleCrop>false</ScaleCrop>
  <LinksUpToDate>false</LinksUpToDate>
  <CharactersWithSpaces>10401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逐内（鬼子）</cp:lastModifiedBy>
  <cp:lastPrinted>2023-04-11T02:57:00Z</cp:lastPrinted>
  <dcterms:modified xsi:type="dcterms:W3CDTF">2023-05-08T08:39:48Z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E56CF3E771394B94BD4AF80EEF785876_13</vt:lpwstr>
  </property>
</Properties>
</file>