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w:t>
      </w:r>
      <w:bookmarkStart w:id="62" w:name="_GoBack"/>
      <w:bookmarkEnd w:id="62"/>
      <w:r>
        <w:rPr>
          <w:rFonts w:hint="default" w:ascii="Times New Roman" w:hAnsi="Times New Roman" w:cs="Times New Roman"/>
          <w:b/>
          <w:sz w:val="44"/>
          <w:szCs w:val="44"/>
          <w:highlight w:val="none"/>
        </w:rPr>
        <w:t>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 xml:space="preserve">项目名称：城乡义务教育项目直达资金校舍安全保障机制经费 </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val="en-US" w:eastAsia="zh-CN" w:bidi="en-US"/>
        </w:rPr>
        <w:t>乌鲁木齐县永合小学</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p>
      <w:pPr>
        <w:pStyle w:val="30"/>
        <w:ind w:firstLine="560"/>
        <w:jc w:val="center"/>
        <w:rPr>
          <w:rFonts w:hint="default" w:ascii="Times New Roman" w:hAnsi="Times New Roman" w:cs="Times New Roman"/>
          <w:highlight w:val="none"/>
        </w:rPr>
      </w:pPr>
      <w:r>
        <w:rPr>
          <w:rFonts w:hint="default" w:ascii="Times New Roman" w:hAnsi="Times New Roman" w:cs="Times New Roman"/>
          <w:highlight w:val="none"/>
          <w:lang w:val="zh-CN"/>
        </w:rPr>
        <w:t>目录</w:t>
      </w:r>
    </w:p>
    <w:p>
      <w:pPr>
        <w:pStyle w:val="11"/>
        <w:tabs>
          <w:tab w:val="right" w:leader="dot" w:pos="8296"/>
        </w:tabs>
        <w:ind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eastAsia="等线" w:cs="Times New Roman"/>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p>
      <w:pPr>
        <w:ind w:firstLine="598" w:firstLineChars="187"/>
        <w:rPr>
          <w:rFonts w:hint="default" w:ascii="Times New Roman" w:hAnsi="Times New Roman" w:cs="Times New Roman"/>
          <w:sz w:val="32"/>
          <w:szCs w:val="32"/>
          <w:highlight w:val="none"/>
          <w:lang w:bidi="en-US"/>
        </w:rPr>
        <w:sectPr>
          <w:headerReference r:id="rId7"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100784583"/>
      <w:bookmarkStart w:id="1" w:name="_Toc67911601"/>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cs="Times New Roman"/>
          <w:highlight w:val="none"/>
          <w:lang w:eastAsia="zh-CN"/>
        </w:rPr>
      </w:pPr>
      <w:r>
        <w:rPr>
          <w:rFonts w:hint="default" w:ascii="Times New Roman" w:hAnsi="Times New Roman" w:cs="Times New Roman"/>
          <w:highlight w:val="none"/>
        </w:rPr>
        <w:t>根据乌财科教【2021】96号关于提前下达2022年城乡义务教育项目直达资金校舍安全保障机制经费文件，</w:t>
      </w:r>
      <w:r>
        <w:rPr>
          <w:rFonts w:hint="eastAsia" w:ascii="Times New Roman" w:hAnsi="Times New Roman" w:cs="Times New Roman"/>
          <w:highlight w:val="none"/>
          <w:lang w:val="en-US" w:eastAsia="zh-CN"/>
        </w:rPr>
        <w:t>下达</w:t>
      </w:r>
      <w:r>
        <w:rPr>
          <w:rFonts w:hint="default" w:ascii="Times New Roman" w:hAnsi="Times New Roman" w:cs="Times New Roman"/>
          <w:highlight w:val="none"/>
        </w:rPr>
        <w:t>城乡义务教育项目直达资金校舍安全保障机制经费项目</w:t>
      </w:r>
      <w:r>
        <w:rPr>
          <w:rFonts w:hint="eastAsia" w:ascii="Times New Roman" w:hAnsi="Times New Roman" w:cs="Times New Roman"/>
          <w:highlight w:val="none"/>
          <w:lang w:eastAsia="zh-CN"/>
        </w:rPr>
        <w:t>。</w:t>
      </w:r>
    </w:p>
    <w:p>
      <w:pPr>
        <w:spacing w:line="360" w:lineRule="auto"/>
        <w:ind w:firstLine="560"/>
        <w:rPr>
          <w:rFonts w:hint="default" w:ascii="Times New Roman" w:hAnsi="Times New Roman" w:cs="Times New Roman"/>
          <w:highlight w:val="none"/>
        </w:rPr>
      </w:pPr>
      <w:r>
        <w:rPr>
          <w:rFonts w:hint="eastAsia" w:ascii="Times New Roman" w:hAnsi="Times New Roman" w:cs="Times New Roman"/>
          <w:highlight w:val="none"/>
          <w:lang w:val="en-US" w:eastAsia="zh-CN"/>
        </w:rPr>
        <w:t>该项目主要是建立一个消防水池，</w:t>
      </w:r>
      <w:r>
        <w:rPr>
          <w:rFonts w:hint="eastAsia" w:ascii="Times New Roman" w:hAnsi="Times New Roman" w:cs="Times New Roman"/>
          <w:highlight w:val="none"/>
          <w:lang w:eastAsia="zh-CN"/>
        </w:rPr>
        <w:t>消防工作重点主要以预防为主，防消结合。只有事前做好准备工作，遇事才能不乱，正所谓“临阵不乱，灾难减半”。在逃生问题上，首先，要头脑冷静，保持镇定，忙而不乱，急而不慌。水火无情。我们要牢记消防安全高于一切！强化学校安全、构建和谐校园为重点，不断推进教育创新，使教育事业得到持续、稳定、健康发展。通过及时更新、更换办公设备，改善了工作环境，提高了工作效率，使教育教学工作更加快捷、便利，提高了学校办公办学整体水平。</w:t>
      </w:r>
      <w:r>
        <w:rPr>
          <w:rFonts w:hint="eastAsia" w:ascii="Times New Roman" w:hAnsi="Times New Roman" w:cs="Times New Roman"/>
          <w:highlight w:val="none"/>
          <w:lang w:val="en-US" w:eastAsia="zh-CN"/>
        </w:rPr>
        <w:t>计划于2022年暑假开始施工，因疫情原因，工程仍未竣工，工程进度已达80%</w:t>
      </w:r>
      <w:r>
        <w:rPr>
          <w:rFonts w:hint="default" w:ascii="Times New Roman" w:hAnsi="Times New Roman" w:cs="Times New Roman"/>
          <w:highlight w:val="none"/>
        </w:rPr>
        <w:t>。</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经财科教【2021】96号关于提前下达2022年城乡义务教育项目直达资金校舍安全保障机制经费文件批准，项目系2022年中央资金，共安排预算</w:t>
      </w:r>
      <w:r>
        <w:rPr>
          <w:rFonts w:hint="eastAsia" w:ascii="Times New Roman" w:hAnsi="Times New Roman" w:cs="Times New Roman"/>
          <w:highlight w:val="none"/>
          <w:lang w:val="en-US" w:eastAsia="zh-CN"/>
        </w:rPr>
        <w:t>400</w:t>
      </w:r>
      <w:r>
        <w:rPr>
          <w:rFonts w:hint="default" w:ascii="Times New Roman" w:hAnsi="Times New Roman" w:cs="Times New Roman"/>
          <w:highlight w:val="none"/>
        </w:rPr>
        <w:t>万元，于2022年年中追加部分预算批复项目，资金</w:t>
      </w:r>
      <w:r>
        <w:rPr>
          <w:rFonts w:hint="eastAsia" w:ascii="Times New Roman" w:hAnsi="Times New Roman" w:cs="Times New Roman"/>
          <w:highlight w:val="none"/>
          <w:lang w:val="en-US" w:eastAsia="zh-CN"/>
        </w:rPr>
        <w:t>及时到位，因疫情原因，项目没有完工，工程进度已达80%，已</w:t>
      </w:r>
      <w:r>
        <w:rPr>
          <w:rFonts w:hint="default" w:ascii="Times New Roman" w:hAnsi="Times New Roman" w:cs="Times New Roman"/>
          <w:highlight w:val="none"/>
        </w:rPr>
        <w:t>支付</w:t>
      </w:r>
      <w:r>
        <w:rPr>
          <w:rFonts w:hint="eastAsia" w:ascii="Times New Roman" w:hAnsi="Times New Roman" w:cs="Times New Roman"/>
          <w:highlight w:val="none"/>
          <w:lang w:val="en-US" w:eastAsia="zh-CN"/>
        </w:rPr>
        <w:t>资金214.15万元</w:t>
      </w:r>
      <w:r>
        <w:rPr>
          <w:rFonts w:hint="default" w:ascii="Times New Roman" w:hAnsi="Times New Roman" w:cs="Times New Roman"/>
          <w:highlight w:val="none"/>
        </w:rPr>
        <w:t>，年中</w:t>
      </w:r>
      <w:r>
        <w:rPr>
          <w:rFonts w:hint="eastAsia" w:ascii="Times New Roman" w:hAnsi="Times New Roman" w:cs="Times New Roman"/>
          <w:highlight w:val="none"/>
          <w:lang w:val="en-US" w:eastAsia="zh-CN"/>
        </w:rPr>
        <w:t>没有</w:t>
      </w:r>
      <w:r>
        <w:rPr>
          <w:rFonts w:hint="default" w:ascii="Times New Roman" w:hAnsi="Times New Roman" w:cs="Times New Roman"/>
          <w:highlight w:val="none"/>
        </w:rPr>
        <w:t>对资金进行</w:t>
      </w:r>
      <w:r>
        <w:rPr>
          <w:rFonts w:hint="eastAsia" w:ascii="Times New Roman" w:hAnsi="Times New Roman" w:cs="Times New Roman"/>
          <w:highlight w:val="none"/>
          <w:lang w:val="en-US" w:eastAsia="zh-CN"/>
        </w:rPr>
        <w:t>调整</w:t>
      </w:r>
      <w:r>
        <w:rPr>
          <w:rFonts w:hint="default" w:ascii="Times New Roman" w:hAnsi="Times New Roman" w:cs="Times New Roman"/>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该项目</w:t>
      </w:r>
      <w:r>
        <w:rPr>
          <w:rFonts w:hint="default" w:ascii="Times New Roman" w:hAnsi="Times New Roman" w:cs="Times New Roman"/>
          <w:bCs/>
          <w:szCs w:val="28"/>
          <w:highlight w:val="none"/>
        </w:rPr>
        <w:t>主要包括</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室外电缆电线165.732米、GBL配电柜3台、70KW柴油发电机一台(带控制柜）、DN100给水管205.162米、DN50给水管185.022米、给水井3个、污水井4个、DN200室外消防给水管70.313米、DN400室外消防给水管5.5米、DN150室外消防给水管308.625米、DN100室外消防给水管88.335米、室外消火栓5个、消防阀门井3座、室外暖气井1个、DN150暖气管60.302米、消防稳压设施一套、37KW消火栓泵2台、2.2KW潜污泵2台、1.1KW给水泵1台等</w:t>
      </w:r>
      <w:r>
        <w:rPr>
          <w:rFonts w:hint="eastAsia" w:ascii="Times New Roman" w:hAnsi="Times New Roman" w:cs="Times New Roman"/>
          <w:bCs/>
          <w:szCs w:val="28"/>
          <w:highlight w:val="none"/>
          <w:lang w:eastAsia="zh-CN"/>
        </w:rPr>
        <w:t>。</w:t>
      </w:r>
      <w:r>
        <w:rPr>
          <w:rFonts w:hint="default" w:ascii="Times New Roman" w:hAnsi="Times New Roman" w:cs="Times New Roman"/>
          <w:szCs w:val="28"/>
          <w:highlight w:val="none"/>
        </w:rPr>
        <w:t>绩效总体绩效目标为消防设施年度维保检测项目的实施，将保证我校消防设施系统正常运行，使消防设施维保工作系统化，规范化、使整个消防系统良好运转，从而提高防御火灾的能力，确保学校的财产安全及师生的人身安全。</w:t>
      </w:r>
    </w:p>
    <w:p>
      <w:pPr>
        <w:spacing w:line="360" w:lineRule="auto"/>
        <w:ind w:firstLine="560"/>
        <w:rPr>
          <w:rFonts w:hint="default" w:ascii="Times New Roman" w:hAnsi="Times New Roman" w:cs="Times New Roman"/>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7" w:name="_Toc100784586"/>
      <w:bookmarkStart w:id="8" w:name="_Toc67911604"/>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 xml:space="preserve">（1）绩效评价的对象：乌财科教【2021】96号关于提前下达2022年城乡义务教育项目直达资金校舍安全保障机制经费项目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1.项目范围：乌财科教【2021】96号关于提前下达2022年城乡义务教育项目直达资金校舍安全保障机制经费的完成情况、资金投入的运行情况、项目实施后产生的绩效及影响效果。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②审批文件、材料是否符合相关要求；</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①项目是否有绩效目标；</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②是否通过清晰、可衡量的指标值予以体现；</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③是否与项目目标任务数或计划数相对应。</w:t>
            </w:r>
          </w:p>
          <w:p>
            <w:pPr>
              <w:widowControl/>
              <w:ind w:firstLine="0" w:firstLineChars="0"/>
              <w:rPr>
                <w:rFonts w:hint="eastAsia" w:ascii="Times New Roman" w:hAnsi="Times New Roman" w:eastAsia="宋体" w:cs="Times New Roman"/>
                <w:color w:val="000000"/>
                <w:kern w:val="0"/>
                <w:sz w:val="22"/>
                <w:highlight w:val="none"/>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①预算编制是否经过科学论证；</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②预算内容与项目内容是否匹配；</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①预算资金分配依据是否充分；</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预算执行率=（实际支出资金/实际到位资金）×100%。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②资金的拨付是否有完整的审批程序和手续；</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③是否符合项目预算批复或合同规定的用途；</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①是否遵守相关法律法规和相关管理规定；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②项目调整及支出调整手续是否完备；</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项目体积</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实际完成率=（实际产出数/计划产出数）×100%。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室外电缆电线长度</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GBL配电柜</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项目建设合格率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产品验收合格率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项目按期完成率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成本节约率=[（计划成本-实际成本）/计划成本]×100%。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保障师生的生命安全和学校的财产安全</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降低火灾的发生率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师生满意度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根据本项目乌财科教【2021】96号关于提前下达2022年城乡义务教育项目直达资金校舍安全保障机制经费特点，本次评价主要采用比较法，</w:t>
      </w:r>
      <w:r>
        <w:rPr>
          <w:rFonts w:hint="eastAsia" w:ascii="Times New Roman" w:hAnsi="Times New Roman" w:cs="Times New Roman"/>
          <w:color w:val="auto"/>
          <w:highlight w:val="none"/>
          <w:lang w:val="en-US" w:eastAsia="zh-CN"/>
        </w:rPr>
        <w:t>2021</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rPr>
        <w:t>本单位有</w:t>
      </w:r>
      <w:r>
        <w:rPr>
          <w:rFonts w:hint="default" w:ascii="Times New Roman" w:hAnsi="Times New Roman" w:cs="Times New Roman"/>
          <w:color w:val="auto"/>
          <w:highlight w:val="none"/>
        </w:rPr>
        <w:t>同类型项目</w:t>
      </w:r>
      <w:r>
        <w:rPr>
          <w:rFonts w:hint="default" w:ascii="Times New Roman" w:hAnsi="Times New Roman" w:cs="Times New Roman"/>
          <w:color w:val="auto"/>
          <w:highlight w:val="none"/>
          <w:lang w:val="en-US"/>
        </w:rPr>
        <w:t>永合小学食堂散水修复、旧教学楼暖气更改、外立面改造、重建国旗台等维修项目</w:t>
      </w:r>
      <w:r>
        <w:rPr>
          <w:rFonts w:hint="default" w:ascii="Times New Roman" w:hAnsi="Times New Roman" w:cs="Times New Roman"/>
          <w:color w:val="auto"/>
          <w:highlight w:val="none"/>
        </w:rPr>
        <w:t>，去年该项目金额是</w:t>
      </w:r>
      <w:r>
        <w:rPr>
          <w:rFonts w:hint="default" w:ascii="Times New Roman" w:hAnsi="Times New Roman" w:cs="Times New Roman"/>
          <w:color w:val="auto"/>
          <w:highlight w:val="none"/>
          <w:lang w:val="en-US"/>
        </w:rPr>
        <w:t>47万元</w:t>
      </w:r>
      <w:r>
        <w:rPr>
          <w:rFonts w:hint="default" w:ascii="Times New Roman" w:hAnsi="Times New Roman" w:cs="Times New Roman"/>
          <w:color w:val="auto"/>
          <w:highlight w:val="none"/>
        </w:rPr>
        <w:t>，执行</w:t>
      </w:r>
      <w:r>
        <w:rPr>
          <w:rFonts w:hint="default" w:ascii="Times New Roman" w:hAnsi="Times New Roman" w:cs="Times New Roman"/>
          <w:color w:val="auto"/>
          <w:highlight w:val="none"/>
          <w:lang w:val="en-US"/>
        </w:rPr>
        <w:t>金额45.7万元</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rPr>
        <w:t>项目达到预期；</w:t>
      </w:r>
      <w:r>
        <w:rPr>
          <w:rFonts w:hint="default" w:ascii="Times New Roman" w:hAnsi="Times New Roman" w:cs="Times New Roman"/>
          <w:color w:val="auto"/>
          <w:highlight w:val="none"/>
        </w:rPr>
        <w:t>今年文件号</w:t>
      </w:r>
      <w:r>
        <w:rPr>
          <w:rFonts w:hint="default" w:ascii="Times New Roman" w:hAnsi="Times New Roman" w:cs="Times New Roman"/>
          <w:color w:val="auto"/>
          <w:highlight w:val="none"/>
          <w:lang w:val="en-US"/>
        </w:rPr>
        <w:t>为乌财科教【2021】96号</w:t>
      </w:r>
      <w:r>
        <w:rPr>
          <w:rFonts w:hint="default" w:ascii="Times New Roman" w:hAnsi="Times New Roman" w:cs="Times New Roman"/>
          <w:color w:val="auto"/>
          <w:highlight w:val="none"/>
        </w:rPr>
        <w:t>，预算</w:t>
      </w:r>
      <w:r>
        <w:rPr>
          <w:rFonts w:hint="default" w:ascii="Times New Roman" w:hAnsi="Times New Roman" w:cs="Times New Roman"/>
          <w:color w:val="auto"/>
          <w:highlight w:val="none"/>
          <w:lang w:val="en-US"/>
        </w:rPr>
        <w:t>金额400万元</w:t>
      </w:r>
      <w:r>
        <w:rPr>
          <w:rFonts w:hint="default" w:ascii="Times New Roman" w:hAnsi="Times New Roman" w:cs="Times New Roman"/>
          <w:color w:val="auto"/>
          <w:highlight w:val="none"/>
        </w:rPr>
        <w:t>，执行</w:t>
      </w:r>
      <w:r>
        <w:rPr>
          <w:rFonts w:hint="default" w:ascii="Times New Roman" w:hAnsi="Times New Roman" w:cs="Times New Roman"/>
          <w:color w:val="auto"/>
          <w:highlight w:val="none"/>
          <w:lang w:val="en-US"/>
        </w:rPr>
        <w:t>金额214.15万元</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rPr>
        <w:t>因疫情原因，项目未及时完工，资金未及时支付，但项目工程进度已达到80%，项目</w:t>
      </w:r>
      <w:r>
        <w:rPr>
          <w:rFonts w:hint="default" w:ascii="Times New Roman" w:hAnsi="Times New Roman" w:cs="Times New Roman"/>
          <w:color w:val="auto"/>
          <w:highlight w:val="none"/>
        </w:rPr>
        <w:t>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highlight w:val="none"/>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结合项目特点，制定符合项目实际的绩效评价指标体系及评分标准，通过数据采集、问卷调查及访谈等形式，对2022年城乡义务教育项目直达资金校舍安全保障机制经费进行客观评价，最终评分结果为：总分为</w:t>
      </w:r>
      <w:r>
        <w:rPr>
          <w:rFonts w:hint="eastAsia" w:ascii="Times New Roman" w:hAnsi="Times New Roman" w:cs="Times New Roman"/>
          <w:szCs w:val="28"/>
          <w:highlight w:val="none"/>
          <w:lang w:val="en-US" w:eastAsia="zh-CN"/>
        </w:rPr>
        <w:t>66.58</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中</w:t>
      </w:r>
      <w:r>
        <w:rPr>
          <w:rFonts w:hint="default" w:ascii="Times New Roman" w:hAnsi="Times New Roman" w:cs="Times New Roman"/>
          <w:szCs w:val="28"/>
          <w:highlight w:val="none"/>
        </w:rPr>
        <w:t>”</w:t>
      </w:r>
      <w:r>
        <w:rPr>
          <w:rStyle w:val="21"/>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bidi="ar-SA"/>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bidi="ar-SA"/>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bidi="ar-SA"/>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bidi="ar-SA"/>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bidi="ar-SA"/>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2.68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项目体积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33.33%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室外电缆电线长度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GBL配电柜</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项目建设合格率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产品验收合格率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项目按期完成率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保障师生的生命安全和学校的财产安全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降低火灾的发生率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师生满意度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67911610"/>
            <w:bookmarkStart w:id="28" w:name="_Toc100784598"/>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66.58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cs="Times New Roman"/>
                <w:kern w:val="0"/>
                <w:sz w:val="24"/>
                <w:szCs w:val="24"/>
                <w:highlight w:val="none"/>
                <w:lang w:val="en-US" w:eastAsia="zh-CN"/>
              </w:rPr>
              <w:t>66.58%</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该项目资金区财政及时拨付，单位在此次评价期间内，有序完成设定目标的部分工作任务，增设消防水池及外网工程</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主要包括:室外电缆电线165.732米、GBL配电柜 3台、70KW柴油发电机一台(带控制柜）、DN100给水管205.162米、DN50给水管185.022米、给水井3个、污水井4个、DN200室外消防给水管70.313米、DN400室外消防给水管5.5米、DN150室外消防给水管308.625米、DN100室外消防给水管88.335米、室外消火栓5个、消防阀门井3座、室外暖气井1个、DN150暖气管60.302米、消防稳压设施一套、37KW消火栓泵2台、2.2KW潜污泵2台、1.1KW给水泵1台等等。</w:t>
      </w:r>
      <w:r>
        <w:rPr>
          <w:rFonts w:hint="eastAsia" w:ascii="Times New Roman" w:hAnsi="Times New Roman" w:cs="Times New Roman"/>
          <w:bCs/>
          <w:szCs w:val="28"/>
          <w:highlight w:val="none"/>
          <w:lang w:val="en-US" w:eastAsia="zh-CN"/>
        </w:rPr>
        <w:t>项目</w:t>
      </w:r>
      <w:r>
        <w:rPr>
          <w:rFonts w:hint="eastAsia" w:ascii="Times New Roman" w:hAnsi="Times New Roman" w:cs="Times New Roman"/>
          <w:highlight w:val="none"/>
          <w:lang w:eastAsia="zh-CN"/>
        </w:rPr>
        <w:t>强化学校安全、构建和谐校园为重点，不断推进教育创新，使教育事业得到持续、稳定、健康发展。通过及时更新、更换办公设备，改善了工作环境，提高了工作效率，使教育教学工作更加快捷、便利，提高了学校办公办学整体水平。</w:t>
      </w:r>
    </w:p>
    <w:p>
      <w:pPr>
        <w:spacing w:line="360" w:lineRule="auto"/>
        <w:ind w:firstLine="548" w:firstLineChars="196"/>
        <w:rPr>
          <w:rFonts w:hint="default" w:ascii="Times New Roman" w:hAnsi="Times New Roman" w:cs="Times New Roman"/>
          <w:bCs/>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29" w:name="_Toc100784599"/>
      <w:bookmarkStart w:id="30" w:name="_Toc67911611"/>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100784600"/>
      <w:bookmarkStart w:id="32" w:name="_Toc67911612"/>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eastAsia="仿宋" w:cs="Times New Roman"/>
          <w:sz w:val="30"/>
          <w:szCs w:val="30"/>
          <w:highlight w:val="none"/>
        </w:rPr>
        <w:t>本单位年初编制《绩效目标申报表》，依据充分，项目的总体绩效目标为</w:t>
      </w:r>
      <w:r>
        <w:rPr>
          <w:rFonts w:hint="eastAsia" w:ascii="Times New Roman" w:hAnsi="Times New Roman" w:eastAsia="仿宋" w:cs="Times New Roman"/>
          <w:sz w:val="30"/>
          <w:szCs w:val="30"/>
          <w:highlight w:val="none"/>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kern w:val="0"/>
          <w:szCs w:val="28"/>
          <w:highlight w:val="none"/>
        </w:rPr>
      </w:pPr>
      <w:r>
        <w:rPr>
          <w:rFonts w:hint="default" w:ascii="Times New Roman" w:hAnsi="Times New Roman" w:cs="Times New Roman"/>
          <w:b/>
          <w:kern w:val="0"/>
          <w:szCs w:val="28"/>
          <w:highlight w:val="none"/>
        </w:rPr>
        <w:t>预算编制科学性：</w:t>
      </w:r>
      <w:r>
        <w:rPr>
          <w:rFonts w:hint="default" w:ascii="Times New Roman" w:hAnsi="Times New Roman" w:cs="Times New Roman"/>
          <w:kern w:val="0"/>
          <w:szCs w:val="28"/>
          <w:highlight w:val="none"/>
        </w:rPr>
        <w:t>室外电缆电线165.732米、GBL配电柜 3台、70KW柴油发电机一台(带控制柜）、DN100给水管205.162米、DN50给水管185.022米、给水井3个、污水井4个、DN200室外消防给水管70.313米、DN400室外消防给水管5.5米、DN150室外消防给水管308.625米、DN100室外消防给水管88.335米、室外消火栓5个、消防阀门井3座、室外暖气井1个、DN150暖气管60.302米、加建18M高位水箱1个、消防稳压设施一套、37KW消火栓泵2台、2.2KW潜污泵2台、1.1KW给水泵1台，以上建设内容总计240万</w:t>
      </w:r>
      <w:r>
        <w:rPr>
          <w:rFonts w:hint="eastAsia" w:ascii="Times New Roman" w:hAnsi="Times New Roman" w:cs="Times New Roman"/>
          <w:kern w:val="0"/>
          <w:szCs w:val="28"/>
          <w:highlight w:val="none"/>
          <w:lang w:eastAsia="zh-CN"/>
        </w:rPr>
        <w:t>，</w:t>
      </w:r>
      <w:r>
        <w:rPr>
          <w:rFonts w:hint="eastAsia" w:ascii="Times New Roman" w:hAnsi="Times New Roman" w:cs="Times New Roman"/>
          <w:kern w:val="0"/>
          <w:szCs w:val="28"/>
          <w:highlight w:val="none"/>
          <w:lang w:val="en-US" w:eastAsia="zh-CN"/>
        </w:rPr>
        <w:t>咨询服务费5万元，勘察费5万元，可研编制费10万元，工程服务费140万，总计400万元。</w:t>
      </w:r>
      <w:r>
        <w:rPr>
          <w:rFonts w:hint="default" w:ascii="Times New Roman" w:hAnsi="Times New Roman" w:cs="Times New Roman"/>
          <w:kern w:val="0"/>
          <w:szCs w:val="28"/>
          <w:highlight w:val="none"/>
        </w:rPr>
        <w:t>故预算编制科学性指标得分3分。</w:t>
      </w:r>
    </w:p>
    <w:p>
      <w:pPr>
        <w:spacing w:line="360" w:lineRule="auto"/>
        <w:ind w:firstLine="562"/>
        <w:rPr>
          <w:rFonts w:hint="default" w:ascii="Times New Roman" w:hAnsi="Times New Roman" w:cs="Times New Roman"/>
          <w:kern w:val="0"/>
          <w:szCs w:val="28"/>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default" w:ascii="Times New Roman" w:hAnsi="Times New Roman" w:cs="Times New Roman"/>
          <w:kern w:val="0"/>
          <w:szCs w:val="28"/>
          <w:highlight w:val="none"/>
          <w:lang w:eastAsia="zh-C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100784604"/>
      <w:bookmarkStart w:id="37" w:name="_Toc67911613"/>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17.68</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default" w:ascii="Times New Roman" w:hAnsi="Times New Roman" w:cs="Times New Roman"/>
          <w:szCs w:val="28"/>
          <w:highlight w:val="none"/>
          <w:lang w:eastAsia="zh-CN"/>
        </w:rPr>
        <w:t>预算资金</w:t>
      </w:r>
      <w:r>
        <w:rPr>
          <w:rFonts w:hint="eastAsia" w:ascii="Times New Roman" w:hAnsi="Times New Roman" w:cs="Times New Roman"/>
          <w:szCs w:val="28"/>
          <w:highlight w:val="none"/>
          <w:lang w:val="en-US" w:eastAsia="zh-CN"/>
        </w:rPr>
        <w:t>400</w:t>
      </w:r>
      <w:r>
        <w:rPr>
          <w:rFonts w:hint="default" w:ascii="Times New Roman" w:hAnsi="Times New Roman" w:cs="Times New Roman"/>
          <w:szCs w:val="28"/>
          <w:highlight w:val="none"/>
          <w:lang w:eastAsia="zh-CN"/>
        </w:rPr>
        <w:t>万元，</w:t>
      </w:r>
      <w:r>
        <w:rPr>
          <w:rFonts w:hint="default" w:ascii="Times New Roman" w:hAnsi="Times New Roman" w:cs="Times New Roman"/>
          <w:szCs w:val="28"/>
          <w:highlight w:val="none"/>
          <w:lang w:val="en-US" w:eastAsia="zh-CN"/>
        </w:rPr>
        <w:t>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年1月份</w:t>
      </w:r>
      <w:r>
        <w:rPr>
          <w:rFonts w:hint="default" w:ascii="Times New Roman" w:hAnsi="Times New Roman" w:cs="Times New Roman"/>
          <w:szCs w:val="28"/>
          <w:highlight w:val="none"/>
          <w:lang w:eastAsia="zh-CN"/>
        </w:rPr>
        <w:t>拨付资金</w:t>
      </w:r>
      <w:r>
        <w:rPr>
          <w:rFonts w:hint="eastAsia" w:ascii="Times New Roman" w:hAnsi="Times New Roman" w:cs="Times New Roman"/>
          <w:szCs w:val="28"/>
          <w:highlight w:val="none"/>
          <w:lang w:val="en-US" w:eastAsia="zh-CN"/>
        </w:rPr>
        <w:t>400</w:t>
      </w:r>
      <w:r>
        <w:rPr>
          <w:rFonts w:hint="default" w:ascii="Times New Roman" w:hAnsi="Times New Roman" w:cs="Times New Roman"/>
          <w:szCs w:val="28"/>
          <w:highlight w:val="none"/>
          <w:lang w:eastAsia="zh-CN"/>
        </w:rPr>
        <w:t>万元及时到位，资金与实际到位资金相符，资金到位率100%。</w:t>
      </w:r>
      <w:r>
        <w:rPr>
          <w:rFonts w:hint="default" w:ascii="Times New Roman" w:hAnsi="Times New Roman" w:cs="Times New Roman"/>
          <w:szCs w:val="28"/>
          <w:highlight w:val="none"/>
        </w:rPr>
        <w:t>故资金到位率指标得分</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b/>
          <w:bCs/>
          <w:szCs w:val="28"/>
          <w:highlight w:val="none"/>
        </w:rPr>
        <w:t>预算执行率：</w:t>
      </w:r>
      <w:r>
        <w:rPr>
          <w:rFonts w:hint="default" w:ascii="Times New Roman" w:hAnsi="Times New Roman" w:cs="Times New Roman"/>
          <w:szCs w:val="28"/>
          <w:highlight w:val="none"/>
          <w:lang w:val="en-US" w:eastAsia="zh-CN"/>
        </w:rPr>
        <w:t>项目</w:t>
      </w:r>
      <w:r>
        <w:rPr>
          <w:rFonts w:hint="eastAsia" w:ascii="Times New Roman" w:hAnsi="Times New Roman" w:cs="Times New Roman"/>
          <w:szCs w:val="28"/>
          <w:highlight w:val="none"/>
          <w:lang w:val="en-US" w:eastAsia="zh-CN"/>
        </w:rPr>
        <w:t>于暑假</w:t>
      </w:r>
      <w:r>
        <w:rPr>
          <w:rFonts w:hint="default" w:ascii="Times New Roman" w:hAnsi="Times New Roman" w:cs="Times New Roman"/>
          <w:szCs w:val="28"/>
          <w:highlight w:val="none"/>
          <w:lang w:val="en-US" w:eastAsia="zh-CN"/>
        </w:rPr>
        <w:t>正常开展，</w:t>
      </w:r>
      <w:r>
        <w:rPr>
          <w:rFonts w:hint="eastAsia" w:ascii="Times New Roman" w:hAnsi="Times New Roman" w:cs="Times New Roman"/>
          <w:szCs w:val="28"/>
          <w:highlight w:val="none"/>
          <w:lang w:val="en-US" w:eastAsia="zh-CN"/>
        </w:rPr>
        <w:t>因疫情原因，工程未及时完工，工程进度已达80%，但资金支付不及时，</w:t>
      </w:r>
      <w:r>
        <w:rPr>
          <w:rFonts w:hint="default" w:ascii="Times New Roman" w:hAnsi="Times New Roman" w:cs="Times New Roman"/>
          <w:szCs w:val="28"/>
          <w:highlight w:val="none"/>
          <w:lang w:val="en-US" w:eastAsia="zh-CN"/>
        </w:rPr>
        <w:t>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年1月1日-202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年12月31日共计支出经费</w:t>
      </w:r>
      <w:r>
        <w:rPr>
          <w:rFonts w:hint="eastAsia" w:ascii="Times New Roman" w:hAnsi="Times New Roman" w:cs="Times New Roman"/>
          <w:szCs w:val="28"/>
          <w:highlight w:val="none"/>
          <w:lang w:val="en-US" w:eastAsia="zh-CN"/>
        </w:rPr>
        <w:t>214.15</w:t>
      </w:r>
      <w:r>
        <w:rPr>
          <w:rFonts w:hint="default" w:ascii="Times New Roman" w:hAnsi="Times New Roman" w:cs="Times New Roman"/>
          <w:szCs w:val="28"/>
          <w:highlight w:val="none"/>
          <w:lang w:val="en-US" w:eastAsia="zh-CN"/>
        </w:rPr>
        <w:t>万元，</w:t>
      </w:r>
      <w:r>
        <w:rPr>
          <w:rFonts w:hint="eastAsia" w:ascii="Times New Roman" w:hAnsi="Times New Roman" w:cs="Times New Roman"/>
          <w:szCs w:val="28"/>
          <w:highlight w:val="none"/>
          <w:lang w:val="en-US" w:eastAsia="zh-CN"/>
        </w:rPr>
        <w:t>资金执行率为53.54%。</w:t>
      </w:r>
      <w:r>
        <w:rPr>
          <w:rFonts w:hint="default" w:ascii="Times New Roman" w:hAnsi="Times New Roman" w:cs="Times New Roman"/>
          <w:szCs w:val="28"/>
          <w:highlight w:val="none"/>
          <w:lang w:eastAsia="zh-CN"/>
        </w:rPr>
        <w:t>故预算执行率得分为</w:t>
      </w:r>
      <w:r>
        <w:rPr>
          <w:rFonts w:hint="eastAsia" w:ascii="Times New Roman" w:hAnsi="Times New Roman" w:cs="Times New Roman"/>
          <w:szCs w:val="28"/>
          <w:highlight w:val="none"/>
          <w:lang w:val="en-US" w:eastAsia="zh-CN"/>
        </w:rPr>
        <w:t>2.68</w:t>
      </w:r>
      <w:r>
        <w:rPr>
          <w:rFonts w:hint="default" w:ascii="Times New Roman" w:hAnsi="Times New Roman" w:cs="Times New Roman"/>
          <w:szCs w:val="28"/>
          <w:highlight w:val="none"/>
          <w:lang w:eastAsia="zh-CN"/>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10.68</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val="en-US" w:eastAsia="zh-CN"/>
        </w:rPr>
        <w:t>乌鲁木齐县永合小学</w:t>
      </w:r>
      <w:r>
        <w:rPr>
          <w:rFonts w:hint="default" w:ascii="Times New Roman" w:hAnsi="Times New Roman" w:cs="Times New Roman"/>
          <w:szCs w:val="28"/>
          <w:highlight w:val="none"/>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val="en-US" w:eastAsia="zh-CN"/>
        </w:rPr>
        <w:t>乌鲁木齐县永合小学</w:t>
      </w:r>
      <w:r>
        <w:rPr>
          <w:rFonts w:hint="default" w:ascii="Times New Roman" w:hAnsi="Times New Roman" w:cs="Times New Roman"/>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67911614"/>
      <w:bookmarkStart w:id="42" w:name="_Toc100784607"/>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w:t>
      </w:r>
      <w:r>
        <w:rPr>
          <w:rFonts w:hint="eastAsia" w:ascii="Times New Roman" w:hAnsi="Times New Roman" w:cs="Times New Roman"/>
          <w:szCs w:val="28"/>
          <w:highlight w:val="none"/>
          <w:lang w:val="en-US" w:eastAsia="zh-CN"/>
        </w:rPr>
        <w:t>7</w:t>
      </w:r>
      <w:r>
        <w:rPr>
          <w:rFonts w:hint="default" w:ascii="Times New Roman" w:hAnsi="Times New Roman" w:cs="Times New Roman"/>
          <w:szCs w:val="28"/>
          <w:highlight w:val="none"/>
        </w:rPr>
        <w:t>个三级指标构成，权重为40分，实际得分</w:t>
      </w:r>
      <w:r>
        <w:rPr>
          <w:rFonts w:hint="eastAsia" w:ascii="Times New Roman" w:hAnsi="Times New Roman" w:cs="Times New Roman"/>
          <w:szCs w:val="28"/>
          <w:highlight w:val="none"/>
          <w:lang w:val="en-US" w:eastAsia="zh-CN"/>
        </w:rPr>
        <w:t>11.9</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数量指标“项目体积”的目标值是</w:t>
      </w:r>
      <w:r>
        <w:rPr>
          <w:rFonts w:hint="eastAsia" w:ascii="Times New Roman" w:hAnsi="Times New Roman" w:cs="Times New Roman"/>
          <w:szCs w:val="28"/>
          <w:highlight w:val="none"/>
          <w:lang w:val="en-US" w:eastAsia="zh-CN"/>
        </w:rPr>
        <w:t>300立方米</w:t>
      </w:r>
      <w:r>
        <w:rPr>
          <w:rFonts w:hint="default" w:ascii="Times New Roman" w:hAnsi="Times New Roman" w:cs="Times New Roman"/>
          <w:szCs w:val="28"/>
          <w:highlight w:val="none"/>
        </w:rPr>
        <w:t>，2022年度我单位实际完成100立方米，原因是下半年因疫情原因，工程无法开展。</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数量指标“室外电缆电线长度”的目标值是&gt;=165.73米，2022年度我单位实际完成50米</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原因是下半年因疫情原因，工程无法开展。</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数量指标“GBL配电柜”的目标值是=3台，2022年度我单位实际完成0台</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原因是下半年因疫情原因，工程无法开展。</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b/>
          <w:bCs/>
          <w:szCs w:val="28"/>
          <w:highlight w:val="none"/>
          <w:lang w:eastAsia="zh-CN"/>
        </w:rPr>
        <w:t>：</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1.9</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项目建设合格率：</w:t>
      </w:r>
      <w:r>
        <w:rPr>
          <w:rFonts w:hint="default" w:ascii="Times New Roman" w:hAnsi="Times New Roman" w:cs="Times New Roman"/>
          <w:szCs w:val="28"/>
          <w:highlight w:val="none"/>
        </w:rPr>
        <w:t>目标值是=100%，2022年度我单位实际完成0%</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原因是下半年因疫情原因，工程无法开展。</w:t>
      </w:r>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产品验收合格率</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目标值是&gt;=95%，2022年度我单位实际完成0%</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原因是下半年因疫情原因，工程无法开展。</w:t>
      </w:r>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质量达标率得分为</w:t>
      </w:r>
      <w:r>
        <w:rPr>
          <w:rFonts w:hint="eastAsia" w:ascii="Times New Roman" w:hAnsi="Times New Roman" w:cs="Times New Roman"/>
          <w:szCs w:val="28"/>
          <w:highlight w:val="none"/>
          <w:lang w:val="en-US" w:eastAsia="zh-CN"/>
        </w:rPr>
        <w:t>0</w:t>
      </w:r>
      <w:r>
        <w:rPr>
          <w:rFonts w:hint="default" w:ascii="Times New Roman" w:hAnsi="Times New Roman" w:cs="Times New Roman"/>
          <w:szCs w:val="28"/>
          <w:highlight w:val="none"/>
          <w:lang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项目按期完成率：</w:t>
      </w:r>
      <w:r>
        <w:rPr>
          <w:rFonts w:hint="default" w:ascii="Times New Roman" w:hAnsi="Times New Roman" w:cs="Times New Roman"/>
          <w:szCs w:val="28"/>
          <w:highlight w:val="none"/>
        </w:rPr>
        <w:t>目标值是=100%，2022年度我单位实际完成0%</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原因是下半年因疫情原因，工程无法开展。</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eastAsia" w:ascii="Times New Roman" w:hAnsi="Times New Roman" w:eastAsia="仿宋_GB2312" w:cs="Times New Roman"/>
          <w:szCs w:val="28"/>
          <w:highlight w:val="none"/>
          <w:lang w:val="en-US" w:eastAsia="zh-CN"/>
        </w:rPr>
      </w:pPr>
      <w:r>
        <w:rPr>
          <w:rFonts w:hint="default" w:ascii="Times New Roman" w:hAnsi="Times New Roman" w:cs="Times New Roman"/>
          <w:szCs w:val="28"/>
          <w:highlight w:val="none"/>
          <w:lang w:eastAsia="zh-CN"/>
        </w:rPr>
        <w:t>成本控制率：</w:t>
      </w:r>
      <w:r>
        <w:rPr>
          <w:rFonts w:hint="default" w:ascii="Times New Roman" w:hAnsi="Times New Roman" w:cs="Times New Roman"/>
          <w:szCs w:val="28"/>
          <w:highlight w:val="none"/>
        </w:rPr>
        <w:t>目标值是&lt;=3%，2022年度我单位实际完成</w:t>
      </w:r>
      <w:r>
        <w:rPr>
          <w:rFonts w:hint="eastAsia" w:ascii="Times New Roman" w:hAnsi="Times New Roman" w:cs="Times New Roman"/>
          <w:szCs w:val="28"/>
          <w:highlight w:val="none"/>
          <w:lang w:val="en-US" w:eastAsia="zh-CN"/>
        </w:rPr>
        <w:t>1</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下半年因疫情原因，工程无法开展</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故资金未支付完毕，但仍根据项目进度按期支付，无超支情况</w:t>
      </w:r>
      <w:r>
        <w:rPr>
          <w:rFonts w:hint="eastAsia" w:ascii="Times New Roman" w:hAnsi="Times New Roman" w:cs="Times New Roman"/>
          <w:szCs w:val="28"/>
          <w:highlight w:val="none"/>
          <w:lang w:eastAsia="zh-CN"/>
        </w:rPr>
        <w:t>。</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szCs w:val="28"/>
          <w:highlight w:val="none"/>
        </w:rPr>
        <w:t>故得分为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lang w:val="en-US" w:eastAsia="zh-CN"/>
        </w:rPr>
        <w:t>11.9</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67911615"/>
      <w:bookmarkStart w:id="48" w:name="_Toc100784612"/>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个二级指标和2个三级指标构成，权重为</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12</w:t>
      </w:r>
      <w:r>
        <w:rPr>
          <w:rFonts w:hint="default" w:ascii="Times New Roman" w:hAnsi="Times New Roman" w:cs="Times New Roman"/>
          <w:szCs w:val="28"/>
          <w:highlight w:val="none"/>
        </w:rPr>
        <w:t xml:space="preserve">分。 </w:t>
      </w:r>
    </w:p>
    <w:p>
      <w:pPr>
        <w:pStyle w:val="4"/>
        <w:ind w:firstLine="643"/>
        <w:rPr>
          <w:rFonts w:hint="default" w:ascii="Times New Roman" w:hAnsi="Times New Roman" w:cs="Times New Roman"/>
          <w:highlight w:val="none"/>
        </w:rPr>
      </w:pPr>
      <w:bookmarkStart w:id="49" w:name="_Toc100784613"/>
      <w:r>
        <w:rPr>
          <w:rFonts w:hint="default" w:ascii="Times New Roman" w:hAnsi="Times New Roman" w:cs="Times New Roman"/>
          <w:highlight w:val="none"/>
        </w:rPr>
        <w:t>1.项目效益</w:t>
      </w:r>
      <w:bookmarkEnd w:id="49"/>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：评价指标“保障师生的生命安全和学校的财产安全”，指标值：有效保障，实际完成值：</w:t>
      </w:r>
      <w:r>
        <w:rPr>
          <w:rFonts w:hint="eastAsia" w:ascii="Times New Roman" w:hAnsi="Times New Roman" w:cs="Times New Roman"/>
          <w:szCs w:val="28"/>
          <w:highlight w:val="none"/>
          <w:lang w:val="en-US" w:eastAsia="zh-CN"/>
        </w:rPr>
        <w:t>基本</w:t>
      </w:r>
      <w:r>
        <w:rPr>
          <w:rFonts w:hint="default" w:ascii="Times New Roman" w:hAnsi="Times New Roman" w:cs="Times New Roman"/>
          <w:szCs w:val="28"/>
          <w:highlight w:val="none"/>
        </w:rPr>
        <w:t>达到预期效果。本项目的实施保证我校消防设施系统正常运行，使消防设施维保工作系统化，规范化、使整个消防系统良好运转，从而提高防御火灾的能力，确保学校的财产安全及师生的人身安全。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降低火灾的发生率”，指标值：显著降低，实际完成值：基本达到预期效果。本项目的实施保证我校消防设施系统正常运行，使消防设施维保工作系统化，规范化、使整个消防系统良好运转，从而提高防御火灾的能力，确保学校的财产安全及师生的人身安全。</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12</w:t>
      </w:r>
      <w:r>
        <w:rPr>
          <w:rFonts w:hint="default" w:ascii="Times New Roman" w:hAnsi="Times New Roman" w:cs="Times New Roman"/>
          <w:b/>
          <w:kern w:val="0"/>
          <w:szCs w:val="28"/>
          <w:highlight w:val="none"/>
        </w:rPr>
        <w:t>分。</w:t>
      </w:r>
    </w:p>
    <w:p>
      <w:pPr>
        <w:pStyle w:val="4"/>
        <w:ind w:firstLine="643"/>
        <w:rPr>
          <w:rFonts w:hint="default" w:ascii="Times New Roman" w:hAnsi="Times New Roman" w:cs="Times New Roman"/>
          <w:highlight w:val="none"/>
        </w:rPr>
      </w:pPr>
      <w:bookmarkStart w:id="50" w:name="_Toc100784614"/>
      <w:r>
        <w:rPr>
          <w:rFonts w:hint="default" w:ascii="Times New Roman" w:hAnsi="Times New Roman" w:cs="Times New Roman"/>
          <w:highlight w:val="none"/>
        </w:rPr>
        <w:t>2. 满意度指标完成情况分析</w:t>
      </w:r>
      <w:bookmarkEnd w:id="50"/>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评价指标“师生满意度”，指标值：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95</w:t>
      </w:r>
      <w:r>
        <w:rPr>
          <w:rFonts w:hint="default" w:ascii="Times New Roman" w:hAnsi="Times New Roman" w:cs="Times New Roman"/>
          <w:szCs w:val="28"/>
          <w:highlight w:val="none"/>
        </w:rPr>
        <w:t>%，实际完成值：</w:t>
      </w:r>
      <w:r>
        <w:rPr>
          <w:rFonts w:hint="eastAsia" w:ascii="Times New Roman" w:hAnsi="Times New Roman" w:eastAsia="华文宋体" w:cs="Times New Roman"/>
          <w:szCs w:val="28"/>
          <w:highlight w:val="none"/>
          <w:lang w:val="en-US" w:eastAsia="zh-CN"/>
        </w:rPr>
        <w:t>95</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4</w:t>
      </w:r>
      <w:r>
        <w:rPr>
          <w:rFonts w:hint="default" w:ascii="Times New Roman" w:hAnsi="Times New Roman" w:cs="Times New Roman"/>
          <w:szCs w:val="28"/>
          <w:highlight w:val="none"/>
        </w:rPr>
        <w:t>份。其中，统计“师生满意度”的平均值为</w:t>
      </w:r>
      <w:r>
        <w:rPr>
          <w:rFonts w:hint="eastAsia" w:ascii="Times New Roman" w:hAnsi="Times New Roman" w:cs="Times New Roman"/>
          <w:szCs w:val="28"/>
          <w:highlight w:val="none"/>
          <w:lang w:val="en-US" w:eastAsia="zh-CN"/>
        </w:rPr>
        <w:t>95</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67911616"/>
      <w:bookmarkStart w:id="52" w:name="_Toc100784615"/>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53.54</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42.36</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11.18</w:t>
      </w:r>
      <w:r>
        <w:rPr>
          <w:rFonts w:hint="default" w:ascii="Times New Roman" w:hAnsi="Times New Roman" w:cs="Times New Roman"/>
          <w:szCs w:val="28"/>
          <w:highlight w:val="none"/>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67911618"/>
      <w:bookmarkStart w:id="56" w:name="_Toc100784617"/>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2"/>
        <w:rPr>
          <w:rFonts w:hint="default" w:ascii="Times New Roman" w:hAnsi="Times New Roman" w:cs="Times New Roman"/>
          <w:szCs w:val="28"/>
          <w:highlight w:val="none"/>
        </w:rPr>
      </w:pPr>
      <w:bookmarkStart w:id="57" w:name="_Toc100784618"/>
      <w:r>
        <w:rPr>
          <w:rFonts w:hint="default" w:ascii="Times New Roman" w:hAnsi="Times New Roman" w:cs="Times New Roman"/>
          <w:szCs w:val="28"/>
          <w:highlight w:val="none"/>
        </w:rPr>
        <w:t>1.</w:t>
      </w:r>
      <w:r>
        <w:rPr>
          <w:rFonts w:hint="eastAsia" w:ascii="Times New Roman" w:hAnsi="Times New Roman" w:cs="Times New Roman"/>
          <w:szCs w:val="28"/>
          <w:highlight w:val="none"/>
          <w:lang w:val="en-US" w:eastAsia="zh-CN"/>
        </w:rPr>
        <w:t>成立内控小组，对资金使用全过程实行监管。</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乌鲁木齐县永合小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2"/>
        <w:rPr>
          <w:rFonts w:hint="eastAsia" w:ascii="Times New Roman" w:hAnsi="Times New Roman" w:cs="Times New Roman"/>
          <w:szCs w:val="28"/>
          <w:highlight w:val="none"/>
        </w:rPr>
      </w:pPr>
      <w:r>
        <w:rPr>
          <w:rFonts w:hint="default" w:ascii="Times New Roman" w:hAnsi="Times New Roman" w:cs="Times New Roman"/>
          <w:szCs w:val="28"/>
          <w:highlight w:val="none"/>
        </w:rPr>
        <w:t>2.</w:t>
      </w:r>
      <w:r>
        <w:rPr>
          <w:rFonts w:hint="eastAsia" w:ascii="Times New Roman" w:hAnsi="Times New Roman" w:cs="Times New Roman"/>
          <w:szCs w:val="28"/>
          <w:highlight w:val="none"/>
          <w:lang w:val="en-US" w:eastAsia="zh-CN"/>
        </w:rPr>
        <w:t>规范资金拨付流程</w:t>
      </w:r>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szCs w:val="28"/>
          <w:highlight w:val="none"/>
          <w:lang w:val="en-US" w:eastAsia="zh-CN"/>
        </w:rPr>
        <w:t>在拨付依据上按照先有预算指标再有用款计划，按时间进度或项目进度进行拨付；在拨付审批权限上要求经办人、科室负责人、校领导、报账员、主管会计依次审核，从严把关。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（二）存在的问题及原因分析</w:t>
      </w:r>
      <w:bookmarkEnd w:id="57"/>
    </w:p>
    <w:p>
      <w:pPr>
        <w:spacing w:line="360" w:lineRule="auto"/>
        <w:ind w:firstLine="562"/>
        <w:rPr>
          <w:rFonts w:hint="default" w:ascii="Times New Roman" w:hAnsi="Times New Roman" w:cs="Times New Roman"/>
          <w:szCs w:val="28"/>
          <w:highlight w:val="none"/>
          <w:lang w:val="en-US" w:eastAsia="zh-CN"/>
        </w:rPr>
      </w:pPr>
      <w:bookmarkStart w:id="58" w:name="_Toc100784619"/>
      <w:bookmarkStart w:id="59" w:name="_Toc67911619"/>
      <w:r>
        <w:rPr>
          <w:rFonts w:hint="default" w:ascii="Times New Roman" w:hAnsi="Times New Roman" w:cs="Times New Roman"/>
          <w:szCs w:val="28"/>
          <w:highlight w:val="none"/>
          <w:lang w:val="en-US" w:eastAsia="zh-CN"/>
        </w:rPr>
        <w:t>1.</w:t>
      </w:r>
      <w:r>
        <w:rPr>
          <w:rFonts w:hint="eastAsia" w:ascii="Times New Roman" w:hAnsi="Times New Roman" w:cs="Times New Roman"/>
          <w:szCs w:val="28"/>
          <w:highlight w:val="none"/>
          <w:lang w:val="en-US" w:eastAsia="zh-CN"/>
        </w:rPr>
        <w:t>资金使用制度不完善</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我单位虽然制定了一系列内控制度，对制度的执行力不够，导致有章不循，内部控制制度未能发挥应有的作用。</w:t>
      </w:r>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2.</w:t>
      </w:r>
      <w:r>
        <w:rPr>
          <w:rFonts w:hint="eastAsia" w:ascii="Times New Roman" w:hAnsi="Times New Roman" w:cs="Times New Roman"/>
          <w:szCs w:val="28"/>
          <w:highlight w:val="none"/>
          <w:lang w:val="en-US" w:eastAsia="zh-CN"/>
        </w:rPr>
        <w:t>财政资金名目繁多，无法按专项资金的原则和要求进行管理。</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p>
    <w:p>
      <w:pPr>
        <w:pStyle w:val="2"/>
        <w:ind w:firstLine="0" w:firstLineChars="0"/>
        <w:jc w:val="left"/>
        <w:rPr>
          <w:rFonts w:hint="default" w:ascii="Times New Roman" w:hAnsi="Times New Roman" w:eastAsia="仿宋" w:cs="Times New Roman"/>
          <w:sz w:val="36"/>
          <w:szCs w:val="36"/>
          <w:highlight w:val="none"/>
          <w:lang w:bidi="en-US"/>
        </w:rPr>
      </w:pPr>
      <w:bookmarkStart w:id="60" w:name="_Toc67911620"/>
      <w:bookmarkStart w:id="61" w:name="_Toc100784620"/>
      <w:r>
        <w:rPr>
          <w:rFonts w:hint="default" w:ascii="Times New Roman" w:hAnsi="Times New Roman" w:eastAsia="仿宋" w:cs="Times New Roman"/>
          <w:sz w:val="36"/>
          <w:szCs w:val="36"/>
          <w:highlight w:val="none"/>
          <w:lang w:bidi="en-US"/>
        </w:rPr>
        <w:t>八、有关建议</w:t>
      </w:r>
    </w:p>
    <w:bookmarkEnd w:id="60"/>
    <w:bookmarkEnd w:id="61"/>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2"/>
        <w:ind w:firstLine="0" w:firstLineChars="0"/>
        <w:jc w:val="left"/>
        <w:rPr>
          <w:rFonts w:hint="default" w:ascii="Times New Roman" w:hAnsi="Times New Roman" w:eastAsia="仿宋" w:cs="Times New Roman"/>
          <w:sz w:val="36"/>
          <w:szCs w:val="36"/>
          <w:highlight w:val="none"/>
          <w:lang w:bidi="en-US"/>
        </w:rPr>
      </w:pPr>
    </w:p>
    <w:p>
      <w:pPr>
        <w:spacing w:line="360" w:lineRule="auto"/>
        <w:ind w:firstLine="560"/>
        <w:rPr>
          <w:rFonts w:hint="default" w:ascii="Times New Roman" w:hAnsi="Times New Roman" w:cs="Times New Roman"/>
          <w:szCs w:val="28"/>
          <w:highlight w:val="none"/>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p>
    <w:pPr>
      <w:pStyle w:val="9"/>
      <w:rPr>
        <w:rFonts w:ascii="仿宋_GB2312" w:eastAsia="仿宋_GB2312"/>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OWRkZTlmZTJlM2I3OWYzMzM4M2FiYjZmZWFkZWEifQ=="/>
  </w:docVars>
  <w:rsids>
    <w:rsidRoot w:val="00000000"/>
    <w:rsid w:val="1DE81558"/>
    <w:rsid w:val="1F9E494A"/>
    <w:rsid w:val="274F0C44"/>
    <w:rsid w:val="2C7F295F"/>
    <w:rsid w:val="2EEC7C5F"/>
    <w:rsid w:val="38BB5C9B"/>
    <w:rsid w:val="4A066DC5"/>
    <w:rsid w:val="4D2B001D"/>
    <w:rsid w:val="69E71DDD"/>
    <w:rsid w:val="6B231776"/>
    <w:rsid w:val="6B28502C"/>
    <w:rsid w:val="6D010D42"/>
    <w:rsid w:val="7F8D1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qFormat/>
    <w:uiPriority w:val="9"/>
    <w:pPr>
      <w:keepNext/>
      <w:keepLines/>
      <w:spacing w:before="260" w:after="260" w:line="416" w:lineRule="auto"/>
      <w:outlineLvl w:val="1"/>
    </w:pPr>
    <w:rPr>
      <w:rFonts w:ascii="等线 Light" w:hAnsi="等线 Light" w:eastAsia="等线 Light" w:cs="宋体"/>
      <w:b/>
      <w:bCs/>
      <w:sz w:val="32"/>
      <w:szCs w:val="32"/>
    </w:rPr>
  </w:style>
  <w:style w:type="paragraph" w:styleId="4">
    <w:name w:val="heading 3"/>
    <w:basedOn w:val="1"/>
    <w:next w:val="1"/>
    <w:link w:val="34"/>
    <w:qFormat/>
    <w:uiPriority w:val="9"/>
    <w:pPr>
      <w:keepNext/>
      <w:keepLines/>
      <w:spacing w:before="260" w:after="260" w:line="416" w:lineRule="auto"/>
      <w:outlineLvl w:val="2"/>
    </w:pPr>
    <w:rPr>
      <w:b/>
      <w:bCs/>
      <w:sz w:val="32"/>
      <w:szCs w:val="32"/>
    </w:rPr>
  </w:style>
  <w:style w:type="character" w:default="1" w:styleId="18">
    <w:name w:val="Default Paragraph Font"/>
    <w:qFormat/>
    <w:uiPriority w:val="1"/>
  </w:style>
  <w:style w:type="table" w:default="1" w:styleId="16">
    <w:name w:val="Normal Table"/>
    <w:qFormat/>
    <w:uiPriority w:val="99"/>
    <w:tblPr>
      <w:tblCellMar>
        <w:top w:w="0" w:type="dxa"/>
        <w:left w:w="108" w:type="dxa"/>
        <w:bottom w:w="0" w:type="dxa"/>
        <w:right w:w="108" w:type="dxa"/>
      </w:tblCellMar>
    </w:tblPr>
  </w:style>
  <w:style w:type="paragraph" w:styleId="5">
    <w:name w:val="annotation text"/>
    <w:basedOn w:val="1"/>
    <w:link w:val="31"/>
    <w:qFormat/>
    <w:uiPriority w:val="99"/>
    <w:pPr>
      <w:jc w:val="left"/>
    </w:pPr>
  </w:style>
  <w:style w:type="paragraph" w:styleId="6">
    <w:name w:val="toc 3"/>
    <w:basedOn w:val="1"/>
    <w:next w:val="1"/>
    <w:qFormat/>
    <w:uiPriority w:val="39"/>
    <w:pPr>
      <w:ind w:left="840" w:leftChars="400"/>
    </w:pPr>
  </w:style>
  <w:style w:type="paragraph" w:styleId="7">
    <w:name w:val="Date"/>
    <w:basedOn w:val="1"/>
    <w:next w:val="1"/>
    <w:link w:val="24"/>
    <w:qFormat/>
    <w:uiPriority w:val="99"/>
    <w:pPr>
      <w:ind w:left="100" w:leftChars="2500"/>
    </w:pPr>
  </w:style>
  <w:style w:type="paragraph" w:styleId="8">
    <w:name w:val="Balloon Text"/>
    <w:basedOn w:val="1"/>
    <w:link w:val="33"/>
    <w:qFormat/>
    <w:uiPriority w:val="99"/>
    <w:rPr>
      <w:sz w:val="18"/>
      <w:szCs w:val="18"/>
    </w:rPr>
  </w:style>
  <w:style w:type="paragraph" w:styleId="9">
    <w:name w:val="footer"/>
    <w:basedOn w:val="1"/>
    <w:link w:val="23"/>
    <w:qFormat/>
    <w:uiPriority w:val="99"/>
    <w:pPr>
      <w:tabs>
        <w:tab w:val="center" w:pos="4153"/>
        <w:tab w:val="right" w:pos="8306"/>
      </w:tabs>
      <w:snapToGrid w:val="0"/>
      <w:ind w:firstLine="0" w:firstLineChars="0"/>
      <w:jc w:val="left"/>
    </w:pPr>
    <w:rPr>
      <w:rFonts w:ascii="等线" w:hAnsi="等线" w:eastAsia="等线" w:cs="宋体"/>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宋体"/>
      <w:sz w:val="18"/>
      <w:szCs w:val="18"/>
    </w:rPr>
  </w:style>
  <w:style w:type="paragraph" w:styleId="11">
    <w:name w:val="toc 1"/>
    <w:basedOn w:val="1"/>
    <w:next w:val="1"/>
    <w:qFormat/>
    <w:uiPriority w:val="39"/>
  </w:style>
  <w:style w:type="paragraph" w:styleId="12">
    <w:name w:val="footnote text"/>
    <w:basedOn w:val="1"/>
    <w:link w:val="26"/>
    <w:qFormat/>
    <w:uiPriority w:val="99"/>
    <w:pPr>
      <w:snapToGrid w:val="0"/>
      <w:jc w:val="left"/>
    </w:pPr>
    <w:rPr>
      <w:sz w:val="18"/>
      <w:szCs w:val="18"/>
    </w:rPr>
  </w:style>
  <w:style w:type="paragraph" w:styleId="13">
    <w:name w:val="toc 2"/>
    <w:basedOn w:val="1"/>
    <w:next w:val="1"/>
    <w:qFormat/>
    <w:uiPriority w:val="39"/>
    <w:pPr>
      <w:ind w:left="420" w:leftChars="200"/>
    </w:pPr>
  </w:style>
  <w:style w:type="paragraph" w:styleId="14">
    <w:name w:val="Normal (Web)"/>
    <w:basedOn w:val="1"/>
    <w:qFormat/>
    <w:uiPriority w:val="99"/>
    <w:pPr>
      <w:spacing w:before="0" w:beforeAutospacing="1" w:after="0" w:afterAutospacing="1"/>
      <w:ind w:left="0" w:right="0"/>
      <w:jc w:val="left"/>
    </w:pPr>
    <w:rPr>
      <w:kern w:val="0"/>
      <w:sz w:val="24"/>
      <w:lang w:val="en-US" w:eastAsia="zh-CN"/>
    </w:rPr>
  </w:style>
  <w:style w:type="paragraph" w:styleId="15">
    <w:name w:val="annotation subject"/>
    <w:basedOn w:val="5"/>
    <w:next w:val="5"/>
    <w:link w:val="32"/>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qFormat/>
    <w:uiPriority w:val="99"/>
    <w:rPr>
      <w:color w:val="0563C1"/>
      <w:u w:val="single"/>
    </w:rPr>
  </w:style>
  <w:style w:type="character" w:styleId="20">
    <w:name w:val="annotation reference"/>
    <w:basedOn w:val="18"/>
    <w:qFormat/>
    <w:uiPriority w:val="99"/>
    <w:rPr>
      <w:sz w:val="21"/>
      <w:szCs w:val="21"/>
    </w:rPr>
  </w:style>
  <w:style w:type="character" w:styleId="21">
    <w:name w:val="footnote reference"/>
    <w:basedOn w:val="18"/>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qFormat/>
    <w:uiPriority w:val="99"/>
    <w:rPr>
      <w:rFonts w:ascii="Calibri" w:hAnsi="Calibri" w:eastAsia="仿宋_GB2312" w:cs="黑体"/>
      <w:sz w:val="28"/>
    </w:rPr>
  </w:style>
  <w:style w:type="character" w:customStyle="1" w:styleId="25">
    <w:name w:val="标题 2 Char"/>
    <w:basedOn w:val="18"/>
    <w:link w:val="3"/>
    <w:qFormat/>
    <w:uiPriority w:val="9"/>
    <w:rPr>
      <w:rFonts w:ascii="等线 Light" w:hAnsi="等线 Light" w:eastAsia="等线 Light" w:cs="宋体"/>
      <w:b/>
      <w:bCs/>
      <w:sz w:val="32"/>
      <w:szCs w:val="32"/>
    </w:rPr>
  </w:style>
  <w:style w:type="character" w:customStyle="1" w:styleId="26">
    <w:name w:val="脚注文本 Char"/>
    <w:basedOn w:val="18"/>
    <w:link w:val="12"/>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_cb8f93bb-3241-4062-93ad-bccc294d465b"/>
    <w:basedOn w:val="2"/>
    <w:next w:val="1"/>
    <w:qFormat/>
    <w:uiPriority w:val="39"/>
    <w:pPr>
      <w:widowControl/>
      <w:spacing w:before="240" w:after="0" w:line="259" w:lineRule="auto"/>
      <w:ind w:firstLine="0" w:firstLineChars="0"/>
      <w:jc w:val="left"/>
      <w:outlineLvl w:val="9"/>
    </w:pPr>
    <w:rPr>
      <w:rFonts w:ascii="等线 Light" w:hAnsi="等线 Light" w:eastAsia="等线 Light" w:cs="宋体"/>
      <w:b w:val="0"/>
      <w:bCs w:val="0"/>
      <w:color w:val="2F5597"/>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qFormat/>
    <w:uiPriority w:val="99"/>
    <w:rPr>
      <w:rFonts w:ascii="Calibri" w:hAnsi="Calibri" w:eastAsia="仿宋_GB2312" w:cs="黑体"/>
      <w:b/>
      <w:bCs/>
      <w:sz w:val="28"/>
    </w:rPr>
  </w:style>
  <w:style w:type="character" w:customStyle="1" w:styleId="33">
    <w:name w:val="批注框文本 Char"/>
    <w:basedOn w:val="18"/>
    <w:link w:val="8"/>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5.xml"/><Relationship Id="rId17" Type="http://schemas.openxmlformats.org/officeDocument/2006/relationships/customXml" Target="../customXml/item4.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85A4E86A-DDD8-4986-A4CA-450E8FD5B409}">
  <ds:schemaRefs/>
</ds:datastoreItem>
</file>

<file path=customXml/itemProps2.xml><?xml version="1.0" encoding="utf-8"?>
<ds:datastoreItem xmlns:ds="http://schemas.openxmlformats.org/officeDocument/2006/customXml" ds:itemID="{3a48e269-ed12-46c5-883f-b966ce642c06}">
  <ds:schemaRefs/>
</ds:datastoreItem>
</file>

<file path=customXml/itemProps3.xml><?xml version="1.0" encoding="utf-8"?>
<ds:datastoreItem xmlns:ds="http://schemas.openxmlformats.org/officeDocument/2006/customXml" ds:itemID="{4d8691a6-0647-4df2-868b-29fda56b08a6}">
  <ds:schemaRefs/>
</ds:datastoreItem>
</file>

<file path=customXml/itemProps4.xml><?xml version="1.0" encoding="utf-8"?>
<ds:datastoreItem xmlns:ds="http://schemas.openxmlformats.org/officeDocument/2006/customXml" ds:itemID="{3aea99d4-dac3-4545-97c3-e005593c7063}">
  <ds:schemaRefs/>
</ds:datastoreItem>
</file>

<file path=customXml/itemProps5.xml><?xml version="1.0" encoding="utf-8"?>
<ds:datastoreItem xmlns:ds="http://schemas.openxmlformats.org/officeDocument/2006/customXml" ds:itemID="{beec11ef-dbde-4577-97c9-461d5751b134}">
  <ds:schemaRefs/>
</ds:datastoreItem>
</file>

<file path=docProps/app.xml><?xml version="1.0" encoding="utf-8"?>
<Properties xmlns="http://schemas.openxmlformats.org/officeDocument/2006/extended-properties" xmlns:vt="http://schemas.openxmlformats.org/officeDocument/2006/docPropsVTypes">
  <Template>Normal</Template>
  <Pages>25</Pages>
  <Words>10240</Words>
  <Characters>10955</Characters>
  <Paragraphs>589</Paragraphs>
  <TotalTime>2</TotalTime>
  <ScaleCrop>false</ScaleCrop>
  <LinksUpToDate>false</LinksUpToDate>
  <CharactersWithSpaces>11010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WPS_1670517770</cp:lastModifiedBy>
  <cp:lastPrinted>2023-04-19T07:50:00Z</cp:lastPrinted>
  <dcterms:modified xsi:type="dcterms:W3CDTF">2023-11-23T04:06:49Z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940FFEA5D7A84548865889A2E3D22EFD_13</vt:lpwstr>
  </property>
</Properties>
</file>