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before="120" w:after="120" w:line="480" w:lineRule="auto"/>
        <w:ind w:firstLine="0" w:firstLineChars="0"/>
        <w:jc w:val="center"/>
        <w:rPr>
          <w:rFonts w:hint="default" w:ascii="Times New Roman" w:hAnsi="Times New Roman" w:cs="Times New Roman"/>
          <w:b/>
          <w:sz w:val="44"/>
          <w:szCs w:val="44"/>
        </w:rPr>
      </w:pPr>
      <w:r>
        <w:rPr>
          <w:rFonts w:hint="default" w:ascii="Times New Roman" w:hAnsi="Times New Roman" w:cs="Times New Roman"/>
          <w:b/>
          <w:sz w:val="44"/>
          <w:szCs w:val="44"/>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cs="Times New Roman"/>
          <w:kern w:val="0"/>
          <w:sz w:val="30"/>
          <w:szCs w:val="30"/>
          <w:lang w:bidi="en-US"/>
        </w:rPr>
      </w:pPr>
    </w:p>
    <w:p>
      <w:pPr>
        <w:spacing w:line="480" w:lineRule="auto"/>
        <w:ind w:firstLine="1411" w:firstLineChars="441"/>
        <w:jc w:val="left"/>
        <w:rPr>
          <w:rFonts w:hint="default" w:ascii="Times New Roman" w:hAnsi="Times New Roman" w:eastAsia="仿宋_GB2312" w:cs="Times New Roman"/>
          <w:kern w:val="0"/>
          <w:sz w:val="32"/>
          <w:szCs w:val="32"/>
          <w:lang w:val="en-US" w:eastAsia="zh-CN" w:bidi="en-US"/>
        </w:rPr>
      </w:pPr>
      <w:r>
        <w:rPr>
          <w:rFonts w:hint="default" w:ascii="Times New Roman" w:hAnsi="Times New Roman" w:cs="Times New Roman"/>
          <w:kern w:val="0"/>
          <w:sz w:val="32"/>
          <w:szCs w:val="32"/>
          <w:lang w:bidi="en-US"/>
        </w:rPr>
        <w:t xml:space="preserve">项目名称： </w:t>
      </w:r>
      <w:r>
        <w:rPr>
          <w:rFonts w:hint="eastAsia" w:ascii="Times New Roman" w:hAnsi="Times New Roman" w:cs="Times New Roman"/>
          <w:lang w:val="en-US" w:eastAsia="zh-CN"/>
        </w:rPr>
        <w:t>乌财教科【2021】96号文关于提前下达2022年城乡义务教育项目直达资金校舍安全保障机制经费</w:t>
      </w:r>
    </w:p>
    <w:p>
      <w:pPr>
        <w:spacing w:line="480" w:lineRule="auto"/>
        <w:ind w:left="280" w:leftChars="100" w:firstLine="1091" w:firstLineChars="341"/>
        <w:jc w:val="left"/>
        <w:rPr>
          <w:rFonts w:hint="eastAsia" w:ascii="Times New Roman" w:hAnsi="Times New Roman" w:eastAsia="仿宋_GB2312" w:cs="Times New Roman"/>
          <w:kern w:val="0"/>
          <w:sz w:val="32"/>
          <w:szCs w:val="32"/>
          <w:lang w:eastAsia="zh-CN" w:bidi="en-US"/>
        </w:rPr>
      </w:pPr>
      <w:r>
        <w:rPr>
          <w:rFonts w:hint="default" w:ascii="Times New Roman" w:hAnsi="Times New Roman" w:cs="Times New Roman"/>
          <w:kern w:val="0"/>
          <w:sz w:val="32"/>
          <w:szCs w:val="32"/>
          <w:lang w:bidi="en-US"/>
        </w:rPr>
        <w:t>项目单位：</w:t>
      </w:r>
      <w:r>
        <w:rPr>
          <w:rFonts w:hint="eastAsia" w:ascii="Times New Roman" w:hAnsi="Times New Roman" w:cs="Times New Roman"/>
          <w:kern w:val="0"/>
          <w:sz w:val="32"/>
          <w:szCs w:val="32"/>
          <w:lang w:val="en-US" w:eastAsia="zh-CN" w:bidi="en-US"/>
        </w:rPr>
        <w:t>乌鲁木齐县小渠子中学</w:t>
      </w:r>
    </w:p>
    <w:p>
      <w:pPr>
        <w:spacing w:line="480" w:lineRule="auto"/>
        <w:ind w:left="280" w:leftChars="100" w:firstLine="1091" w:firstLineChars="341"/>
        <w:jc w:val="left"/>
        <w:rPr>
          <w:rFonts w:hint="eastAsia" w:ascii="Times New Roman" w:hAnsi="Times New Roman" w:eastAsia="仿宋_GB2312" w:cs="Times New Roman"/>
          <w:kern w:val="0"/>
          <w:sz w:val="32"/>
          <w:szCs w:val="32"/>
          <w:lang w:eastAsia="zh-CN" w:bidi="en-US"/>
        </w:rPr>
      </w:pPr>
      <w:r>
        <w:rPr>
          <w:rFonts w:hint="default" w:ascii="Times New Roman" w:hAnsi="Times New Roman" w:cs="Times New Roman"/>
          <w:kern w:val="0"/>
          <w:sz w:val="32"/>
          <w:szCs w:val="32"/>
          <w:lang w:bidi="en-US"/>
        </w:rPr>
        <w:t>主管部门：</w:t>
      </w:r>
      <w:r>
        <w:rPr>
          <w:rFonts w:hint="eastAsia" w:ascii="Times New Roman" w:hAnsi="Times New Roman" w:cs="Times New Roman"/>
          <w:kern w:val="0"/>
          <w:sz w:val="32"/>
          <w:szCs w:val="32"/>
          <w:lang w:val="en-US" w:eastAsia="zh-CN" w:bidi="en-US"/>
        </w:rPr>
        <w:t>乌鲁木齐县教育局</w:t>
      </w:r>
    </w:p>
    <w:p>
      <w:pPr>
        <w:spacing w:line="480" w:lineRule="auto"/>
        <w:ind w:firstLine="1411" w:firstLineChars="441"/>
        <w:jc w:val="left"/>
        <w:rPr>
          <w:rFonts w:hint="default" w:ascii="Times New Roman" w:hAnsi="Times New Roman" w:cs="Times New Roman"/>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jc w:val="center"/>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2023年04月</w:t>
      </w:r>
    </w:p>
    <w:p>
      <w:pPr>
        <w:spacing w:line="480" w:lineRule="auto"/>
        <w:ind w:firstLine="0" w:firstLineChars="0"/>
        <w:jc w:val="center"/>
        <w:rPr>
          <w:rFonts w:hint="default" w:ascii="Times New Roman" w:hAnsi="Times New Roman" w:cs="Times New Roman"/>
          <w:kern w:val="0"/>
          <w:sz w:val="32"/>
          <w:szCs w:val="32"/>
          <w:lang w:bidi="en-US"/>
        </w:rPr>
      </w:pPr>
    </w:p>
    <w:p>
      <w:pPr>
        <w:tabs>
          <w:tab w:val="left" w:pos="3324"/>
        </w:tabs>
        <w:spacing w:line="480" w:lineRule="auto"/>
        <w:ind w:firstLine="0" w:firstLineChars="0"/>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ab/>
      </w:r>
    </w:p>
    <w:p>
      <w:pPr>
        <w:ind w:firstLine="640"/>
        <w:rPr>
          <w:rFonts w:hint="default" w:ascii="Times New Roman" w:hAnsi="Times New Roman" w:cs="Times New Roman"/>
          <w:kern w:val="0"/>
          <w:sz w:val="32"/>
          <w:szCs w:val="32"/>
          <w:lang w:bidi="en-US"/>
        </w:rPr>
      </w:pPr>
    </w:p>
    <w:sdt>
      <w:sdtPr>
        <w:rPr>
          <w:rFonts w:hint="default" w:ascii="Times New Roman" w:hAnsi="Times New Roman" w:eastAsia="仿宋_GB2312" w:cs="Times New Roman"/>
          <w:color w:val="auto"/>
          <w:kern w:val="2"/>
          <w:sz w:val="28"/>
          <w:szCs w:val="22"/>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lang w:val="zh-CN"/>
        </w:rPr>
      </w:sdtEndPr>
      <w:sdtContent>
        <w:p>
          <w:pPr>
            <w:pStyle w:val="32"/>
            <w:ind w:firstLine="560"/>
            <w:jc w:val="center"/>
            <w:rPr>
              <w:rFonts w:hint="default" w:ascii="Times New Roman" w:hAnsi="Times New Roman" w:cs="Times New Roman"/>
            </w:rPr>
          </w:pPr>
          <w:r>
            <w:rPr>
              <w:rFonts w:hint="default" w:ascii="Times New Roman" w:hAnsi="Times New Roman" w:cs="Times New Roman"/>
              <w:lang w:val="zh-CN"/>
            </w:rPr>
            <w:t>目录</w:t>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"_Toc100784583"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一、基本情况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_Toc100784583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"_Toc100784584"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（一）项目概况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_Toc100784584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"_Toc100784585"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（二）项目绩效目标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_Toc100784585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"_Toc100784586"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二、绩效评价工作开展情况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_Toc100784586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"_Toc100784587"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（一）绩效评价目的、对象和范围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_Toc100784587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"_Toc100784588" </w:instrText>
          </w:r>
          <w:r>
            <w:rPr>
              <w:rFonts w:hint="default" w:ascii="Times New Roman" w:hAnsi="Times New Roman" w:cs="Times New Roman"/>
            </w:rPr>
            <w:fldChar w:fldCharType="separate"/>
          </w:r>
          <w:r>
            <w:rPr>
              <w:rStyle w:val="21"/>
              <w:rFonts w:hint="default" w:ascii="Times New Roman" w:hAnsi="Times New Roman" w:cs="Times New Roman"/>
            </w:rPr>
            <w:t>1.评价目的</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_Toc100784588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"_Toc100784589" </w:instrText>
          </w:r>
          <w:r>
            <w:rPr>
              <w:rFonts w:hint="default" w:ascii="Times New Roman" w:hAnsi="Times New Roman" w:cs="Times New Roman"/>
            </w:rPr>
            <w:fldChar w:fldCharType="separate"/>
          </w:r>
          <w:r>
            <w:rPr>
              <w:rStyle w:val="21"/>
              <w:rFonts w:hint="default" w:ascii="Times New Roman" w:hAnsi="Times New Roman" w:cs="Times New Roman"/>
            </w:rPr>
            <w:t>2.评价对象和范围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_Toc100784589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"_Toc100784590"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（二）绩效评价原则、指标体系、方法及标准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_Toc100784590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"_Toc100784591" </w:instrText>
          </w:r>
          <w:r>
            <w:rPr>
              <w:rFonts w:hint="default" w:ascii="Times New Roman" w:hAnsi="Times New Roman" w:cs="Times New Roman"/>
            </w:rPr>
            <w:fldChar w:fldCharType="separate"/>
          </w:r>
          <w:r>
            <w:rPr>
              <w:rStyle w:val="21"/>
              <w:rFonts w:hint="default" w:ascii="Times New Roman" w:hAnsi="Times New Roman" w:cs="Times New Roman"/>
            </w:rPr>
            <w:t>1.评价原则</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_Toc100784591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"_Toc100784592" </w:instrText>
          </w:r>
          <w:r>
            <w:rPr>
              <w:rFonts w:hint="default" w:ascii="Times New Roman" w:hAnsi="Times New Roman" w:cs="Times New Roman"/>
            </w:rPr>
            <w:fldChar w:fldCharType="separate"/>
          </w:r>
          <w:r>
            <w:rPr>
              <w:rStyle w:val="21"/>
              <w:rFonts w:hint="default" w:ascii="Times New Roman" w:hAnsi="Times New Roman" w:cs="Times New Roman"/>
            </w:rPr>
            <w:t>2.评价指标体系</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_Toc100784592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"_Toc100784593" </w:instrText>
          </w:r>
          <w:r>
            <w:rPr>
              <w:rFonts w:hint="default" w:ascii="Times New Roman" w:hAnsi="Times New Roman" w:cs="Times New Roman"/>
            </w:rPr>
            <w:fldChar w:fldCharType="separate"/>
          </w:r>
          <w:r>
            <w:rPr>
              <w:rStyle w:val="21"/>
              <w:rFonts w:hint="default" w:ascii="Times New Roman" w:hAnsi="Times New Roman" w:cs="Times New Roman"/>
            </w:rPr>
            <w:t>3.评价方法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_Toc100784593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"_Toc100784594" </w:instrText>
          </w:r>
          <w:r>
            <w:rPr>
              <w:rFonts w:hint="default" w:ascii="Times New Roman" w:hAnsi="Times New Roman" w:cs="Times New Roman"/>
            </w:rPr>
            <w:fldChar w:fldCharType="separate"/>
          </w:r>
          <w:r>
            <w:rPr>
              <w:rStyle w:val="21"/>
              <w:rFonts w:hint="default" w:ascii="Times New Roman" w:hAnsi="Times New Roman" w:cs="Times New Roman"/>
            </w:rPr>
            <w:t>4.评价标准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_Toc100784594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"_Toc100784595"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（三）绩效评价工作过程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_Toc100784595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"_Toc100784596"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三、综合评价情况及评价结论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_Toc100784596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"_Toc100784597"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_Toc100784597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"_Toc100784598"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（二）主要绩效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_Toc100784598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"_Toc100784599"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四、绩效评价指标分析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_Toc100784599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"_Toc100784600"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（一）项目决策情况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_Toc100784600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"_Toc100784601" </w:instrText>
          </w:r>
          <w:r>
            <w:rPr>
              <w:rFonts w:hint="default" w:ascii="Times New Roman" w:hAnsi="Times New Roman" w:cs="Times New Roman"/>
            </w:rPr>
            <w:fldChar w:fldCharType="separate"/>
          </w:r>
          <w:r>
            <w:rPr>
              <w:rStyle w:val="21"/>
              <w:rFonts w:hint="default" w:ascii="Times New Roman" w:hAnsi="Times New Roman" w:cs="Times New Roman"/>
            </w:rPr>
            <w:t>1.项目立项</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_Toc100784601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"_Toc100784602" </w:instrText>
          </w:r>
          <w:r>
            <w:rPr>
              <w:rFonts w:hint="default" w:ascii="Times New Roman" w:hAnsi="Times New Roman" w:cs="Times New Roman"/>
            </w:rPr>
            <w:fldChar w:fldCharType="separate"/>
          </w:r>
          <w:r>
            <w:rPr>
              <w:rStyle w:val="21"/>
              <w:rFonts w:hint="default" w:ascii="Times New Roman" w:hAnsi="Times New Roman" w:cs="Times New Roman"/>
            </w:rPr>
            <w:t>2.绩效目标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_Toc100784602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"_Toc100784603" </w:instrText>
          </w:r>
          <w:r>
            <w:rPr>
              <w:rFonts w:hint="default" w:ascii="Times New Roman" w:hAnsi="Times New Roman" w:cs="Times New Roman"/>
            </w:rPr>
            <w:fldChar w:fldCharType="separate"/>
          </w:r>
          <w:r>
            <w:rPr>
              <w:rStyle w:val="21"/>
              <w:rFonts w:hint="default" w:ascii="Times New Roman" w:hAnsi="Times New Roman" w:cs="Times New Roman"/>
            </w:rPr>
            <w:t>3.资金投入</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_Toc100784603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"_Toc100784604"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（二）项目过程情况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_Toc100784604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"_Toc100784605" </w:instrText>
          </w:r>
          <w:r>
            <w:rPr>
              <w:rFonts w:hint="default" w:ascii="Times New Roman" w:hAnsi="Times New Roman" w:cs="Times New Roman"/>
            </w:rPr>
            <w:fldChar w:fldCharType="separate"/>
          </w:r>
          <w:r>
            <w:rPr>
              <w:rStyle w:val="21"/>
              <w:rFonts w:hint="default" w:ascii="Times New Roman" w:hAnsi="Times New Roman" w:cs="Times New Roman"/>
            </w:rPr>
            <w:t>1.资金管理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_Toc100784605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"_Toc100784606" </w:instrText>
          </w:r>
          <w:r>
            <w:rPr>
              <w:rFonts w:hint="default" w:ascii="Times New Roman" w:hAnsi="Times New Roman" w:cs="Times New Roman"/>
            </w:rPr>
            <w:fldChar w:fldCharType="separate"/>
          </w:r>
          <w:r>
            <w:rPr>
              <w:rStyle w:val="21"/>
              <w:rFonts w:hint="default" w:ascii="Times New Roman" w:hAnsi="Times New Roman" w:cs="Times New Roman"/>
            </w:rPr>
            <w:t>2.组织实施</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_Toc100784606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"_Toc100784607"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（三）项目产出情况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_Toc100784607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"_Toc100784608" </w:instrText>
          </w:r>
          <w:r>
            <w:rPr>
              <w:rFonts w:hint="default" w:ascii="Times New Roman" w:hAnsi="Times New Roman" w:cs="Times New Roman"/>
            </w:rPr>
            <w:fldChar w:fldCharType="separate"/>
          </w:r>
          <w:r>
            <w:rPr>
              <w:rStyle w:val="21"/>
              <w:rFonts w:hint="default" w:ascii="Times New Roman" w:hAnsi="Times New Roman" w:cs="Times New Roman"/>
            </w:rPr>
            <w:t>1.产出数量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_Toc100784608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"_Toc100784609" </w:instrText>
          </w:r>
          <w:r>
            <w:rPr>
              <w:rFonts w:hint="default" w:ascii="Times New Roman" w:hAnsi="Times New Roman" w:cs="Times New Roman"/>
            </w:rPr>
            <w:fldChar w:fldCharType="separate"/>
          </w:r>
          <w:r>
            <w:rPr>
              <w:rStyle w:val="21"/>
              <w:rFonts w:hint="default" w:ascii="Times New Roman" w:hAnsi="Times New Roman" w:cs="Times New Roman"/>
            </w:rPr>
            <w:t>2.产出质量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_Toc100784609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"_Toc100784610" </w:instrText>
          </w:r>
          <w:r>
            <w:rPr>
              <w:rFonts w:hint="default" w:ascii="Times New Roman" w:hAnsi="Times New Roman" w:cs="Times New Roman"/>
            </w:rPr>
            <w:fldChar w:fldCharType="separate"/>
          </w:r>
          <w:r>
            <w:rPr>
              <w:rStyle w:val="21"/>
              <w:rFonts w:hint="default" w:ascii="Times New Roman" w:hAnsi="Times New Roman" w:cs="Times New Roman"/>
            </w:rPr>
            <w:t>3.产出时效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_Toc100784610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"_Toc100784611" </w:instrText>
          </w:r>
          <w:r>
            <w:rPr>
              <w:rFonts w:hint="default" w:ascii="Times New Roman" w:hAnsi="Times New Roman" w:cs="Times New Roman"/>
            </w:rPr>
            <w:fldChar w:fldCharType="separate"/>
          </w:r>
          <w:r>
            <w:rPr>
              <w:rStyle w:val="21"/>
              <w:rFonts w:hint="default" w:ascii="Times New Roman" w:hAnsi="Times New Roman" w:cs="Times New Roman"/>
            </w:rPr>
            <w:t>4.产出成本</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_Toc100784611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"_Toc100784612"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（四）项目效益情况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_Toc100784612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"_Toc100784613" </w:instrText>
          </w:r>
          <w:r>
            <w:rPr>
              <w:rFonts w:hint="default" w:ascii="Times New Roman" w:hAnsi="Times New Roman" w:cs="Times New Roman"/>
            </w:rPr>
            <w:fldChar w:fldCharType="separate"/>
          </w:r>
          <w:r>
            <w:rPr>
              <w:rStyle w:val="21"/>
              <w:rFonts w:hint="default" w:ascii="Times New Roman" w:hAnsi="Times New Roman" w:cs="Times New Roman"/>
            </w:rPr>
            <w:t>1.项目效益</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_Toc100784613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"_Toc100784614" </w:instrText>
          </w:r>
          <w:r>
            <w:rPr>
              <w:rFonts w:hint="default" w:ascii="Times New Roman" w:hAnsi="Times New Roman" w:cs="Times New Roman"/>
            </w:rPr>
            <w:fldChar w:fldCharType="separate"/>
          </w:r>
          <w:r>
            <w:rPr>
              <w:rStyle w:val="21"/>
              <w:rFonts w:hint="default" w:ascii="Times New Roman" w:hAnsi="Times New Roman" w:cs="Times New Roman"/>
            </w:rPr>
            <w:t>2. 满意度指标完成情况分析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_Toc100784614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"_Toc100784615"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五、预算执行进度与绩效指标偏差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_Toc100784615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"_Toc100784616"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六、主要经验及做法、存在的问题及原因分析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_Toc100784616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"_Toc100784617"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（一）主要经验及做法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_Toc100784617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"_Toc100784618"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_Toc100784618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"_Toc100784619"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七、其他需要说明的问题</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_Toc100784619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"_Toc100784620"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八、有关建议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_Toc100784620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ind w:firstLine="562"/>
            <w:rPr>
              <w:rFonts w:hint="default" w:ascii="Times New Roman" w:hAnsi="Times New Roman" w:cs="Times New Roman"/>
            </w:rPr>
          </w:pPr>
          <w:r>
            <w:rPr>
              <w:rFonts w:hint="default" w:ascii="Times New Roman" w:hAnsi="Times New Roman" w:cs="Times New Roman"/>
              <w:b/>
              <w:bCs/>
              <w:lang w:val="zh-CN"/>
            </w:rPr>
            <w:fldChar w:fldCharType="end"/>
          </w:r>
        </w:p>
      </w:sdtContent>
    </w:sdt>
    <w:p>
      <w:pPr>
        <w:ind w:firstLine="598" w:firstLineChars="187"/>
        <w:rPr>
          <w:rFonts w:hint="default" w:ascii="Times New Roman" w:hAnsi="Times New Roman" w:cs="Times New Roman"/>
          <w:sz w:val="32"/>
          <w:szCs w:val="32"/>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0" w:name="_Toc100784583"/>
      <w:bookmarkStart w:id="1" w:name="_Toc67911601"/>
      <w:r>
        <w:rPr>
          <w:rFonts w:hint="default" w:ascii="Times New Roman" w:hAnsi="Times New Roman" w:eastAsia="仿宋" w:cs="Times New Roman"/>
          <w:sz w:val="36"/>
          <w:szCs w:val="36"/>
          <w:lang w:bidi="en-US"/>
        </w:rPr>
        <w:t>一、基本情况</w:t>
      </w:r>
      <w:bookmarkEnd w:id="0"/>
      <w:bookmarkEnd w:id="1"/>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 w:name="_Toc67911602"/>
      <w:bookmarkStart w:id="3" w:name="_Toc100784584"/>
      <w:r>
        <w:rPr>
          <w:rFonts w:hint="default" w:ascii="Times New Roman" w:hAnsi="Times New Roman" w:eastAsia="仿宋" w:cs="Times New Roman"/>
          <w:sz w:val="32"/>
          <w:szCs w:val="32"/>
          <w:lang w:val="en-US" w:eastAsia="zh-CN" w:bidi="en-US"/>
        </w:rPr>
        <w:t>（一）项目概况</w:t>
      </w:r>
      <w:bookmarkEnd w:id="2"/>
      <w:bookmarkEnd w:id="3"/>
    </w:p>
    <w:p>
      <w:pPr>
        <w:spacing w:line="360" w:lineRule="auto"/>
        <w:ind w:firstLine="560"/>
        <w:rPr>
          <w:rFonts w:hint="eastAsia" w:ascii="Times New Roman" w:hAnsi="Times New Roman" w:cs="Times New Roman"/>
          <w:lang w:val="en-US" w:eastAsia="zh-CN"/>
        </w:rPr>
      </w:pPr>
      <w:r>
        <w:rPr>
          <w:rFonts w:hint="default" w:ascii="Times New Roman" w:hAnsi="Times New Roman" w:cs="Times New Roman"/>
          <w:lang w:val="en-US" w:eastAsia="zh-CN"/>
        </w:rPr>
        <w:t>根据《</w:t>
      </w:r>
      <w:r>
        <w:rPr>
          <w:rFonts w:hint="eastAsia" w:ascii="Times New Roman" w:hAnsi="Times New Roman" w:cs="Times New Roman"/>
          <w:lang w:val="en-US" w:eastAsia="zh-CN"/>
        </w:rPr>
        <w:t>乌财教科【2021】96号文关于提前下达2022年城乡义务教育项目直达资金校舍安全保障机制经费</w:t>
      </w:r>
      <w:r>
        <w:rPr>
          <w:rFonts w:hint="default" w:ascii="Times New Roman" w:hAnsi="Times New Roman" w:cs="Times New Roman"/>
          <w:lang w:val="en-US" w:eastAsia="zh-CN"/>
        </w:rPr>
        <w:t>》</w:t>
      </w:r>
      <w:r>
        <w:rPr>
          <w:rFonts w:hint="eastAsia" w:ascii="Times New Roman" w:hAnsi="Times New Roman" w:cs="Times New Roman"/>
          <w:lang w:val="en-US" w:eastAsia="zh-CN"/>
        </w:rPr>
        <w:t>的</w:t>
      </w:r>
      <w:r>
        <w:rPr>
          <w:rFonts w:hint="default" w:ascii="Times New Roman" w:hAnsi="Times New Roman" w:cs="Times New Roman"/>
          <w:lang w:val="en-US" w:eastAsia="zh-CN"/>
        </w:rPr>
        <w:t>相关文件，</w:t>
      </w:r>
      <w:r>
        <w:rPr>
          <w:rFonts w:hint="eastAsia" w:ascii="Times New Roman" w:hAnsi="Times New Roman" w:cs="Times New Roman"/>
          <w:lang w:val="en-US" w:eastAsia="zh-CN"/>
        </w:rPr>
        <w:t>小渠子中学改扩建300立方米消防水池及附属设施已完成基础设施，由于疫情原因，后续工作未全部施工完毕，根据进度实施，支付了160.6万元，剩余的资金，已纳入2023年预算中，施工完成后，支付剩余的尾款。</w:t>
      </w:r>
    </w:p>
    <w:p>
      <w:pPr>
        <w:spacing w:line="360" w:lineRule="auto"/>
        <w:ind w:firstLine="560"/>
        <w:rPr>
          <w:rFonts w:hint="default" w:ascii="Times New Roman" w:hAnsi="Times New Roman" w:cs="Times New Roman"/>
          <w:lang w:val="en-US" w:eastAsia="zh-CN"/>
        </w:rPr>
      </w:pPr>
      <w:r>
        <w:rPr>
          <w:rFonts w:hint="default" w:ascii="Times New Roman" w:hAnsi="Times New Roman" w:cs="Times New Roman"/>
          <w:lang w:val="en-US" w:eastAsia="zh-CN"/>
        </w:rPr>
        <w:t>经</w:t>
      </w:r>
      <w:r>
        <w:rPr>
          <w:rFonts w:hint="eastAsia" w:ascii="Times New Roman" w:hAnsi="Times New Roman" w:cs="Times New Roman"/>
          <w:lang w:val="en-US" w:eastAsia="zh-CN"/>
        </w:rPr>
        <w:t>乌财教科【2021】96号</w:t>
      </w:r>
      <w:r>
        <w:rPr>
          <w:rFonts w:hint="default" w:ascii="Times New Roman" w:hAnsi="Times New Roman" w:cs="Times New Roman"/>
          <w:lang w:val="en-US" w:eastAsia="zh-CN"/>
        </w:rPr>
        <w:t>文件批准，项目系2022年中央资金，共安排预算</w:t>
      </w:r>
      <w:r>
        <w:rPr>
          <w:rFonts w:hint="eastAsia" w:ascii="Times New Roman" w:hAnsi="Times New Roman" w:cs="Times New Roman"/>
          <w:lang w:val="en-US" w:eastAsia="zh-CN"/>
        </w:rPr>
        <w:t>240</w:t>
      </w:r>
      <w:r>
        <w:rPr>
          <w:rFonts w:hint="default" w:ascii="Times New Roman" w:hAnsi="Times New Roman" w:cs="Times New Roman"/>
          <w:lang w:val="en-US" w:eastAsia="zh-CN"/>
        </w:rPr>
        <w:t>万元，于2022年年中追加预算批复项目，资金到位</w:t>
      </w:r>
      <w:r>
        <w:rPr>
          <w:rFonts w:hint="eastAsia" w:ascii="Times New Roman" w:hAnsi="Times New Roman" w:cs="Times New Roman"/>
          <w:lang w:val="en-US" w:eastAsia="zh-CN"/>
        </w:rPr>
        <w:t>，</w:t>
      </w:r>
      <w:r>
        <w:rPr>
          <w:rFonts w:hint="default" w:ascii="Times New Roman" w:hAnsi="Times New Roman" w:cs="Times New Roman"/>
          <w:lang w:val="en-US" w:eastAsia="zh-CN"/>
        </w:rPr>
        <w:t>全年预算数</w:t>
      </w:r>
      <w:r>
        <w:rPr>
          <w:rFonts w:hint="eastAsia" w:ascii="Times New Roman" w:hAnsi="Times New Roman" w:cs="Times New Roman"/>
          <w:lang w:val="en-US" w:eastAsia="zh-CN"/>
        </w:rPr>
        <w:t>240</w:t>
      </w:r>
      <w:r>
        <w:rPr>
          <w:rFonts w:hint="default" w:ascii="Times New Roman" w:hAnsi="Times New Roman" w:cs="Times New Roman"/>
          <w:lang w:val="en-US" w:eastAsia="zh-CN"/>
        </w:rPr>
        <w:t>万元，全年执行</w:t>
      </w:r>
      <w:r>
        <w:rPr>
          <w:rFonts w:hint="eastAsia" w:ascii="Times New Roman" w:hAnsi="Times New Roman" w:cs="Times New Roman"/>
          <w:lang w:val="en-US" w:eastAsia="zh-CN"/>
        </w:rPr>
        <w:t>160.6</w:t>
      </w:r>
      <w:r>
        <w:rPr>
          <w:rFonts w:hint="default" w:ascii="Times New Roman" w:hAnsi="Times New Roman" w:cs="Times New Roman"/>
          <w:lang w:val="en-US" w:eastAsia="zh-CN"/>
        </w:rPr>
        <w:t>万元，执行率</w:t>
      </w:r>
      <w:r>
        <w:rPr>
          <w:rFonts w:hint="eastAsia" w:ascii="Times New Roman" w:hAnsi="Times New Roman" w:cs="Times New Roman"/>
          <w:lang w:val="en-US" w:eastAsia="zh-CN"/>
        </w:rPr>
        <w:t>66.92</w:t>
      </w:r>
      <w:r>
        <w:rPr>
          <w:rFonts w:hint="default" w:ascii="Times New Roman" w:hAnsi="Times New Roman" w:cs="Times New Roman"/>
          <w:lang w:val="en-US" w:eastAsia="zh-CN"/>
        </w:rPr>
        <w:t>%。</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4" w:name="_Toc67911603"/>
      <w:bookmarkStart w:id="5" w:name="_Toc100784585"/>
      <w:r>
        <w:rPr>
          <w:rFonts w:hint="default" w:ascii="Times New Roman" w:hAnsi="Times New Roman" w:eastAsia="仿宋" w:cs="Times New Roman"/>
          <w:sz w:val="32"/>
          <w:szCs w:val="32"/>
          <w:lang w:val="en-US" w:eastAsia="zh-CN" w:bidi="en-US"/>
        </w:rPr>
        <w:t>（二）项目绩效目标</w:t>
      </w:r>
      <w:bookmarkEnd w:id="4"/>
      <w:bookmarkEnd w:id="5"/>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szCs w:val="28"/>
        </w:rPr>
        <w:t>〔2018〕56号</w:t>
      </w:r>
      <w:bookmarkEnd w:id="6"/>
      <w:r>
        <w:rPr>
          <w:rFonts w:hint="default"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default" w:ascii="Times New Roman" w:hAnsi="Times New Roman" w:eastAsia="仿宋" w:cs="Times New Roman"/>
          <w:sz w:val="36"/>
          <w:szCs w:val="36"/>
          <w:lang w:bidi="en-US"/>
        </w:rPr>
      </w:pPr>
      <w:r>
        <w:rPr>
          <w:rFonts w:hint="default" w:ascii="Times New Roman" w:hAnsi="Times New Roman" w:cs="Times New Roman"/>
          <w:szCs w:val="28"/>
        </w:rPr>
        <w:t>该项目绩效目标设置项目期</w:t>
      </w:r>
      <w:r>
        <w:rPr>
          <w:rFonts w:hint="eastAsia" w:ascii="Times New Roman" w:hAnsi="Times New Roman" w:cs="Times New Roman"/>
          <w:szCs w:val="28"/>
          <w:lang w:val="en-US" w:eastAsia="zh-CN"/>
        </w:rPr>
        <w:t>一</w:t>
      </w:r>
      <w:r>
        <w:rPr>
          <w:rFonts w:hint="default" w:ascii="Times New Roman" w:hAnsi="Times New Roman" w:cs="Times New Roman"/>
          <w:szCs w:val="28"/>
        </w:rPr>
        <w:t>年，为总体绩效目标，预计在</w:t>
      </w:r>
      <w:r>
        <w:rPr>
          <w:rFonts w:hint="eastAsia" w:ascii="Times New Roman" w:hAnsi="Times New Roman" w:cs="Times New Roman"/>
          <w:szCs w:val="28"/>
          <w:lang w:val="en-US" w:eastAsia="zh-CN"/>
        </w:rPr>
        <w:t>一</w:t>
      </w:r>
      <w:r>
        <w:rPr>
          <w:rFonts w:hint="default" w:ascii="Times New Roman" w:hAnsi="Times New Roman" w:cs="Times New Roman"/>
          <w:szCs w:val="28"/>
        </w:rPr>
        <w:t>年建设期间，计划完成小渠子中学改扩建300立方米消防水池及附属设施</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目前</w:t>
      </w:r>
      <w:r>
        <w:rPr>
          <w:rFonts w:hint="default" w:ascii="Times New Roman" w:hAnsi="Times New Roman" w:cs="Times New Roman"/>
          <w:szCs w:val="28"/>
        </w:rPr>
        <w:t>改扩建300立方米消防水池</w:t>
      </w:r>
      <w:r>
        <w:rPr>
          <w:rFonts w:hint="eastAsia" w:ascii="Times New Roman" w:hAnsi="Times New Roman" w:cs="Times New Roman"/>
          <w:szCs w:val="28"/>
          <w:lang w:val="en-US" w:eastAsia="zh-CN"/>
        </w:rPr>
        <w:t>已竣工，</w:t>
      </w:r>
      <w:r>
        <w:rPr>
          <w:rFonts w:hint="eastAsia" w:ascii="Times New Roman" w:hAnsi="Times New Roman" w:cs="Times New Roman"/>
          <w:lang w:val="en-US" w:eastAsia="zh-CN"/>
        </w:rPr>
        <w:t>由于疫情原因，附属设施工作未全部施工完毕。</w:t>
      </w:r>
      <w:bookmarkStart w:id="7" w:name="_Toc67911604"/>
      <w:bookmarkStart w:id="8" w:name="_Toc100784586"/>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二、绩效评价工作开展情况</w:t>
      </w:r>
      <w:bookmarkEnd w:id="7"/>
      <w:bookmarkEnd w:id="8"/>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9" w:name="_Toc100784587"/>
      <w:bookmarkStart w:id="10" w:name="_Toc67911605"/>
      <w:r>
        <w:rPr>
          <w:rFonts w:hint="default" w:ascii="Times New Roman" w:hAnsi="Times New Roman" w:eastAsia="仿宋" w:cs="Times New Roman"/>
          <w:sz w:val="32"/>
          <w:szCs w:val="32"/>
          <w:lang w:val="en-US" w:eastAsia="zh-CN" w:bidi="en-US"/>
        </w:rPr>
        <w:t>（一）绩效评价目的、对象和范围</w:t>
      </w:r>
      <w:bookmarkEnd w:id="9"/>
      <w:bookmarkEnd w:id="10"/>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1" w:name="_Toc100784588"/>
      <w:r>
        <w:rPr>
          <w:rFonts w:hint="default" w:ascii="Times New Roman" w:hAnsi="Times New Roman" w:eastAsia="仿宋" w:cs="Times New Roman"/>
          <w:sz w:val="32"/>
          <w:szCs w:val="32"/>
          <w:lang w:bidi="en-US"/>
        </w:rPr>
        <w:t>1.评价目的</w:t>
      </w:r>
      <w:bookmarkEnd w:id="11"/>
    </w:p>
    <w:p>
      <w:pPr>
        <w:spacing w:line="360" w:lineRule="auto"/>
        <w:ind w:firstLine="560"/>
        <w:rPr>
          <w:rFonts w:hint="default" w:ascii="Times New Roman" w:hAnsi="Times New Roman" w:cs="Times New Roman"/>
          <w:b/>
          <w:bCs/>
        </w:rPr>
      </w:pPr>
      <w:r>
        <w:rPr>
          <w:rFonts w:hint="default"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2" w:name="_Toc100784589"/>
      <w:r>
        <w:rPr>
          <w:rFonts w:hint="default" w:ascii="Times New Roman" w:hAnsi="Times New Roman" w:eastAsia="仿宋" w:cs="Times New Roman"/>
          <w:sz w:val="32"/>
          <w:szCs w:val="32"/>
          <w:lang w:bidi="en-US"/>
        </w:rPr>
        <w:t>2.评价对象和范围</w:t>
      </w:r>
      <w:bookmarkEnd w:id="12"/>
    </w:p>
    <w:p>
      <w:pPr>
        <w:spacing w:line="360" w:lineRule="auto"/>
        <w:ind w:firstLine="560"/>
        <w:rPr>
          <w:rFonts w:hint="default" w:ascii="Times New Roman" w:hAnsi="Times New Roman" w:cs="Times New Roman"/>
        </w:rPr>
      </w:pPr>
      <w:r>
        <w:rPr>
          <w:rFonts w:hint="default" w:ascii="Times New Roman" w:hAnsi="Times New Roman" w:cs="Times New Roman"/>
        </w:rPr>
        <w:t>（1）绩效评价的对象：《</w:t>
      </w:r>
      <w:r>
        <w:rPr>
          <w:rFonts w:hint="eastAsia" w:ascii="Times New Roman" w:hAnsi="Times New Roman" w:cs="Times New Roman"/>
          <w:lang w:val="en-US" w:eastAsia="zh-CN"/>
        </w:rPr>
        <w:t>乌财教科【2021】96号文关于提前下达2022年城乡义务教育项目直达资金校舍安全保障机制经费</w:t>
      </w:r>
      <w:r>
        <w:rPr>
          <w:rFonts w:hint="default" w:ascii="Times New Roman" w:hAnsi="Times New Roman" w:cs="Times New Roman"/>
        </w:rPr>
        <w:t xml:space="preserve">》 </w:t>
      </w:r>
    </w:p>
    <w:p>
      <w:pPr>
        <w:spacing w:line="360" w:lineRule="auto"/>
        <w:ind w:firstLine="560"/>
        <w:rPr>
          <w:rFonts w:hint="default" w:ascii="Times New Roman" w:hAnsi="Times New Roman" w:cs="Times New Roman"/>
        </w:rPr>
      </w:pPr>
      <w:r>
        <w:rPr>
          <w:rFonts w:hint="default" w:ascii="Times New Roman" w:hAnsi="Times New Roman" w:cs="Times New Roman"/>
        </w:rPr>
        <w:t>（2）绩效评价范围：</w:t>
      </w:r>
    </w:p>
    <w:p>
      <w:pPr>
        <w:spacing w:line="360" w:lineRule="auto"/>
        <w:ind w:firstLine="560"/>
        <w:rPr>
          <w:rFonts w:hint="default" w:ascii="Times New Roman" w:hAnsi="Times New Roman" w:cs="Times New Roman"/>
        </w:rPr>
      </w:pPr>
      <w:r>
        <w:rPr>
          <w:rFonts w:hint="default" w:ascii="Times New Roman" w:hAnsi="Times New Roman" w:cs="Times New Roman"/>
        </w:rPr>
        <w:t>1.项目范围：《</w:t>
      </w:r>
      <w:r>
        <w:rPr>
          <w:rFonts w:hint="eastAsia" w:ascii="Times New Roman" w:hAnsi="Times New Roman" w:cs="Times New Roman"/>
          <w:lang w:val="en-US" w:eastAsia="zh-CN"/>
        </w:rPr>
        <w:t>乌财教科【2021】96号文关于提前下达2022年城乡义务教育项目直达资金校舍安全保障机制经费</w:t>
      </w:r>
      <w:r>
        <w:rPr>
          <w:rFonts w:hint="default" w:ascii="Times New Roman" w:hAnsi="Times New Roman" w:cs="Times New Roman"/>
        </w:rPr>
        <w:t>》的完成情况、资金投入的运行情况、项目实施后产生的绩效及影响效果。</w:t>
      </w:r>
    </w:p>
    <w:p>
      <w:pPr>
        <w:spacing w:line="360" w:lineRule="auto"/>
        <w:ind w:firstLine="560"/>
        <w:rPr>
          <w:rFonts w:hint="default" w:ascii="Times New Roman" w:hAnsi="Times New Roman" w:cs="Times New Roman"/>
        </w:rPr>
      </w:pPr>
      <w:r>
        <w:rPr>
          <w:rFonts w:hint="default" w:ascii="Times New Roman" w:hAnsi="Times New Roman" w:cs="Times New Roman"/>
        </w:rPr>
        <w:t>2.时间范围：2022年1月1日至2022年12月31日。</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13" w:name="_Toc100784590"/>
      <w:bookmarkStart w:id="14" w:name="_Toc67911606"/>
      <w:bookmarkStart w:id="15" w:name="_Hlk67586765"/>
      <w:r>
        <w:rPr>
          <w:rFonts w:hint="default" w:ascii="Times New Roman" w:hAnsi="Times New Roman" w:eastAsia="仿宋" w:cs="Times New Roman"/>
          <w:sz w:val="32"/>
          <w:szCs w:val="32"/>
          <w:lang w:val="en-US" w:eastAsia="zh-CN" w:bidi="en-US"/>
        </w:rPr>
        <w:t>（二）绩效评价原则、指标体系、方法及标准</w:t>
      </w:r>
      <w:bookmarkEnd w:id="13"/>
      <w:bookmarkEnd w:id="14"/>
    </w:p>
    <w:bookmarkEnd w:id="15"/>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6" w:name="_Toc100784591"/>
      <w:r>
        <w:rPr>
          <w:rFonts w:hint="default" w:ascii="Times New Roman" w:hAnsi="Times New Roman" w:eastAsia="仿宋" w:cs="Times New Roman"/>
          <w:sz w:val="32"/>
          <w:szCs w:val="32"/>
          <w:lang w:bidi="en-US"/>
        </w:rPr>
        <w:t>1.评价原则</w:t>
      </w:r>
      <w:bookmarkEnd w:id="16"/>
    </w:p>
    <w:p>
      <w:pPr>
        <w:spacing w:line="360" w:lineRule="auto"/>
        <w:ind w:firstLine="560"/>
        <w:rPr>
          <w:rFonts w:hint="default" w:ascii="Times New Roman" w:hAnsi="Times New Roman" w:cs="Times New Roman"/>
        </w:rPr>
      </w:pPr>
      <w:r>
        <w:rPr>
          <w:rFonts w:hint="default" w:ascii="Times New Roman" w:hAnsi="Times New Roman" w:cs="Times New Roman"/>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rPr>
      </w:pPr>
      <w:r>
        <w:rPr>
          <w:rFonts w:hint="default" w:ascii="Times New Roman" w:hAnsi="Times New Roman" w:cs="Times New Roman"/>
        </w:rPr>
        <w:t>（2）公正公开原则：绩效评价应当符合真实、客观、公正的要求，依法公开并接受监督。</w:t>
      </w:r>
    </w:p>
    <w:p>
      <w:pPr>
        <w:spacing w:line="360" w:lineRule="auto"/>
        <w:ind w:firstLine="560"/>
        <w:rPr>
          <w:rFonts w:hint="default" w:ascii="Times New Roman" w:hAnsi="Times New Roman" w:cs="Times New Roman"/>
        </w:rPr>
      </w:pPr>
      <w:r>
        <w:rPr>
          <w:rFonts w:hint="default" w:ascii="Times New Roman" w:hAnsi="Times New Roman" w:cs="Times New Roman"/>
        </w:rPr>
        <w:t>（3）分级分类原则：根据评价对象特点分类组织实施。</w:t>
      </w:r>
    </w:p>
    <w:p>
      <w:pPr>
        <w:spacing w:line="360" w:lineRule="auto"/>
        <w:ind w:firstLine="560"/>
        <w:rPr>
          <w:rFonts w:hint="default" w:ascii="Times New Roman" w:hAnsi="Times New Roman" w:cs="Times New Roman"/>
        </w:rPr>
      </w:pPr>
      <w:r>
        <w:rPr>
          <w:rFonts w:hint="default" w:ascii="Times New Roman" w:hAnsi="Times New Roman" w:cs="Times New Roman"/>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rPr>
      </w:pPr>
      <w:r>
        <w:rPr>
          <w:rFonts w:hint="default" w:ascii="Times New Roman" w:hAnsi="Times New Roman" w:cs="Times New Roman"/>
        </w:rPr>
        <w:t>根据以上原则，绩效评价应遵循如下要求：</w:t>
      </w:r>
    </w:p>
    <w:p>
      <w:pPr>
        <w:spacing w:line="360" w:lineRule="auto"/>
        <w:ind w:firstLine="560"/>
        <w:rPr>
          <w:rFonts w:hint="default" w:ascii="Times New Roman" w:hAnsi="Times New Roman" w:cs="Times New Roman"/>
        </w:rPr>
      </w:pPr>
      <w:r>
        <w:rPr>
          <w:rFonts w:hint="default" w:ascii="Times New Roman" w:hAnsi="Times New Roman" w:cs="Times New Roman"/>
        </w:rPr>
        <w:t>（1）在数据收集时，采取客观数据，并结合问卷调查结果，以保证各项指标的真实性。</w:t>
      </w:r>
    </w:p>
    <w:p>
      <w:pPr>
        <w:spacing w:line="360" w:lineRule="auto"/>
        <w:ind w:firstLine="560"/>
        <w:rPr>
          <w:rFonts w:hint="default" w:ascii="Times New Roman" w:hAnsi="Times New Roman" w:cs="Times New Roman"/>
        </w:rPr>
      </w:pPr>
      <w:r>
        <w:rPr>
          <w:rFonts w:hint="default" w:ascii="Times New Roman" w:hAnsi="Times New Roman" w:cs="Times New Roman"/>
        </w:rPr>
        <w:t>（2）保证评价结果的真实性、公正性，提高评价报告的公信力。</w:t>
      </w:r>
    </w:p>
    <w:p>
      <w:pPr>
        <w:spacing w:line="360" w:lineRule="auto"/>
        <w:ind w:firstLine="560"/>
        <w:rPr>
          <w:rFonts w:hint="default" w:ascii="Times New Roman" w:hAnsi="Times New Roman" w:cs="Times New Roman"/>
        </w:rPr>
      </w:pPr>
      <w:r>
        <w:rPr>
          <w:rFonts w:hint="default" w:ascii="Times New Roman" w:hAnsi="Times New Roman" w:cs="Times New Roman"/>
        </w:rPr>
        <w:t>（3）绩效评价报告应当简明扼要，除了对绩效评价的过程、结果描述外，还应总结经验，指出问题，并就项目实施过程中所存在的问题提出可操作性改进建议。</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7" w:name="_Toc100784592"/>
      <w:r>
        <w:rPr>
          <w:rFonts w:hint="default" w:ascii="Times New Roman" w:hAnsi="Times New Roman" w:eastAsia="仿宋" w:cs="Times New Roman"/>
          <w:sz w:val="32"/>
          <w:szCs w:val="32"/>
          <w:lang w:bidi="en-US"/>
        </w:rPr>
        <w:t>2.评价指标体系</w:t>
      </w:r>
      <w:bookmarkEnd w:id="17"/>
    </w:p>
    <w:p>
      <w:pPr>
        <w:spacing w:line="360" w:lineRule="auto"/>
        <w:ind w:firstLine="560"/>
        <w:rPr>
          <w:rFonts w:hint="default" w:ascii="Times New Roman" w:hAnsi="Times New Roman" w:cs="Times New Roman"/>
        </w:rPr>
      </w:pPr>
      <w:r>
        <w:rPr>
          <w:rFonts w:hint="default" w:ascii="Times New Roman" w:hAnsi="Times New Roman" w:cs="Times New Roman"/>
        </w:rPr>
        <w:t>绩效评价指标体系作为衡量绩效目标实现程度的考核工具，一般遵循以下原则：</w:t>
      </w:r>
    </w:p>
    <w:p>
      <w:pPr>
        <w:spacing w:line="360" w:lineRule="auto"/>
        <w:ind w:firstLine="560"/>
        <w:rPr>
          <w:rFonts w:hint="default" w:ascii="Times New Roman" w:hAnsi="Times New Roman" w:cs="Times New Roman"/>
        </w:rPr>
      </w:pPr>
      <w:r>
        <w:rPr>
          <w:rFonts w:hint="default" w:ascii="Times New Roman" w:hAnsi="Times New Roman" w:cs="Times New Roman"/>
        </w:rPr>
        <w:t>（1）相关性原则：绩效评价指标应当与绩效目标有直接的联系，能够恰当反映目标的实现程度。</w:t>
      </w:r>
    </w:p>
    <w:p>
      <w:pPr>
        <w:spacing w:line="360" w:lineRule="auto"/>
        <w:ind w:firstLine="560"/>
        <w:rPr>
          <w:rFonts w:hint="default" w:ascii="Times New Roman" w:hAnsi="Times New Roman" w:cs="Times New Roman"/>
        </w:rPr>
      </w:pPr>
      <w:r>
        <w:rPr>
          <w:rFonts w:hint="default" w:ascii="Times New Roman" w:hAnsi="Times New Roman" w:cs="Times New Roman"/>
        </w:rPr>
        <w:t>（2）重要性原则：应当优先使用最具评价对象代表性、最能反映评价要求的核心指标。</w:t>
      </w:r>
    </w:p>
    <w:p>
      <w:pPr>
        <w:spacing w:line="360" w:lineRule="auto"/>
        <w:ind w:firstLine="560"/>
        <w:rPr>
          <w:rFonts w:hint="default" w:ascii="Times New Roman" w:hAnsi="Times New Roman" w:cs="Times New Roman"/>
        </w:rPr>
      </w:pPr>
      <w:r>
        <w:rPr>
          <w:rFonts w:hint="default" w:ascii="Times New Roman" w:hAnsi="Times New Roman" w:cs="Times New Roman"/>
        </w:rPr>
        <w:t>（3）可比性原则：对同类评价对象要设定共性的绩效评价指标，以便于评价结果可以相互比较。</w:t>
      </w:r>
    </w:p>
    <w:p>
      <w:pPr>
        <w:spacing w:line="360" w:lineRule="auto"/>
        <w:ind w:firstLine="560"/>
        <w:rPr>
          <w:rFonts w:hint="default" w:ascii="Times New Roman" w:hAnsi="Times New Roman" w:cs="Times New Roman"/>
        </w:rPr>
      </w:pPr>
      <w:r>
        <w:rPr>
          <w:rFonts w:hint="default"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rPr>
      </w:pPr>
      <w:r>
        <w:rPr>
          <w:rFonts w:hint="default"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本项目的评价指标体系建立如附件所示。</w:t>
      </w: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rPr>
      </w:pPr>
      <w:r>
        <w:rPr>
          <w:rFonts w:hint="default" w:ascii="Times New Roman" w:hAnsi="Times New Roman" w:cs="Times New Roman"/>
          <w:b/>
          <w:bCs/>
        </w:rPr>
        <w:t xml:space="preserve">  项目支出绩效评价指标体系</w:t>
      </w:r>
    </w:p>
    <w:tbl>
      <w:tblPr>
        <w:tblStyle w:val="18"/>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立项依据</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①项目立项是否符合国家法律法规、国民经济发展规划和相关政策；</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②项目立项是否符合行业发展规划和政策要求；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③项目立项是否与部门职责范围相符，属于部门履职所需；</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④项目是否属于公共财政支持范围，是否符合中央、地方事权支出责任划分原则；</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立项程序</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①项目是否按照规定的程序申请设立；</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②审批文件、材料是否符合相关要求；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（如未设定预算绩效目标，也可考核其他工作任务目标）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①项目是否有绩效目标；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②项目绩效目标与实际工作内容是否具有相关性；</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绩效指标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①是否将项目绩效目标细化分解为具体的绩效指标；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②是否通过清晰、可衡量的指标值予以体现；</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③是否与项目目标任务数或计划数相对应。</w:t>
            </w:r>
            <w:r>
              <w:rPr>
                <w:rFonts w:hint="default" w:ascii="Times New Roman" w:hAnsi="Times New Roman" w:eastAsia="宋体" w:cs="Times New Roman"/>
                <w:color w:val="000000"/>
                <w:kern w:val="0"/>
                <w:sz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预算编制</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①预算编制是否经过科学论证；</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②预算内容与项目内容是否匹配；</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③预算额度测算依据是否充分，是否按照标准编制；</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资金分配</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①预算资金分配依据是否充分；</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资金到位率=（实际到位资金/预算资金）×100%。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预算执行率=（实际支出资金/实际到位资金）×100%。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资金使用</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①是否符合国家财经法规和财务管理制度以及有关专项资金管理办法的规定；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②资金的拨付是否有完整的审批程序和手续；</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③是否符合项目预算批复或合同规定的用途；</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管理制度</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①是否已制定或具有相应的财务和业务管理制度；</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制度执行</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①是否遵守相关法律法规和相关管理规定；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②项目调整及支出调整手续是否完备；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③项目合同书、验收报告、技术鉴定等资料是否齐全并及时归档；</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0" w:hRule="atLeast"/>
          <w:jc w:val="center"/>
        </w:trPr>
        <w:tc>
          <w:tcPr>
            <w:tcW w:w="1155" w:type="dxa"/>
            <w:vMerge w:val="restart"/>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w:t>
            </w:r>
          </w:p>
        </w:tc>
        <w:tc>
          <w:tcPr>
            <w:tcW w:w="119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产出数量</w:t>
            </w:r>
          </w:p>
        </w:tc>
        <w:tc>
          <w:tcPr>
            <w:tcW w:w="141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总建设面积</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实际完成率=（实际产出数/计划产出数）×100%。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实际产出数：一定时期（本年度或项目期）内项目实际产出的产品或提供的服务数量。</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w:t>
            </w:r>
          </w:p>
        </w:tc>
        <w:tc>
          <w:tcPr>
            <w:tcW w:w="119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产出质量</w:t>
            </w:r>
          </w:p>
        </w:tc>
        <w:tc>
          <w:tcPr>
            <w:tcW w:w="141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工程验收合格率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质量达标率=（质量达标产出数/实际产出数）×100%。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42" w:hRule="atLeast"/>
          <w:jc w:val="center"/>
        </w:trPr>
        <w:tc>
          <w:tcPr>
            <w:tcW w:w="1155" w:type="dxa"/>
            <w:vMerge w:val="continue"/>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产出时效</w:t>
            </w:r>
          </w:p>
        </w:tc>
        <w:tc>
          <w:tcPr>
            <w:tcW w:w="141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项目按期完成率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实际完成时间：项目实施单位完成该项目实际所耗用的时间。</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产出成本</w:t>
            </w:r>
          </w:p>
        </w:tc>
        <w:tc>
          <w:tcPr>
            <w:tcW w:w="141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lang w:val="en-US" w:eastAsia="zh-CN"/>
              </w:rPr>
              <w:t>成本</w:t>
            </w:r>
            <w:r>
              <w:rPr>
                <w:rFonts w:hint="default" w:ascii="Times New Roman" w:hAnsi="Times New Roman" w:eastAsia="宋体" w:cs="Times New Roman"/>
                <w:color w:val="000000"/>
                <w:kern w:val="0"/>
                <w:sz w:val="22"/>
              </w:rPr>
              <w:t>控制率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成本节约率=[（计划成本-实际成本）/计划成本]×100%。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实际成本：项目实施单位如期、保质、保量完成既定工作目标实际所耗费的支出。</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效益</w:t>
            </w:r>
          </w:p>
        </w:tc>
        <w:tc>
          <w:tcPr>
            <w:tcW w:w="119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社会效益指标</w:t>
            </w:r>
          </w:p>
        </w:tc>
        <w:tc>
          <w:tcPr>
            <w:tcW w:w="141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保障学校正常运转</w:t>
            </w:r>
          </w:p>
        </w:tc>
        <w:tc>
          <w:tcPr>
            <w:tcW w:w="2789"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27" w:hRule="atLeast"/>
          <w:jc w:val="center"/>
        </w:trPr>
        <w:tc>
          <w:tcPr>
            <w:tcW w:w="1155" w:type="dxa"/>
            <w:vMerge w:val="continue"/>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可持续影响指标</w:t>
            </w:r>
          </w:p>
        </w:tc>
        <w:tc>
          <w:tcPr>
            <w:tcW w:w="141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改善办学条件</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63" w:hRule="atLeast"/>
          <w:jc w:val="center"/>
        </w:trPr>
        <w:tc>
          <w:tcPr>
            <w:tcW w:w="1155"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满意度指标完成情况分析</w:t>
            </w:r>
          </w:p>
        </w:tc>
        <w:tc>
          <w:tcPr>
            <w:tcW w:w="119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满意度指标</w:t>
            </w:r>
          </w:p>
        </w:tc>
        <w:tc>
          <w:tcPr>
            <w:tcW w:w="141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师生满意度</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8" w:name="_Toc100784593"/>
      <w:bookmarkStart w:id="19" w:name="_Hlk67586038"/>
      <w:r>
        <w:rPr>
          <w:rFonts w:hint="default" w:ascii="Times New Roman" w:hAnsi="Times New Roman" w:eastAsia="仿宋" w:cs="Times New Roman"/>
          <w:sz w:val="32"/>
          <w:szCs w:val="32"/>
          <w:lang w:bidi="en-US"/>
        </w:rPr>
        <w:t>3.评价方法</w:t>
      </w:r>
      <w:bookmarkEnd w:id="18"/>
    </w:p>
    <w:bookmarkEnd w:id="19"/>
    <w:p>
      <w:pPr>
        <w:spacing w:line="360" w:lineRule="auto"/>
        <w:ind w:firstLine="560"/>
        <w:rPr>
          <w:rFonts w:hint="default" w:ascii="Times New Roman" w:hAnsi="Times New Roman" w:cs="Times New Roman"/>
        </w:rPr>
      </w:pPr>
      <w:r>
        <w:rPr>
          <w:rFonts w:hint="default"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cs="Times New Roman"/>
        </w:rPr>
      </w:pPr>
      <w:r>
        <w:rPr>
          <w:rFonts w:hint="default" w:ascii="Times New Roman" w:hAnsi="Times New Roman" w:cs="Times New Roman"/>
        </w:rPr>
        <w:t>（1）成本效益分析法。是指将投入与产出、效益进行关联性分析的方法。</w:t>
      </w:r>
    </w:p>
    <w:p>
      <w:pPr>
        <w:spacing w:line="360" w:lineRule="auto"/>
        <w:ind w:firstLine="560"/>
        <w:rPr>
          <w:rFonts w:hint="default" w:ascii="Times New Roman" w:hAnsi="Times New Roman" w:cs="Times New Roman"/>
        </w:rPr>
      </w:pPr>
      <w:r>
        <w:rPr>
          <w:rFonts w:hint="default" w:ascii="Times New Roman" w:hAnsi="Times New Roman" w:cs="Times New Roman"/>
          <w:highlight w:val="none"/>
        </w:rPr>
        <w:t>（2）比较法。</w:t>
      </w:r>
      <w:r>
        <w:rPr>
          <w:rFonts w:hint="default" w:ascii="Times New Roman" w:hAnsi="Times New Roman" w:cs="Times New Roman"/>
        </w:rPr>
        <w:t>是指将实施情况与绩效目标、历史情况、不同部门和地区同类支出情况进行比较的方法。</w:t>
      </w:r>
    </w:p>
    <w:p>
      <w:pPr>
        <w:spacing w:line="360" w:lineRule="auto"/>
        <w:ind w:firstLine="560"/>
        <w:rPr>
          <w:rFonts w:hint="default" w:ascii="Times New Roman" w:hAnsi="Times New Roman" w:cs="Times New Roman"/>
        </w:rPr>
      </w:pPr>
      <w:r>
        <w:rPr>
          <w:rFonts w:hint="default" w:ascii="Times New Roman" w:hAnsi="Times New Roman" w:cs="Times New Roman"/>
        </w:rPr>
        <w:t>（3）因素分析法。是指综合分析影响绩效目标实现、实施效果的内外部因素的方法。</w:t>
      </w:r>
    </w:p>
    <w:p>
      <w:pPr>
        <w:spacing w:line="360" w:lineRule="auto"/>
        <w:ind w:firstLine="560"/>
        <w:rPr>
          <w:rFonts w:hint="default" w:ascii="Times New Roman" w:hAnsi="Times New Roman" w:cs="Times New Roman"/>
        </w:rPr>
      </w:pPr>
      <w:r>
        <w:rPr>
          <w:rFonts w:hint="default" w:ascii="Times New Roman" w:hAnsi="Times New Roman" w:cs="Times New Roman"/>
        </w:rPr>
        <w:t>（4）最低成本法。是指在绩效目标确定的前提下，成本最小者为优的方法。</w:t>
      </w:r>
    </w:p>
    <w:p>
      <w:pPr>
        <w:spacing w:line="360" w:lineRule="auto"/>
        <w:ind w:firstLine="560"/>
        <w:rPr>
          <w:rFonts w:hint="default" w:ascii="Times New Roman" w:hAnsi="Times New Roman" w:cs="Times New Roman"/>
        </w:rPr>
      </w:pPr>
      <w:r>
        <w:rPr>
          <w:rFonts w:hint="default" w:ascii="Times New Roman" w:hAnsi="Times New Roman" w:cs="Times New Roman"/>
          <w:highlight w:val="none"/>
        </w:rPr>
        <w:t>（5）公众评判法。</w:t>
      </w:r>
      <w:r>
        <w:rPr>
          <w:rFonts w:hint="default" w:ascii="Times New Roman" w:hAnsi="Times New Roman" w:cs="Times New Roman"/>
        </w:rPr>
        <w:t>是指通过专家评估、公众问卷及抽样调查等方式进行评判的方法。</w:t>
      </w:r>
    </w:p>
    <w:p>
      <w:pPr>
        <w:spacing w:line="360" w:lineRule="auto"/>
        <w:ind w:firstLine="560"/>
        <w:rPr>
          <w:rFonts w:hint="default" w:ascii="Times New Roman" w:hAnsi="Times New Roman" w:cs="Times New Roman"/>
        </w:rPr>
      </w:pPr>
      <w:r>
        <w:rPr>
          <w:rFonts w:hint="default" w:ascii="Times New Roman" w:hAnsi="Times New Roman" w:cs="Times New Roman"/>
          <w:highlight w:val="none"/>
        </w:rPr>
        <w:t>（6）标杆管理法。是</w:t>
      </w:r>
      <w:r>
        <w:rPr>
          <w:rFonts w:hint="default" w:ascii="Times New Roman" w:hAnsi="Times New Roman" w:cs="Times New Roman"/>
        </w:rPr>
        <w:t>指以国内外同行业中较高的绩效水平为标杆进行评判的方法。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（7）其他评价方法。</w:t>
      </w:r>
    </w:p>
    <w:p>
      <w:pPr>
        <w:spacing w:line="360" w:lineRule="auto"/>
        <w:ind w:firstLine="560"/>
        <w:rPr>
          <w:rFonts w:hint="default" w:ascii="Times New Roman" w:hAnsi="Times New Roman" w:cs="Times New Roman"/>
        </w:rPr>
      </w:pPr>
      <w:r>
        <w:rPr>
          <w:rFonts w:hint="default" w:ascii="Times New Roman" w:hAnsi="Times New Roman" w:cs="Times New Roman"/>
        </w:rPr>
        <w:t>本次评价主要采用比较法</w:t>
      </w:r>
      <w:r>
        <w:rPr>
          <w:rFonts w:hint="eastAsia" w:ascii="Times New Roman" w:hAnsi="Times New Roman" w:cs="Times New Roman"/>
          <w:lang w:eastAsia="zh-CN"/>
        </w:rPr>
        <w:t>，</w:t>
      </w:r>
      <w:r>
        <w:rPr>
          <w:rFonts w:hint="default" w:ascii="Times New Roman" w:hAnsi="Times New Roman" w:cs="Times New Roman"/>
        </w:rPr>
        <w:t>根据本项目（《</w:t>
      </w:r>
      <w:r>
        <w:rPr>
          <w:rFonts w:hint="eastAsia" w:ascii="Times New Roman" w:hAnsi="Times New Roman" w:cs="Times New Roman"/>
          <w:lang w:val="en-US" w:eastAsia="zh-CN"/>
        </w:rPr>
        <w:t>乌财教科【2021】96号文关于提前下达2022年城乡义务教育项目直达资金校舍安全保障机制经费</w:t>
      </w:r>
      <w:r>
        <w:rPr>
          <w:rFonts w:hint="default" w:ascii="Times New Roman" w:hAnsi="Times New Roman" w:cs="Times New Roman"/>
        </w:rPr>
        <w:t>》）的特点，</w:t>
      </w:r>
      <w:r>
        <w:rPr>
          <w:rFonts w:hint="eastAsia" w:ascii="Times New Roman" w:hAnsi="Times New Roman" w:cs="Times New Roman"/>
          <w:lang w:eastAsia="zh-CN"/>
        </w:rPr>
        <w:t>去年我校设施</w:t>
      </w:r>
      <w:r>
        <w:rPr>
          <w:rFonts w:hint="eastAsia" w:ascii="Times New Roman" w:hAnsi="Times New Roman" w:cs="Times New Roman"/>
          <w:lang w:val="en-US" w:eastAsia="zh-CN"/>
        </w:rPr>
        <w:t>学校围栏更新、校舍粉刷、暖气更换、周转宿舍卫生间等维修改造经费预算资金63万元，资金到位63万元，全年项目经费使用45.49万元，执行率为72.2%。今年</w:t>
      </w:r>
      <w:r>
        <w:rPr>
          <w:rFonts w:hint="default" w:ascii="Times New Roman" w:hAnsi="Times New Roman" w:cs="Times New Roman"/>
          <w:lang w:val="en-US" w:eastAsia="zh-CN"/>
        </w:rPr>
        <w:t>经</w:t>
      </w:r>
      <w:r>
        <w:rPr>
          <w:rFonts w:hint="eastAsia" w:ascii="Times New Roman" w:hAnsi="Times New Roman" w:cs="Times New Roman"/>
          <w:lang w:val="en-US" w:eastAsia="zh-CN"/>
        </w:rPr>
        <w:t>乌财教科【2021】96号</w:t>
      </w:r>
      <w:r>
        <w:rPr>
          <w:rFonts w:hint="default" w:ascii="Times New Roman" w:hAnsi="Times New Roman" w:cs="Times New Roman"/>
          <w:lang w:val="en-US" w:eastAsia="zh-CN"/>
        </w:rPr>
        <w:t>文件批准，项目系2022年中央资金，共安排预算</w:t>
      </w:r>
      <w:r>
        <w:rPr>
          <w:rFonts w:hint="eastAsia" w:ascii="Times New Roman" w:hAnsi="Times New Roman" w:cs="Times New Roman"/>
          <w:lang w:val="en-US" w:eastAsia="zh-CN"/>
        </w:rPr>
        <w:t>240</w:t>
      </w:r>
      <w:r>
        <w:rPr>
          <w:rFonts w:hint="default" w:ascii="Times New Roman" w:hAnsi="Times New Roman" w:cs="Times New Roman"/>
          <w:lang w:val="en-US" w:eastAsia="zh-CN"/>
        </w:rPr>
        <w:t>万元，于2022年年中追加预算批复项目，资金到位</w:t>
      </w:r>
      <w:r>
        <w:rPr>
          <w:rFonts w:hint="eastAsia" w:ascii="Times New Roman" w:hAnsi="Times New Roman" w:cs="Times New Roman"/>
          <w:lang w:val="en-US" w:eastAsia="zh-CN"/>
        </w:rPr>
        <w:t>，</w:t>
      </w:r>
      <w:r>
        <w:rPr>
          <w:rFonts w:hint="default" w:ascii="Times New Roman" w:hAnsi="Times New Roman" w:cs="Times New Roman"/>
          <w:lang w:val="en-US" w:eastAsia="zh-CN"/>
        </w:rPr>
        <w:t>全年预算数</w:t>
      </w:r>
      <w:r>
        <w:rPr>
          <w:rFonts w:hint="eastAsia" w:ascii="Times New Roman" w:hAnsi="Times New Roman" w:cs="Times New Roman"/>
          <w:lang w:val="en-US" w:eastAsia="zh-CN"/>
        </w:rPr>
        <w:t>240</w:t>
      </w:r>
      <w:r>
        <w:rPr>
          <w:rFonts w:hint="default" w:ascii="Times New Roman" w:hAnsi="Times New Roman" w:cs="Times New Roman"/>
          <w:lang w:val="en-US" w:eastAsia="zh-CN"/>
        </w:rPr>
        <w:t>万元，全年执行</w:t>
      </w:r>
      <w:r>
        <w:rPr>
          <w:rFonts w:hint="eastAsia" w:ascii="Times New Roman" w:hAnsi="Times New Roman" w:cs="Times New Roman"/>
          <w:lang w:val="en-US" w:eastAsia="zh-CN"/>
        </w:rPr>
        <w:t>160.6</w:t>
      </w:r>
      <w:r>
        <w:rPr>
          <w:rFonts w:hint="default" w:ascii="Times New Roman" w:hAnsi="Times New Roman" w:cs="Times New Roman"/>
          <w:lang w:val="en-US" w:eastAsia="zh-CN"/>
        </w:rPr>
        <w:t>万元，执行率</w:t>
      </w:r>
      <w:r>
        <w:rPr>
          <w:rFonts w:hint="eastAsia" w:ascii="Times New Roman" w:hAnsi="Times New Roman" w:cs="Times New Roman"/>
          <w:lang w:val="en-US" w:eastAsia="zh-CN"/>
        </w:rPr>
        <w:t>66.92</w:t>
      </w:r>
      <w:r>
        <w:rPr>
          <w:rFonts w:hint="default" w:ascii="Times New Roman" w:hAnsi="Times New Roman" w:cs="Times New Roman"/>
          <w:lang w:val="en-US" w:eastAsia="zh-CN"/>
        </w:rPr>
        <w:t>%</w:t>
      </w:r>
      <w:r>
        <w:rPr>
          <w:rFonts w:hint="eastAsia" w:ascii="Times New Roman" w:hAnsi="Times New Roman" w:cs="Times New Roman"/>
          <w:lang w:val="en-US" w:eastAsia="zh-CN"/>
        </w:rPr>
        <w:t>，</w:t>
      </w:r>
      <w:r>
        <w:rPr>
          <w:rFonts w:hint="default" w:ascii="Times New Roman" w:hAnsi="Times New Roman" w:cs="Times New Roman"/>
        </w:rPr>
        <w:t>实际产出和效益是</w:t>
      </w:r>
      <w:r>
        <w:rPr>
          <w:rFonts w:hint="eastAsia" w:ascii="Times New Roman" w:hAnsi="Times New Roman" w:cs="Times New Roman"/>
          <w:lang w:val="en-US" w:eastAsia="zh-CN"/>
        </w:rPr>
        <w:t>基本</w:t>
      </w:r>
      <w:r>
        <w:rPr>
          <w:rFonts w:hint="default" w:ascii="Times New Roman" w:hAnsi="Times New Roman" w:cs="Times New Roman"/>
        </w:rPr>
        <w:t>达到预期。</w:t>
      </w:r>
    </w:p>
    <w:p>
      <w:pPr>
        <w:spacing w:line="360" w:lineRule="auto"/>
        <w:ind w:firstLine="560"/>
        <w:rPr>
          <w:rFonts w:hint="default" w:ascii="Times New Roman" w:hAnsi="Times New Roman" w:cs="Times New Roman"/>
        </w:rPr>
      </w:pPr>
      <w:bookmarkStart w:id="20" w:name="_Toc100784594"/>
      <w:r>
        <w:rPr>
          <w:rFonts w:hint="default" w:ascii="Times New Roman" w:hAnsi="Times New Roman" w:cs="Times New Roman"/>
        </w:rPr>
        <w:t>4.评价标准</w:t>
      </w:r>
      <w:bookmarkEnd w:id="20"/>
    </w:p>
    <w:p>
      <w:pPr>
        <w:spacing w:line="360" w:lineRule="auto"/>
        <w:ind w:firstLine="560"/>
        <w:rPr>
          <w:rFonts w:hint="default" w:ascii="Times New Roman" w:hAnsi="Times New Roman" w:cs="Times New Roman"/>
        </w:rPr>
      </w:pPr>
      <w:r>
        <w:rPr>
          <w:rFonts w:hint="default" w:ascii="Times New Roman" w:hAnsi="Times New Roman" w:cs="Times New Roman"/>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rPr>
      </w:pPr>
      <w:r>
        <w:rPr>
          <w:rFonts w:hint="default" w:ascii="Times New Roman" w:hAnsi="Times New Roman" w:cs="Times New Roman"/>
        </w:rPr>
        <w:t>（1）计划标准。指以预先制定的目标、计划、预算、定额等作为评价标准。</w:t>
      </w:r>
    </w:p>
    <w:p>
      <w:pPr>
        <w:spacing w:line="360" w:lineRule="auto"/>
        <w:ind w:firstLine="560"/>
        <w:rPr>
          <w:rFonts w:hint="default" w:ascii="Times New Roman" w:hAnsi="Times New Roman" w:cs="Times New Roman"/>
        </w:rPr>
      </w:pPr>
      <w:r>
        <w:rPr>
          <w:rFonts w:hint="default" w:ascii="Times New Roman" w:hAnsi="Times New Roman" w:cs="Times New Roman"/>
        </w:rPr>
        <w:t>（2）行业标准。指参照国家公布的行业指标数据制定的评价标准。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在上述评价标准的基础上，本次评价依据以下文件为重要指导和准绳：</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《中共中央国务院关于全面实施预算绩效管理的意见》（中发〔2018〕34号）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《关于做好2019年部门预算项目支出绩效目标管理有关事宜的通知》（乌财预〔2018〕76号）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《项目支出绩效评价管理办法》（财预〔2020〕10号）</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 xml:space="preserve"> </w:t>
      </w:r>
      <w:bookmarkStart w:id="21" w:name="_Toc67911607"/>
      <w:bookmarkStart w:id="22" w:name="_Toc100784595"/>
      <w:r>
        <w:rPr>
          <w:rFonts w:hint="default" w:ascii="Times New Roman" w:hAnsi="Times New Roman" w:eastAsia="仿宋" w:cs="Times New Roman"/>
          <w:sz w:val="32"/>
          <w:szCs w:val="32"/>
          <w:lang w:val="en-US" w:eastAsia="zh-CN" w:bidi="en-US"/>
        </w:rPr>
        <w:t>（三）绩效评价工作过程</w:t>
      </w:r>
      <w:bookmarkEnd w:id="21"/>
      <w:bookmarkEnd w:id="22"/>
    </w:p>
    <w:p>
      <w:pPr>
        <w:spacing w:line="360" w:lineRule="auto"/>
        <w:ind w:firstLine="560"/>
        <w:rPr>
          <w:rFonts w:hint="default" w:ascii="Times New Roman" w:hAnsi="Times New Roman" w:cs="Times New Roman"/>
        </w:rPr>
      </w:pPr>
      <w:r>
        <w:rPr>
          <w:rFonts w:hint="default"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3"/>
          <w:rFonts w:hint="default" w:ascii="Times New Roman" w:hAnsi="Times New Roman" w:cs="Times New Roman"/>
        </w:rPr>
        <w:footnoteReference w:id="0"/>
      </w:r>
      <w:r>
        <w:rPr>
          <w:rFonts w:hint="default" w:ascii="Times New Roman" w:hAnsi="Times New Roman" w:cs="Times New Roman"/>
        </w:rPr>
        <w:t>、材料审核分析、现场核查评价、综合分析评价及报告撰写，评价项目实施情况，展现资金使用效益。</w:t>
      </w:r>
    </w:p>
    <w:p>
      <w:pPr>
        <w:pStyle w:val="5"/>
        <w:keepNext/>
        <w:keepLines/>
        <w:pageBreakBefore w:val="0"/>
        <w:widowControl w:val="0"/>
        <w:kinsoku/>
        <w:wordWrap/>
        <w:overflowPunct/>
        <w:topLinePunct w:val="0"/>
        <w:autoSpaceDE/>
        <w:autoSpaceDN/>
        <w:bidi w:val="0"/>
        <w:adjustRightInd/>
        <w:snapToGrid/>
        <w:spacing w:before="0" w:after="0" w:line="560" w:lineRule="exact"/>
        <w:ind w:firstLine="723" w:firstLineChars="200"/>
        <w:jc w:val="left"/>
        <w:textAlignment w:val="auto"/>
        <w:rPr>
          <w:rFonts w:hint="default" w:ascii="Times New Roman" w:hAnsi="Times New Roman" w:eastAsia="仿宋" w:cs="Times New Roman"/>
          <w:sz w:val="36"/>
          <w:szCs w:val="36"/>
          <w:lang w:bidi="en-US"/>
        </w:rPr>
      </w:pPr>
      <w:bookmarkStart w:id="23" w:name="_Toc67911608"/>
      <w:bookmarkStart w:id="24" w:name="_Toc100784596"/>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三、综合评价情况及评价结论</w:t>
      </w:r>
      <w:bookmarkEnd w:id="23"/>
      <w:bookmarkEnd w:id="24"/>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5" w:name="_Toc67911609"/>
      <w:bookmarkStart w:id="26" w:name="_Toc100784597"/>
      <w:r>
        <w:rPr>
          <w:rFonts w:hint="default" w:ascii="Times New Roman" w:hAnsi="Times New Roman" w:eastAsia="仿宋" w:cs="Times New Roman"/>
          <w:sz w:val="32"/>
          <w:szCs w:val="32"/>
          <w:lang w:val="en-US" w:eastAsia="zh-CN" w:bidi="en-US"/>
        </w:rPr>
        <w:t>（一）评价结论</w:t>
      </w:r>
      <w:bookmarkEnd w:id="25"/>
      <w:bookmarkEnd w:id="26"/>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结合项目特点，制定符合项目实际的绩效评价指标体系及评分标准，通过数据采集、问卷调查及访谈等形式，对2022年《</w:t>
      </w:r>
      <w:r>
        <w:rPr>
          <w:rFonts w:hint="eastAsia" w:ascii="Times New Roman" w:hAnsi="Times New Roman" w:cs="Times New Roman"/>
          <w:szCs w:val="28"/>
          <w:lang w:val="en-US" w:eastAsia="zh-CN"/>
        </w:rPr>
        <w:t>乌财教科【2021】96号文关于提前下达2022年城乡义务教育项目直达资金校舍安全保障机制经费</w:t>
      </w:r>
      <w:r>
        <w:rPr>
          <w:rFonts w:hint="default" w:ascii="Times New Roman" w:hAnsi="Times New Roman" w:cs="Times New Roman"/>
          <w:szCs w:val="28"/>
        </w:rPr>
        <w:t>》进行客观评价，最终评分结果为：总分为</w:t>
      </w:r>
      <w:r>
        <w:rPr>
          <w:rFonts w:hint="eastAsia" w:ascii="Times New Roman" w:hAnsi="Times New Roman" w:cs="Times New Roman"/>
          <w:szCs w:val="28"/>
          <w:lang w:val="en-US" w:eastAsia="zh-CN"/>
        </w:rPr>
        <w:t>85.5</w:t>
      </w:r>
      <w:r>
        <w:rPr>
          <w:rFonts w:hint="default" w:ascii="Times New Roman" w:hAnsi="Times New Roman" w:cs="Times New Roman"/>
          <w:szCs w:val="28"/>
        </w:rPr>
        <w:t>分，绩效评级为“</w:t>
      </w:r>
      <w:r>
        <w:rPr>
          <w:rFonts w:hint="eastAsia" w:ascii="Times New Roman" w:hAnsi="Times New Roman" w:cs="Times New Roman"/>
          <w:szCs w:val="28"/>
          <w:lang w:val="en-US" w:eastAsia="zh-CN"/>
        </w:rPr>
        <w:t>良</w:t>
      </w:r>
      <w:r>
        <w:rPr>
          <w:rFonts w:hint="default" w:ascii="Times New Roman" w:hAnsi="Times New Roman" w:cs="Times New Roman"/>
          <w:szCs w:val="28"/>
        </w:rPr>
        <w:t>”</w:t>
      </w:r>
      <w:r>
        <w:rPr>
          <w:rFonts w:hint="default" w:ascii="Times New Roman" w:hAnsi="Times New Roman" w:cs="Times New Roman"/>
          <w:szCs w:val="28"/>
        </w:rPr>
        <w:footnoteReference w:id="1"/>
      </w:r>
      <w:r>
        <w:rPr>
          <w:rFonts w:hint="default" w:ascii="Times New Roman" w:hAnsi="Times New Roman" w:cs="Times New Roman"/>
          <w:szCs w:val="28"/>
        </w:rPr>
        <w:t>。</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项目各部分权重和绩效分值如附表所示：</w:t>
      </w:r>
    </w:p>
    <w:p>
      <w:pPr>
        <w:spacing w:line="360" w:lineRule="auto"/>
        <w:ind w:firstLine="0" w:firstLineChars="0"/>
        <w:jc w:val="center"/>
        <w:rPr>
          <w:rFonts w:hint="default" w:ascii="Times New Roman" w:hAnsi="Times New Roman" w:cs="Times New Roman"/>
          <w:b/>
          <w:bCs/>
          <w:szCs w:val="28"/>
        </w:rPr>
      </w:pPr>
      <w:r>
        <w:rPr>
          <w:rFonts w:hint="default" w:ascii="Times New Roman" w:hAnsi="Times New Roman" w:cs="Times New Roman"/>
          <w:b/>
          <w:bCs/>
          <w:szCs w:val="28"/>
        </w:rPr>
        <w:t xml:space="preserve">  项目各部分权重和绩效分值</w:t>
      </w:r>
    </w:p>
    <w:tbl>
      <w:tblPr>
        <w:tblStyle w:val="18"/>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决策</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过程</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left="0" w:leftChars="0" w:firstLine="240" w:firstLineChars="100"/>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66%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4"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产出数量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eastAsia="宋体" w:cs="Times New Roman"/>
                <w:color w:val="000000"/>
                <w:kern w:val="0"/>
                <w:sz w:val="22"/>
              </w:rPr>
              <w:t>总建设面积</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tabs>
                <w:tab w:val="left" w:pos="273"/>
              </w:tabs>
              <w:ind w:firstLine="0" w:firstLineChars="0"/>
              <w:jc w:val="left"/>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eastAsia="zh-CN"/>
              </w:rPr>
              <w:tab/>
            </w: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yellow"/>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产出质量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eastAsia="宋体" w:cs="Times New Roman"/>
                <w:color w:val="000000"/>
                <w:kern w:val="0"/>
                <w:sz w:val="22"/>
              </w:rPr>
              <w:t>工程验收合格率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6</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60%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1"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产出时效</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eastAsia="宋体" w:cs="Times New Roman"/>
                <w:color w:val="000000"/>
                <w:kern w:val="0"/>
                <w:sz w:val="22"/>
              </w:rPr>
              <w:t>建设工程完工及时率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6</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60%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产出成本</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eastAsia="宋体" w:cs="Times New Roman"/>
                <w:color w:val="000000"/>
                <w:kern w:val="0"/>
                <w:sz w:val="22"/>
                <w:lang w:val="en-US" w:eastAsia="zh-CN"/>
              </w:rPr>
              <w:t>成本</w:t>
            </w:r>
            <w:r>
              <w:rPr>
                <w:rFonts w:hint="default" w:ascii="Times New Roman" w:hAnsi="Times New Roman" w:eastAsia="宋体" w:cs="Times New Roman"/>
                <w:color w:val="000000"/>
                <w:kern w:val="0"/>
                <w:sz w:val="22"/>
              </w:rPr>
              <w:t>控制率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效益</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项目效益</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eastAsia="宋体" w:cs="Times New Roman"/>
                <w:color w:val="000000"/>
                <w:kern w:val="0"/>
                <w:sz w:val="22"/>
              </w:rPr>
              <w:t>社会效益指标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7.5</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eastAsia="宋体" w:cs="Times New Roman"/>
                <w:color w:val="000000"/>
                <w:kern w:val="0"/>
                <w:sz w:val="22"/>
              </w:rPr>
              <w:t>可持续影响指标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3.8</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50%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群众满意度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4.2</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bookmarkStart w:id="27" w:name="_Toc67911610"/>
            <w:bookmarkStart w:id="28" w:name="_Toc100784598"/>
            <w:r>
              <w:rPr>
                <w:rFonts w:hint="eastAsia" w:ascii="Times New Roman" w:hAnsi="Times New Roman" w:cs="Times New Roman"/>
                <w:b/>
                <w:bCs/>
                <w:kern w:val="0"/>
                <w:sz w:val="24"/>
                <w:szCs w:val="24"/>
                <w:lang w:eastAsia="zh-CN"/>
              </w:rPr>
              <w:t>合计</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85.5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85.8%</w:t>
            </w:r>
          </w:p>
        </w:tc>
      </w:tr>
    </w:tbl>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val="en-US" w:eastAsia="zh-CN" w:bidi="en-US"/>
        </w:rPr>
      </w:pP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（二）主要绩效</w:t>
      </w:r>
      <w:bookmarkEnd w:id="27"/>
      <w:bookmarkEnd w:id="28"/>
    </w:p>
    <w:p>
      <w:pPr>
        <w:spacing w:line="360" w:lineRule="auto"/>
        <w:ind w:firstLine="548" w:firstLineChars="196"/>
        <w:rPr>
          <w:rFonts w:hint="default" w:ascii="Times New Roman" w:hAnsi="Times New Roman" w:cs="Times New Roman"/>
          <w:bCs/>
          <w:szCs w:val="28"/>
          <w:highlight w:val="none"/>
        </w:rPr>
      </w:pPr>
      <w:r>
        <w:rPr>
          <w:rFonts w:hint="default" w:ascii="Times New Roman" w:hAnsi="Times New Roman" w:cs="Times New Roman"/>
          <w:bCs/>
          <w:szCs w:val="28"/>
          <w:highlight w:val="none"/>
        </w:rPr>
        <w:t>该项目资金区财政及时拨付，单位在此次评价期间内，有序完成设定目标的部分工作任务，小渠子中学改扩建300立方米消防水池及附属设施已完成基础设施，</w:t>
      </w:r>
      <w:r>
        <w:rPr>
          <w:rFonts w:hint="default" w:ascii="Times New Roman" w:hAnsi="Times New Roman" w:cs="Times New Roman"/>
          <w:kern w:val="0"/>
          <w:szCs w:val="28"/>
          <w:highlight w:val="none"/>
        </w:rPr>
        <w:t>解决</w:t>
      </w:r>
      <w:r>
        <w:rPr>
          <w:rFonts w:hint="eastAsia" w:ascii="Times New Roman" w:hAnsi="Times New Roman" w:cs="Times New Roman"/>
          <w:kern w:val="0"/>
          <w:szCs w:val="28"/>
          <w:highlight w:val="none"/>
          <w:lang w:val="en-US" w:eastAsia="zh-CN"/>
        </w:rPr>
        <w:t>了</w:t>
      </w:r>
      <w:r>
        <w:rPr>
          <w:rFonts w:hint="default" w:ascii="Times New Roman" w:hAnsi="Times New Roman" w:cs="Times New Roman"/>
          <w:kern w:val="0"/>
          <w:szCs w:val="28"/>
          <w:highlight w:val="none"/>
        </w:rPr>
        <w:t>小渠子中学消防用水安全问题</w:t>
      </w:r>
      <w:r>
        <w:rPr>
          <w:rFonts w:hint="eastAsia" w:ascii="Times New Roman" w:hAnsi="Times New Roman" w:cs="Times New Roman"/>
          <w:kern w:val="0"/>
          <w:szCs w:val="28"/>
          <w:highlight w:val="none"/>
          <w:lang w:eastAsia="zh-CN"/>
        </w:rPr>
        <w:t>，</w:t>
      </w:r>
      <w:r>
        <w:rPr>
          <w:rFonts w:hint="default" w:ascii="Times New Roman" w:hAnsi="Times New Roman" w:cs="Times New Roman"/>
          <w:kern w:val="0"/>
          <w:szCs w:val="28"/>
          <w:highlight w:val="none"/>
        </w:rPr>
        <w:t>保障</w:t>
      </w:r>
      <w:r>
        <w:rPr>
          <w:rFonts w:hint="eastAsia" w:ascii="Times New Roman" w:hAnsi="Times New Roman" w:cs="Times New Roman"/>
          <w:kern w:val="0"/>
          <w:szCs w:val="28"/>
          <w:highlight w:val="none"/>
          <w:lang w:val="en-US" w:eastAsia="zh-CN"/>
        </w:rPr>
        <w:t>了</w:t>
      </w:r>
      <w:r>
        <w:rPr>
          <w:rFonts w:hint="default" w:ascii="Times New Roman" w:hAnsi="Times New Roman" w:cs="Times New Roman"/>
          <w:kern w:val="0"/>
          <w:szCs w:val="28"/>
          <w:highlight w:val="none"/>
        </w:rPr>
        <w:t>师生的人身安全和学校的财产安全</w:t>
      </w:r>
      <w:r>
        <w:rPr>
          <w:rFonts w:hint="eastAsia" w:ascii="Times New Roman" w:hAnsi="Times New Roman" w:cs="Times New Roman"/>
          <w:kern w:val="0"/>
          <w:szCs w:val="28"/>
          <w:highlight w:val="none"/>
          <w:lang w:eastAsia="zh-CN"/>
        </w:rPr>
        <w:t>，</w:t>
      </w:r>
      <w:r>
        <w:rPr>
          <w:rFonts w:hint="default" w:ascii="Times New Roman" w:hAnsi="Times New Roman" w:cs="Times New Roman"/>
          <w:bCs/>
          <w:szCs w:val="28"/>
          <w:highlight w:val="none"/>
        </w:rPr>
        <w:t>由于疫情原因，后续工作未全部施工完毕，根据进度实施，支付了160.6万元，剩余的资金，已纳入2023年预算中，施工完成后，支付剩余的尾款。</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29" w:name="_Toc67911611"/>
      <w:bookmarkStart w:id="30" w:name="_Toc100784599"/>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四、绩效评价指标分析</w:t>
      </w:r>
      <w:bookmarkEnd w:id="29"/>
      <w:bookmarkEnd w:id="30"/>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1" w:name="_Toc100784600"/>
      <w:bookmarkStart w:id="32" w:name="_Toc67911612"/>
      <w:r>
        <w:rPr>
          <w:rFonts w:hint="default" w:ascii="Times New Roman" w:hAnsi="Times New Roman" w:eastAsia="仿宋" w:cs="Times New Roman"/>
          <w:sz w:val="32"/>
          <w:szCs w:val="32"/>
          <w:lang w:bidi="en-US"/>
        </w:rPr>
        <w:t>（一）项目决策情况</w:t>
      </w:r>
      <w:bookmarkEnd w:id="31"/>
      <w:bookmarkEnd w:id="3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项目决算指标由3个二级指标和6个三级指标构成，权重为20分，实际得分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3" w:name="_Toc100784601"/>
      <w:r>
        <w:rPr>
          <w:rFonts w:hint="default" w:ascii="Times New Roman" w:hAnsi="Times New Roman" w:eastAsia="仿宋" w:cs="Times New Roman"/>
          <w:sz w:val="32"/>
          <w:szCs w:val="32"/>
          <w:lang w:bidi="en-US"/>
        </w:rPr>
        <w:t>1.项目立项</w:t>
      </w:r>
      <w:bookmarkEnd w:id="33"/>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立项依据充分性：</w:t>
      </w:r>
      <w:r>
        <w:rPr>
          <w:rFonts w:hint="default" w:ascii="Times New Roman" w:hAnsi="Times New Roman" w:cs="Times New Roman"/>
          <w:szCs w:val="28"/>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立项程序规范性:</w:t>
      </w:r>
      <w:r>
        <w:rPr>
          <w:rFonts w:hint="default" w:ascii="Times New Roman" w:hAnsi="Times New Roman" w:cs="Times New Roman"/>
        </w:rPr>
        <w:t xml:space="preserve"> </w:t>
      </w:r>
      <w:r>
        <w:rPr>
          <w:rFonts w:hint="default" w:ascii="Times New Roman" w:hAnsi="Times New Roman" w:cs="Times New Roman"/>
          <w:szCs w:val="28"/>
        </w:rPr>
        <w:t>项目按照规定的程序申请设立，审批文件、材料符合相关要求，故立项程序规范，得4分。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综上，该指标满分8分，得分8分。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4" w:name="_Toc100784602"/>
      <w:r>
        <w:rPr>
          <w:rFonts w:hint="default" w:ascii="Times New Roman" w:hAnsi="Times New Roman" w:eastAsia="仿宋" w:cs="Times New Roman"/>
          <w:sz w:val="32"/>
          <w:szCs w:val="32"/>
          <w:lang w:bidi="en-US"/>
        </w:rPr>
        <w:t>2.绩效目标</w:t>
      </w:r>
      <w:bookmarkEnd w:id="34"/>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绩效目标合理性：</w:t>
      </w:r>
      <w:r>
        <w:rPr>
          <w:rFonts w:hint="default"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hint="default" w:ascii="Times New Roman" w:hAnsi="Times New Roman" w:cs="Times New Roman"/>
          <w:kern w:val="0"/>
          <w:szCs w:val="28"/>
        </w:rPr>
      </w:pPr>
      <w:r>
        <w:rPr>
          <w:rFonts w:hint="default" w:ascii="Times New Roman" w:hAnsi="Times New Roman" w:cs="Times New Roman"/>
          <w:b/>
          <w:kern w:val="0"/>
          <w:szCs w:val="28"/>
        </w:rPr>
        <w:t>绩效目标明确性：</w:t>
      </w:r>
      <w:r>
        <w:rPr>
          <w:rFonts w:hint="default" w:ascii="Times New Roman" w:hAnsi="Times New Roman" w:cs="Times New Roman"/>
          <w:kern w:val="0"/>
          <w:szCs w:val="28"/>
        </w:rPr>
        <w:t>小渠子中学改扩建300立方米消防水池及附属设施、新购2KW潜污泵2台、1.1KW给水泵1台，彻底解决小渠子中学消防用水安全问题。消防水池达到控制可燃物、隔绝助燃物、消除着火源。室外消防水池系统是扑救火灾的重要消防设施之一。建成后，消防管道可以覆盖学校整个区域，保障在发生火灾情况下可以第一时间扑救。保障师生的人身安全和学校的财产安全。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综上，该指标满分6分，得分6分。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5" w:name="_Toc100784603"/>
      <w:r>
        <w:rPr>
          <w:rFonts w:hint="default" w:ascii="Times New Roman" w:hAnsi="Times New Roman" w:eastAsia="仿宋" w:cs="Times New Roman"/>
          <w:sz w:val="32"/>
          <w:szCs w:val="32"/>
          <w:lang w:bidi="en-US"/>
        </w:rPr>
        <w:t>3.资金投入</w:t>
      </w:r>
      <w:bookmarkEnd w:id="35"/>
    </w:p>
    <w:p>
      <w:pPr>
        <w:autoSpaceDE w:val="0"/>
        <w:spacing w:line="600" w:lineRule="exact"/>
        <w:ind w:firstLine="562"/>
        <w:rPr>
          <w:rFonts w:hint="default" w:ascii="Times New Roman" w:hAnsi="Times New Roman" w:cs="Times New Roman"/>
          <w:bCs/>
          <w:kern w:val="0"/>
          <w:szCs w:val="28"/>
        </w:rPr>
      </w:pPr>
      <w:r>
        <w:rPr>
          <w:rFonts w:hint="default" w:ascii="Times New Roman" w:hAnsi="Times New Roman" w:cs="Times New Roman"/>
          <w:b/>
          <w:kern w:val="0"/>
          <w:szCs w:val="28"/>
        </w:rPr>
        <w:t>预算编制科学性：</w:t>
      </w:r>
      <w:r>
        <w:rPr>
          <w:rFonts w:hint="default" w:ascii="Times New Roman" w:hAnsi="Times New Roman" w:cs="Times New Roman"/>
          <w:kern w:val="0"/>
          <w:szCs w:val="28"/>
        </w:rPr>
        <w:t>消防管道可以覆盖学校整个区域，保障在发生火灾情况下可以第一时间扑救</w:t>
      </w:r>
      <w:r>
        <w:rPr>
          <w:rFonts w:hint="eastAsia" w:ascii="Times New Roman" w:hAnsi="Times New Roman" w:cs="Times New Roman"/>
          <w:kern w:val="0"/>
          <w:szCs w:val="28"/>
          <w:lang w:eastAsia="zh-CN"/>
        </w:rPr>
        <w:t>，</w:t>
      </w:r>
      <w:r>
        <w:rPr>
          <w:rFonts w:hint="default" w:ascii="Times New Roman" w:hAnsi="Times New Roman" w:cs="Times New Roman"/>
          <w:kern w:val="0"/>
          <w:szCs w:val="28"/>
        </w:rPr>
        <w:t>保障师生的人身安全和学校的财产安全</w:t>
      </w:r>
      <w:r>
        <w:rPr>
          <w:rFonts w:hint="default" w:ascii="Times New Roman" w:hAnsi="Times New Roman" w:cs="Times New Roman"/>
          <w:b/>
          <w:kern w:val="0"/>
          <w:szCs w:val="28"/>
        </w:rPr>
        <w:t>。</w:t>
      </w:r>
      <w:r>
        <w:rPr>
          <w:rFonts w:hint="default" w:ascii="Times New Roman" w:hAnsi="Times New Roman" w:cs="Times New Roman"/>
          <w:kern w:val="0"/>
          <w:szCs w:val="28"/>
        </w:rPr>
        <w:t>故预算编制科学性指标得分3分。</w:t>
      </w:r>
      <w:r>
        <w:rPr>
          <w:rFonts w:hint="default" w:ascii="Times New Roman" w:hAnsi="Times New Roman" w:cs="Times New Roman"/>
          <w:bCs/>
          <w:kern w:val="0"/>
          <w:szCs w:val="28"/>
        </w:rPr>
        <w:t xml:space="preserve"> </w:t>
      </w:r>
    </w:p>
    <w:p>
      <w:pPr>
        <w:spacing w:line="360" w:lineRule="auto"/>
        <w:ind w:firstLine="562"/>
        <w:rPr>
          <w:rFonts w:hint="default" w:ascii="Times New Roman" w:hAnsi="Times New Roman" w:cs="Times New Roman"/>
        </w:rPr>
      </w:pPr>
      <w:r>
        <w:rPr>
          <w:rFonts w:hint="default" w:ascii="Times New Roman" w:hAnsi="Times New Roman" w:cs="Times New Roman"/>
          <w:b/>
          <w:bCs/>
        </w:rPr>
        <w:t>资金分配合理性</w:t>
      </w:r>
      <w:r>
        <w:rPr>
          <w:rFonts w:hint="default" w:ascii="Times New Roman" w:hAnsi="Times New Roman" w:cs="Times New Roman"/>
        </w:rPr>
        <w:t xml:space="preserve">： </w:t>
      </w:r>
      <w:r>
        <w:rPr>
          <w:rFonts w:hint="eastAsia" w:ascii="Times New Roman" w:hAnsi="Times New Roman" w:cs="Times New Roman"/>
          <w:kern w:val="0"/>
          <w:szCs w:val="28"/>
          <w:lang w:val="en-US" w:eastAsia="zh-CN"/>
        </w:rPr>
        <w:t>该项目为基建项目，属于房屋构建，录入固定资产</w:t>
      </w:r>
      <w:r>
        <w:rPr>
          <w:rFonts w:hint="default" w:ascii="Times New Roman" w:hAnsi="Times New Roman" w:cs="Times New Roman"/>
          <w:kern w:val="0"/>
          <w:szCs w:val="28"/>
        </w:rPr>
        <w:t>。故资金分配合理性指标得分3分。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6" w:name="_Toc100784604"/>
      <w:bookmarkStart w:id="37" w:name="_Toc67911613"/>
      <w:r>
        <w:rPr>
          <w:rFonts w:hint="default" w:ascii="Times New Roman" w:hAnsi="Times New Roman" w:eastAsia="仿宋" w:cs="Times New Roman"/>
          <w:sz w:val="32"/>
          <w:szCs w:val="32"/>
          <w:lang w:bidi="en-US"/>
        </w:rPr>
        <w:t>（二）项目过程情况</w:t>
      </w:r>
      <w:bookmarkEnd w:id="36"/>
      <w:bookmarkEnd w:id="37"/>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项目过程指标由2个二级指标和5个三级指标构成，权重为20分，实际得分</w:t>
      </w:r>
      <w:r>
        <w:rPr>
          <w:rFonts w:hint="eastAsia" w:ascii="Times New Roman" w:hAnsi="Times New Roman" w:cs="Times New Roman"/>
          <w:szCs w:val="28"/>
          <w:lang w:val="en-US" w:eastAsia="zh-CN"/>
        </w:rPr>
        <w:t>18.3</w:t>
      </w:r>
      <w:r>
        <w:rPr>
          <w:rFonts w:hint="default" w:ascii="Times New Roman" w:hAnsi="Times New Roman" w:cs="Times New Roman"/>
          <w:szCs w:val="28"/>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8" w:name="_Toc100784605"/>
      <w:r>
        <w:rPr>
          <w:rFonts w:hint="default" w:ascii="Times New Roman" w:hAnsi="Times New Roman" w:eastAsia="仿宋" w:cs="Times New Roman"/>
          <w:sz w:val="32"/>
          <w:szCs w:val="32"/>
          <w:lang w:bidi="en-US"/>
        </w:rPr>
        <w:t>1.资金管理</w:t>
      </w:r>
      <w:bookmarkEnd w:id="38"/>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资金到位率：</w:t>
      </w:r>
      <w:r>
        <w:rPr>
          <w:rFonts w:hint="default" w:ascii="Times New Roman" w:hAnsi="Times New Roman" w:cs="Times New Roman"/>
          <w:kern w:val="0"/>
          <w:szCs w:val="28"/>
          <w:lang w:eastAsia="zh-CN"/>
        </w:rPr>
        <w:t>预算资金</w:t>
      </w:r>
      <w:r>
        <w:rPr>
          <w:rFonts w:hint="eastAsia" w:ascii="Times New Roman" w:hAnsi="Times New Roman" w:cs="Times New Roman"/>
          <w:kern w:val="0"/>
          <w:szCs w:val="28"/>
          <w:lang w:val="en-US" w:eastAsia="zh-CN"/>
        </w:rPr>
        <w:t>240</w:t>
      </w:r>
      <w:r>
        <w:rPr>
          <w:rFonts w:hint="default" w:ascii="Times New Roman" w:hAnsi="Times New Roman" w:cs="Times New Roman"/>
          <w:kern w:val="0"/>
          <w:szCs w:val="28"/>
          <w:lang w:eastAsia="zh-CN"/>
        </w:rPr>
        <w:t>万元，</w:t>
      </w:r>
      <w:r>
        <w:rPr>
          <w:rFonts w:hint="default" w:ascii="Times New Roman" w:hAnsi="Times New Roman" w:cs="Times New Roman"/>
          <w:kern w:val="0"/>
          <w:szCs w:val="28"/>
          <w:lang w:val="en-US" w:eastAsia="zh-CN"/>
        </w:rPr>
        <w:t>202</w:t>
      </w:r>
      <w:r>
        <w:rPr>
          <w:rFonts w:hint="eastAsia" w:ascii="Times New Roman" w:hAnsi="Times New Roman" w:cs="Times New Roman"/>
          <w:kern w:val="0"/>
          <w:szCs w:val="28"/>
          <w:lang w:val="en-US" w:eastAsia="zh-CN"/>
        </w:rPr>
        <w:t>2</w:t>
      </w:r>
      <w:r>
        <w:rPr>
          <w:rFonts w:hint="default" w:ascii="Times New Roman" w:hAnsi="Times New Roman" w:cs="Times New Roman"/>
          <w:kern w:val="0"/>
          <w:szCs w:val="28"/>
          <w:lang w:val="en-US" w:eastAsia="zh-CN"/>
        </w:rPr>
        <w:t>年1月份</w:t>
      </w:r>
      <w:r>
        <w:rPr>
          <w:rFonts w:hint="default" w:ascii="Times New Roman" w:hAnsi="Times New Roman" w:cs="Times New Roman"/>
          <w:kern w:val="0"/>
          <w:szCs w:val="28"/>
          <w:lang w:eastAsia="zh-CN"/>
        </w:rPr>
        <w:t>拨付资金</w:t>
      </w:r>
      <w:r>
        <w:rPr>
          <w:rFonts w:hint="eastAsia" w:ascii="Times New Roman" w:hAnsi="Times New Roman" w:cs="Times New Roman"/>
          <w:kern w:val="0"/>
          <w:szCs w:val="28"/>
          <w:lang w:val="en-US" w:eastAsia="zh-CN"/>
        </w:rPr>
        <w:t>240</w:t>
      </w:r>
      <w:r>
        <w:rPr>
          <w:rFonts w:hint="default" w:ascii="Times New Roman" w:hAnsi="Times New Roman" w:cs="Times New Roman"/>
          <w:kern w:val="0"/>
          <w:szCs w:val="28"/>
          <w:lang w:eastAsia="zh-CN"/>
        </w:rPr>
        <w:t>万元及时到位，资金与实际到位资金相符，资金到位率100%。故资金到位率指标得分</w:t>
      </w:r>
      <w:r>
        <w:rPr>
          <w:rFonts w:hint="default" w:ascii="Times New Roman" w:hAnsi="Times New Roman" w:cs="Times New Roman"/>
          <w:kern w:val="0"/>
          <w:szCs w:val="28"/>
          <w:lang w:val="en-US" w:eastAsia="zh-CN"/>
        </w:rPr>
        <w:t>5</w:t>
      </w:r>
      <w:r>
        <w:rPr>
          <w:rFonts w:hint="default" w:ascii="Times New Roman" w:hAnsi="Times New Roman" w:cs="Times New Roman"/>
          <w:kern w:val="0"/>
          <w:szCs w:val="28"/>
          <w:lang w:eastAsia="zh-CN"/>
        </w:rPr>
        <w:t>分。</w:t>
      </w:r>
    </w:p>
    <w:p>
      <w:pPr>
        <w:spacing w:line="360" w:lineRule="auto"/>
        <w:ind w:firstLine="560"/>
        <w:rPr>
          <w:rFonts w:hint="default" w:ascii="Times New Roman" w:hAnsi="Times New Roman" w:cs="Times New Roman"/>
          <w:kern w:val="0"/>
          <w:szCs w:val="28"/>
          <w:lang w:eastAsia="zh-CN"/>
        </w:rPr>
      </w:pPr>
      <w:r>
        <w:rPr>
          <w:rFonts w:hint="default" w:ascii="Times New Roman" w:hAnsi="Times New Roman" w:cs="Times New Roman"/>
          <w:b/>
          <w:bCs/>
          <w:szCs w:val="28"/>
        </w:rPr>
        <w:t>预算执行率：</w:t>
      </w:r>
      <w:r>
        <w:rPr>
          <w:rFonts w:hint="default" w:ascii="Times New Roman" w:hAnsi="Times New Roman" w:cs="Times New Roman"/>
          <w:lang w:val="en-US" w:eastAsia="zh-CN"/>
        </w:rPr>
        <w:t>项目系2022年中央资金，共安排预算</w:t>
      </w:r>
      <w:r>
        <w:rPr>
          <w:rFonts w:hint="eastAsia" w:ascii="Times New Roman" w:hAnsi="Times New Roman" w:cs="Times New Roman"/>
          <w:lang w:val="en-US" w:eastAsia="zh-CN"/>
        </w:rPr>
        <w:t>240</w:t>
      </w:r>
      <w:r>
        <w:rPr>
          <w:rFonts w:hint="default" w:ascii="Times New Roman" w:hAnsi="Times New Roman" w:cs="Times New Roman"/>
          <w:lang w:val="en-US" w:eastAsia="zh-CN"/>
        </w:rPr>
        <w:t>万元，于2022年年中追加预算批复项目，资金到位</w:t>
      </w:r>
      <w:r>
        <w:rPr>
          <w:rFonts w:hint="eastAsia" w:ascii="Times New Roman" w:hAnsi="Times New Roman" w:cs="Times New Roman"/>
          <w:lang w:val="en-US" w:eastAsia="zh-CN"/>
        </w:rPr>
        <w:t>，</w:t>
      </w:r>
      <w:r>
        <w:rPr>
          <w:rFonts w:hint="default" w:ascii="Times New Roman" w:hAnsi="Times New Roman" w:cs="Times New Roman"/>
          <w:lang w:val="en-US" w:eastAsia="zh-CN"/>
        </w:rPr>
        <w:t>全年预算数</w:t>
      </w:r>
      <w:r>
        <w:rPr>
          <w:rFonts w:hint="eastAsia" w:ascii="Times New Roman" w:hAnsi="Times New Roman" w:cs="Times New Roman"/>
          <w:lang w:val="en-US" w:eastAsia="zh-CN"/>
        </w:rPr>
        <w:t>240</w:t>
      </w:r>
      <w:r>
        <w:rPr>
          <w:rFonts w:hint="default" w:ascii="Times New Roman" w:hAnsi="Times New Roman" w:cs="Times New Roman"/>
          <w:lang w:val="en-US" w:eastAsia="zh-CN"/>
        </w:rPr>
        <w:t>万元，全年执行</w:t>
      </w:r>
      <w:r>
        <w:rPr>
          <w:rFonts w:hint="eastAsia" w:ascii="Times New Roman" w:hAnsi="Times New Roman" w:cs="Times New Roman"/>
          <w:lang w:val="en-US" w:eastAsia="zh-CN"/>
        </w:rPr>
        <w:t>160.6</w:t>
      </w:r>
      <w:r>
        <w:rPr>
          <w:rFonts w:hint="default" w:ascii="Times New Roman" w:hAnsi="Times New Roman" w:cs="Times New Roman"/>
          <w:lang w:val="en-US" w:eastAsia="zh-CN"/>
        </w:rPr>
        <w:t>万元</w:t>
      </w:r>
      <w:r>
        <w:rPr>
          <w:rFonts w:hint="eastAsia"/>
          <w:lang w:eastAsia="zh-CN"/>
        </w:rPr>
        <w:t>，</w:t>
      </w:r>
      <w:r>
        <w:rPr>
          <w:rFonts w:hint="eastAsia"/>
          <w:lang w:val="en-US" w:eastAsia="zh-CN"/>
        </w:rPr>
        <w:t>共</w:t>
      </w:r>
      <w:r>
        <w:rPr>
          <w:rFonts w:hint="eastAsia"/>
          <w:lang w:eastAsia="zh-CN"/>
        </w:rPr>
        <w:t>分</w:t>
      </w:r>
      <w:r>
        <w:rPr>
          <w:rFonts w:hint="eastAsia" w:ascii="Times New Roman" w:hAnsi="Times New Roman" w:cs="Times New Roman"/>
          <w:kern w:val="0"/>
          <w:szCs w:val="28"/>
          <w:lang w:eastAsia="zh-CN"/>
        </w:rPr>
        <w:t>两次支付，</w:t>
      </w:r>
      <w:r>
        <w:rPr>
          <w:rFonts w:hint="eastAsia" w:ascii="Times New Roman" w:hAnsi="Times New Roman" w:cs="Times New Roman"/>
          <w:kern w:val="0"/>
          <w:szCs w:val="28"/>
          <w:lang w:val="en-US" w:eastAsia="zh-CN"/>
        </w:rPr>
        <w:t>第一次</w:t>
      </w:r>
      <w:r>
        <w:rPr>
          <w:rFonts w:hint="eastAsia" w:ascii="Times New Roman" w:hAnsi="Times New Roman" w:cs="Times New Roman"/>
          <w:kern w:val="0"/>
          <w:szCs w:val="28"/>
          <w:lang w:eastAsia="zh-CN"/>
        </w:rPr>
        <w:t>于</w:t>
      </w:r>
      <w:r>
        <w:rPr>
          <w:rFonts w:hint="eastAsia" w:ascii="Times New Roman" w:hAnsi="Times New Roman" w:cs="Times New Roman"/>
          <w:kern w:val="0"/>
          <w:szCs w:val="28"/>
          <w:lang w:val="en-US" w:eastAsia="zh-CN"/>
        </w:rPr>
        <w:t>2022年8月支付项目资金157.07万元，分别给北桥中七设计有限公司、重庆市明科建设咨询有限公司、新疆高新工程项目管理有限责任公司、新疆岩土工程勘察设计研究院有限公司乌鲁木齐县分公司、江苏华实市政建设集团有限公司等五家单位</w:t>
      </w:r>
      <w:r>
        <w:rPr>
          <w:rFonts w:hint="default" w:ascii="Times New Roman" w:hAnsi="Times New Roman" w:cs="Times New Roman"/>
          <w:kern w:val="0"/>
          <w:szCs w:val="28"/>
          <w:lang w:val="en-US" w:eastAsia="zh-CN"/>
        </w:rPr>
        <w:t>，</w:t>
      </w:r>
      <w:r>
        <w:rPr>
          <w:rFonts w:hint="eastAsia" w:ascii="Times New Roman" w:hAnsi="Times New Roman" w:cs="Times New Roman"/>
          <w:kern w:val="0"/>
          <w:szCs w:val="28"/>
          <w:lang w:val="en-US" w:eastAsia="zh-CN"/>
        </w:rPr>
        <w:t>第二次2022年12月支付资金3.53万元，分别给北桥中七设计有限公司、新疆高新工程项目管理有限责任公司，</w:t>
      </w:r>
      <w:r>
        <w:rPr>
          <w:rFonts w:hint="default" w:ascii="Times New Roman" w:hAnsi="Times New Roman" w:cs="Times New Roman"/>
          <w:kern w:val="0"/>
          <w:szCs w:val="28"/>
          <w:lang w:val="en-US" w:eastAsia="zh-CN"/>
        </w:rPr>
        <w:t>执行率</w:t>
      </w:r>
      <w:r>
        <w:rPr>
          <w:rFonts w:hint="eastAsia" w:ascii="Times New Roman" w:hAnsi="Times New Roman" w:cs="Times New Roman"/>
          <w:kern w:val="0"/>
          <w:szCs w:val="28"/>
          <w:lang w:val="en-US" w:eastAsia="zh-CN"/>
        </w:rPr>
        <w:t>66.92</w:t>
      </w:r>
      <w:r>
        <w:rPr>
          <w:rFonts w:hint="default" w:ascii="Times New Roman" w:hAnsi="Times New Roman" w:cs="Times New Roman"/>
          <w:kern w:val="0"/>
          <w:szCs w:val="28"/>
          <w:lang w:val="en-US" w:eastAsia="zh-CN"/>
        </w:rPr>
        <w:t>%</w:t>
      </w:r>
      <w:r>
        <w:rPr>
          <w:rFonts w:hint="default" w:ascii="Times New Roman" w:hAnsi="Times New Roman" w:cs="Times New Roman"/>
          <w:kern w:val="0"/>
          <w:szCs w:val="28"/>
          <w:lang w:eastAsia="zh-CN"/>
        </w:rPr>
        <w:t>。故预算执行率得分为</w:t>
      </w:r>
      <w:r>
        <w:rPr>
          <w:rFonts w:hint="eastAsia" w:ascii="Times New Roman" w:hAnsi="Times New Roman" w:cs="Times New Roman"/>
          <w:kern w:val="0"/>
          <w:szCs w:val="28"/>
          <w:lang w:val="en-US" w:eastAsia="zh-CN"/>
        </w:rPr>
        <w:t>3.3</w:t>
      </w:r>
      <w:r>
        <w:rPr>
          <w:rFonts w:hint="default" w:ascii="Times New Roman" w:hAnsi="Times New Roman" w:cs="Times New Roman"/>
          <w:kern w:val="0"/>
          <w:szCs w:val="28"/>
          <w:lang w:eastAsia="zh-CN"/>
        </w:rPr>
        <w:t>分。</w:t>
      </w:r>
      <w:bookmarkStart w:id="62" w:name="_GoBack"/>
      <w:bookmarkEnd w:id="62"/>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资金使用合规性：</w:t>
      </w:r>
      <w:r>
        <w:rPr>
          <w:rFonts w:hint="default" w:ascii="Times New Roman" w:hAnsi="Times New Roman" w:cs="Times New Roman"/>
          <w:szCs w:val="28"/>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w:t>
      </w:r>
      <w:r>
        <w:rPr>
          <w:rFonts w:hint="eastAsia" w:ascii="Times New Roman" w:hAnsi="Times New Roman" w:cs="Times New Roman"/>
          <w:szCs w:val="28"/>
          <w:lang w:val="en-US" w:eastAsia="zh-CN"/>
        </w:rPr>
        <w:t>3</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综上，该指标满分13分，得分</w:t>
      </w:r>
      <w:r>
        <w:rPr>
          <w:rFonts w:hint="eastAsia" w:ascii="Times New Roman" w:hAnsi="Times New Roman" w:cs="Times New Roman"/>
          <w:b/>
          <w:kern w:val="0"/>
          <w:szCs w:val="28"/>
          <w:lang w:val="en-US" w:eastAsia="zh-CN"/>
        </w:rPr>
        <w:t>11.3</w:t>
      </w:r>
      <w:r>
        <w:rPr>
          <w:rFonts w:hint="default" w:ascii="Times New Roman" w:hAnsi="Times New Roman" w:cs="Times New Roman"/>
          <w:b/>
          <w:kern w:val="0"/>
          <w:szCs w:val="28"/>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9" w:name="_Toc100784606"/>
      <w:r>
        <w:rPr>
          <w:rFonts w:hint="default" w:ascii="Times New Roman" w:hAnsi="Times New Roman" w:eastAsia="仿宋" w:cs="Times New Roman"/>
          <w:sz w:val="32"/>
          <w:szCs w:val="32"/>
          <w:lang w:bidi="en-US"/>
        </w:rPr>
        <w:t>2.组织实施</w:t>
      </w:r>
      <w:bookmarkEnd w:id="39"/>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管理制度健全性</w:t>
      </w:r>
      <w:r>
        <w:rPr>
          <w:rFonts w:hint="default" w:ascii="Times New Roman" w:hAnsi="Times New Roman" w:cs="Times New Roman"/>
          <w:szCs w:val="28"/>
        </w:rPr>
        <w:t>：</w:t>
      </w:r>
      <w:r>
        <w:rPr>
          <w:rFonts w:hint="eastAsia" w:ascii="Times New Roman" w:hAnsi="Times New Roman" w:cs="Times New Roman"/>
          <w:szCs w:val="28"/>
          <w:lang w:val="en-US" w:eastAsia="zh-CN"/>
        </w:rPr>
        <w:t>乌鲁木齐县小渠子中学</w:t>
      </w:r>
      <w:r>
        <w:rPr>
          <w:rFonts w:hint="default" w:ascii="Times New Roman" w:hAnsi="Times New Roman" w:cs="Times New Roman"/>
          <w:szCs w:val="28"/>
        </w:rPr>
        <w:t>已制定相应的财务和业务管理制度，且制度合法、合规、完整，为项目顺利实施提供重要保障。故管理制度健全性得分为3分。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制度执行有效性：</w:t>
      </w:r>
      <w:r>
        <w:rPr>
          <w:rFonts w:hint="default" w:ascii="Times New Roman" w:hAnsi="Times New Roman" w:cs="Times New Roman"/>
          <w:szCs w:val="28"/>
        </w:rPr>
        <w:t>根据现场调研和资料抽查情况，</w:t>
      </w:r>
      <w:r>
        <w:rPr>
          <w:rFonts w:hint="eastAsia" w:ascii="Times New Roman" w:hAnsi="Times New Roman" w:cs="Times New Roman"/>
          <w:szCs w:val="28"/>
          <w:lang w:val="en-US" w:eastAsia="zh-CN"/>
        </w:rPr>
        <w:t>项目</w:t>
      </w:r>
      <w:r>
        <w:rPr>
          <w:rFonts w:hint="default" w:ascii="Times New Roman" w:hAnsi="Times New Roman" w:cs="Times New Roman"/>
          <w:szCs w:val="28"/>
        </w:rPr>
        <w:t>严格遵守相关法律法规和相关管理规定，项目调整及支出调整手续完备，整体管理合理有序，项目完成后，及时将会计凭证、固定资产入库单等相关资料分类归档，制度执行有效。故制度执行有效性指标得分4分。</w:t>
      </w:r>
    </w:p>
    <w:p>
      <w:pPr>
        <w:autoSpaceDE w:val="0"/>
        <w:spacing w:line="600" w:lineRule="exact"/>
        <w:ind w:firstLine="562"/>
        <w:rPr>
          <w:rFonts w:hint="default" w:ascii="Times New Roman" w:hAnsi="Times New Roman" w:cs="Times New Roman"/>
          <w:b/>
          <w:kern w:val="0"/>
          <w:szCs w:val="28"/>
        </w:rPr>
      </w:pPr>
      <w:bookmarkStart w:id="40" w:name="_Hlk67670213"/>
      <w:r>
        <w:rPr>
          <w:rFonts w:hint="default" w:ascii="Times New Roman" w:hAnsi="Times New Roman" w:cs="Times New Roman"/>
          <w:b/>
          <w:kern w:val="0"/>
          <w:szCs w:val="28"/>
        </w:rPr>
        <w:t>综上，该指标满分7分，得分7分。</w:t>
      </w:r>
    </w:p>
    <w:bookmarkEnd w:id="40"/>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1" w:name="_Toc67911614"/>
      <w:bookmarkStart w:id="42" w:name="_Toc100784607"/>
      <w:r>
        <w:rPr>
          <w:rFonts w:hint="default" w:ascii="Times New Roman" w:hAnsi="Times New Roman" w:eastAsia="仿宋" w:cs="Times New Roman"/>
          <w:sz w:val="32"/>
          <w:szCs w:val="32"/>
          <w:lang w:bidi="en-US"/>
        </w:rPr>
        <w:t>（三）项目产出情况</w:t>
      </w:r>
      <w:bookmarkEnd w:id="41"/>
      <w:bookmarkEnd w:id="4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项目产出指标由4个二级指标和4个三级指标构成，权重为40分，实际得分</w:t>
      </w:r>
      <w:r>
        <w:rPr>
          <w:rFonts w:hint="eastAsia" w:ascii="Times New Roman" w:hAnsi="Times New Roman" w:cs="Times New Roman"/>
          <w:szCs w:val="28"/>
          <w:lang w:val="en-US" w:eastAsia="zh-CN"/>
        </w:rPr>
        <w:t>32</w:t>
      </w:r>
      <w:r>
        <w:rPr>
          <w:rFonts w:hint="default" w:ascii="Times New Roman" w:hAnsi="Times New Roman" w:cs="Times New Roman"/>
          <w:szCs w:val="28"/>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3" w:name="_Toc100784608"/>
      <w:r>
        <w:rPr>
          <w:rFonts w:hint="default" w:ascii="Times New Roman" w:hAnsi="Times New Roman" w:eastAsia="仿宋" w:cs="Times New Roman"/>
          <w:sz w:val="32"/>
          <w:szCs w:val="32"/>
          <w:lang w:bidi="en-US"/>
        </w:rPr>
        <w:t>1.产出数量</w:t>
      </w:r>
      <w:bookmarkEnd w:id="43"/>
    </w:p>
    <w:p>
      <w:pPr>
        <w:spacing w:line="360" w:lineRule="auto"/>
        <w:ind w:firstLine="560"/>
        <w:rPr>
          <w:rFonts w:hint="default" w:ascii="Times New Roman" w:hAnsi="Times New Roman" w:eastAsia="仿宋_GB2312" w:cs="Times New Roman"/>
          <w:bCs/>
          <w:szCs w:val="28"/>
          <w:lang w:val="en-US" w:eastAsia="zh-CN"/>
        </w:rPr>
      </w:pPr>
      <w:r>
        <w:rPr>
          <w:rFonts w:hint="default" w:ascii="Times New Roman" w:hAnsi="Times New Roman" w:cs="Times New Roman"/>
          <w:bCs/>
          <w:szCs w:val="28"/>
        </w:rPr>
        <w:t>数量指标“总建设面积”的目标值是</w:t>
      </w:r>
      <w:r>
        <w:rPr>
          <w:rFonts w:hint="eastAsia" w:ascii="Times New Roman" w:hAnsi="Times New Roman" w:cs="Times New Roman"/>
          <w:bCs/>
          <w:szCs w:val="28"/>
          <w:lang w:val="en-US" w:eastAsia="zh-CN"/>
        </w:rPr>
        <w:t>300立方米</w:t>
      </w:r>
      <w:r>
        <w:rPr>
          <w:rFonts w:hint="default" w:ascii="Times New Roman" w:hAnsi="Times New Roman" w:cs="Times New Roman"/>
          <w:bCs/>
          <w:szCs w:val="28"/>
        </w:rPr>
        <w:t>，2022年度我单位</w:t>
      </w:r>
      <w:r>
        <w:rPr>
          <w:rFonts w:hint="eastAsia" w:ascii="Times New Roman" w:hAnsi="Times New Roman" w:cs="Times New Roman"/>
          <w:bCs/>
          <w:szCs w:val="28"/>
          <w:lang w:val="en-US" w:eastAsia="zh-CN"/>
        </w:rPr>
        <w:t>建设300立方米的消防水池。</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实际完成率：</w:t>
      </w:r>
      <w:r>
        <w:rPr>
          <w:rFonts w:hint="eastAsia" w:ascii="Times New Roman" w:hAnsi="Times New Roman" w:cs="Times New Roman"/>
          <w:szCs w:val="28"/>
          <w:lang w:val="en-US" w:eastAsia="zh-CN"/>
        </w:rPr>
        <w:t>100%</w:t>
      </w:r>
      <w:r>
        <w:rPr>
          <w:rFonts w:hint="default" w:ascii="Times New Roman" w:hAnsi="Times New Roman" w:cs="Times New Roman"/>
          <w:szCs w:val="28"/>
        </w:rPr>
        <w:t>，故实际完成率得分为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4" w:name="_Toc100784609"/>
      <w:r>
        <w:rPr>
          <w:rFonts w:hint="default" w:ascii="Times New Roman" w:hAnsi="Times New Roman" w:eastAsia="仿宋" w:cs="Times New Roman"/>
          <w:sz w:val="32"/>
          <w:szCs w:val="32"/>
          <w:lang w:bidi="en-US"/>
        </w:rPr>
        <w:t>2.产出质量</w:t>
      </w:r>
      <w:bookmarkEnd w:id="44"/>
    </w:p>
    <w:p>
      <w:pPr>
        <w:spacing w:line="360" w:lineRule="auto"/>
        <w:ind w:firstLine="560"/>
        <w:rPr>
          <w:rFonts w:hint="default" w:ascii="Times New Roman" w:hAnsi="Times New Roman" w:cs="Times New Roman"/>
          <w:bCs/>
          <w:szCs w:val="28"/>
          <w:lang w:val="en-US" w:eastAsia="zh-CN"/>
        </w:rPr>
      </w:pPr>
      <w:r>
        <w:rPr>
          <w:rFonts w:hint="eastAsia" w:ascii="Times New Roman" w:hAnsi="Times New Roman" w:cs="Times New Roman"/>
          <w:bCs/>
          <w:szCs w:val="28"/>
          <w:lang w:val="en-US" w:eastAsia="zh-CN"/>
        </w:rPr>
        <w:t>质量指标“工程验收合格率”</w:t>
      </w:r>
      <w:r>
        <w:rPr>
          <w:rFonts w:hint="default" w:ascii="Times New Roman" w:hAnsi="Times New Roman" w:cs="Times New Roman"/>
          <w:bCs/>
          <w:szCs w:val="28"/>
        </w:rPr>
        <w:t>的目标值是</w:t>
      </w:r>
      <w:r>
        <w:rPr>
          <w:rFonts w:hint="eastAsia" w:ascii="Times New Roman" w:hAnsi="Times New Roman" w:cs="Times New Roman"/>
          <w:bCs/>
          <w:szCs w:val="28"/>
          <w:lang w:val="en-US" w:eastAsia="zh-CN"/>
        </w:rPr>
        <w:t>100%</w:t>
      </w:r>
      <w:r>
        <w:rPr>
          <w:rFonts w:hint="default" w:ascii="Times New Roman" w:hAnsi="Times New Roman" w:cs="Times New Roman"/>
          <w:bCs/>
          <w:szCs w:val="28"/>
        </w:rPr>
        <w:t>，2022年度我单位</w:t>
      </w:r>
      <w:r>
        <w:rPr>
          <w:rFonts w:hint="eastAsia" w:ascii="Times New Roman" w:hAnsi="Times New Roman" w:cs="Times New Roman"/>
          <w:bCs/>
          <w:szCs w:val="28"/>
          <w:lang w:val="en-US" w:eastAsia="zh-CN"/>
        </w:rPr>
        <w:t>完成60%。</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工程验收率：</w:t>
      </w:r>
      <w:r>
        <w:rPr>
          <w:rFonts w:hint="eastAsia" w:ascii="Times New Roman" w:hAnsi="Times New Roman" w:cs="Times New Roman"/>
          <w:szCs w:val="28"/>
          <w:lang w:val="en-US" w:eastAsia="zh-CN"/>
        </w:rPr>
        <w:t>由于疫情原因，其他附属设施未建成无法全部工程，进行验收，针对已完成工程进行了验收，故</w:t>
      </w:r>
      <w:r>
        <w:rPr>
          <w:rFonts w:hint="default" w:ascii="Times New Roman" w:hAnsi="Times New Roman" w:cs="Times New Roman"/>
          <w:szCs w:val="28"/>
        </w:rPr>
        <w:t>质量达标率得分为</w:t>
      </w:r>
      <w:r>
        <w:rPr>
          <w:rFonts w:hint="eastAsia" w:ascii="Times New Roman" w:hAnsi="Times New Roman" w:cs="Times New Roman"/>
          <w:szCs w:val="28"/>
          <w:lang w:val="en-US" w:eastAsia="zh-CN"/>
        </w:rPr>
        <w:t>6</w:t>
      </w:r>
      <w:r>
        <w:rPr>
          <w:rFonts w:hint="default" w:ascii="Times New Roman" w:hAnsi="Times New Roman" w:cs="Times New Roman"/>
          <w:szCs w:val="28"/>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5" w:name="_Toc100784610"/>
      <w:r>
        <w:rPr>
          <w:rFonts w:hint="default" w:ascii="Times New Roman" w:hAnsi="Times New Roman" w:eastAsia="仿宋" w:cs="Times New Roman"/>
          <w:sz w:val="32"/>
          <w:szCs w:val="32"/>
          <w:lang w:bidi="en-US"/>
        </w:rPr>
        <w:t>3.产出时效</w:t>
      </w:r>
      <w:bookmarkEnd w:id="45"/>
    </w:p>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时效指标“项目按期完成率”</w:t>
      </w:r>
      <w:r>
        <w:rPr>
          <w:rFonts w:hint="default" w:ascii="Times New Roman" w:hAnsi="Times New Roman" w:cs="Times New Roman"/>
          <w:bCs/>
          <w:szCs w:val="28"/>
        </w:rPr>
        <w:t>的目标值是</w:t>
      </w:r>
      <w:r>
        <w:rPr>
          <w:rFonts w:hint="eastAsia" w:ascii="Times New Roman" w:hAnsi="Times New Roman" w:cs="Times New Roman"/>
          <w:bCs/>
          <w:szCs w:val="28"/>
          <w:lang w:val="en-US" w:eastAsia="zh-CN"/>
        </w:rPr>
        <w:t>100%</w:t>
      </w:r>
      <w:r>
        <w:rPr>
          <w:rFonts w:hint="default" w:ascii="Times New Roman" w:hAnsi="Times New Roman" w:cs="Times New Roman"/>
          <w:bCs/>
          <w:szCs w:val="28"/>
        </w:rPr>
        <w:t>，2022年度</w:t>
      </w:r>
      <w:r>
        <w:rPr>
          <w:rFonts w:hint="eastAsia" w:ascii="Times New Roman" w:hAnsi="Times New Roman" w:cs="Times New Roman"/>
          <w:bCs/>
          <w:szCs w:val="28"/>
          <w:lang w:val="en-US" w:eastAsia="zh-CN"/>
        </w:rPr>
        <w:t>根据工程进度</w:t>
      </w:r>
      <w:r>
        <w:rPr>
          <w:rFonts w:hint="default" w:ascii="Times New Roman" w:hAnsi="Times New Roman" w:cs="Times New Roman"/>
          <w:bCs/>
          <w:szCs w:val="28"/>
        </w:rPr>
        <w:t>我单位</w:t>
      </w:r>
      <w:r>
        <w:rPr>
          <w:rFonts w:hint="eastAsia" w:ascii="Times New Roman" w:hAnsi="Times New Roman" w:cs="Times New Roman"/>
          <w:bCs/>
          <w:szCs w:val="28"/>
          <w:lang w:val="en-US" w:eastAsia="zh-CN"/>
        </w:rPr>
        <w:t>完成60%。</w:t>
      </w:r>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完成及时性：</w:t>
      </w:r>
    </w:p>
    <w:p>
      <w:pPr>
        <w:spacing w:line="360" w:lineRule="auto"/>
        <w:ind w:firstLine="562"/>
        <w:rPr>
          <w:rFonts w:hint="default" w:ascii="Times New Roman" w:hAnsi="Times New Roman" w:cs="Times New Roman"/>
          <w:szCs w:val="28"/>
        </w:rPr>
      </w:pPr>
      <w:r>
        <w:rPr>
          <w:rFonts w:hint="default" w:ascii="Times New Roman" w:hAnsi="Times New Roman" w:cs="Times New Roman"/>
          <w:szCs w:val="28"/>
        </w:rPr>
        <w:t>建设工程完工及时率：小渠子中学改扩建300立方米消防水池及附属设施已完成基础设施，由于疫情原因，后续工作未全部施工完毕，根据进度实施，支付了160.6万元，剩余的资金，已纳入2023年预算中，施工完成后，支付剩余的尾款</w:t>
      </w:r>
      <w:r>
        <w:rPr>
          <w:rFonts w:hint="eastAsia" w:ascii="Times New Roman" w:hAnsi="Times New Roman" w:cs="Times New Roman"/>
          <w:szCs w:val="28"/>
          <w:lang w:eastAsia="zh-CN"/>
        </w:rPr>
        <w:t>，</w:t>
      </w:r>
      <w:r>
        <w:rPr>
          <w:rFonts w:hint="default" w:ascii="Times New Roman" w:hAnsi="Times New Roman" w:cs="Times New Roman"/>
          <w:szCs w:val="28"/>
        </w:rPr>
        <w:t>故完成及时性得分为</w:t>
      </w:r>
      <w:r>
        <w:rPr>
          <w:rFonts w:hint="eastAsia" w:ascii="Times New Roman" w:hAnsi="Times New Roman" w:cs="Times New Roman"/>
          <w:szCs w:val="28"/>
          <w:lang w:val="en-US" w:eastAsia="zh-CN"/>
        </w:rPr>
        <w:t>6</w:t>
      </w:r>
      <w:r>
        <w:rPr>
          <w:rFonts w:hint="default" w:ascii="Times New Roman" w:hAnsi="Times New Roman" w:cs="Times New Roman"/>
          <w:szCs w:val="28"/>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6" w:name="_Toc100784611"/>
      <w:r>
        <w:rPr>
          <w:rFonts w:hint="default" w:ascii="Times New Roman" w:hAnsi="Times New Roman" w:eastAsia="仿宋" w:cs="Times New Roman"/>
          <w:sz w:val="32"/>
          <w:szCs w:val="32"/>
          <w:lang w:bidi="en-US"/>
        </w:rPr>
        <w:t>4.产出成本</w:t>
      </w:r>
      <w:bookmarkEnd w:id="46"/>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成本</w:t>
      </w:r>
      <w:r>
        <w:rPr>
          <w:rFonts w:hint="eastAsia" w:ascii="Times New Roman" w:hAnsi="Times New Roman" w:cs="Times New Roman"/>
          <w:b/>
          <w:bCs/>
          <w:szCs w:val="28"/>
          <w:lang w:val="en-US" w:eastAsia="zh-CN"/>
        </w:rPr>
        <w:t>控制率</w:t>
      </w:r>
      <w:r>
        <w:rPr>
          <w:rFonts w:hint="default" w:ascii="Times New Roman" w:hAnsi="Times New Roman" w:cs="Times New Roman"/>
          <w:b/>
          <w:bCs/>
          <w:szCs w:val="28"/>
        </w:rPr>
        <w:t>率：</w:t>
      </w:r>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项目预算控制率，</w:t>
      </w:r>
      <w:r>
        <w:rPr>
          <w:rFonts w:hint="default" w:ascii="Times New Roman" w:hAnsi="Times New Roman" w:cs="Times New Roman"/>
          <w:szCs w:val="28"/>
        </w:rPr>
        <w:t>根据进度实施，支付了160.6万元，</w:t>
      </w:r>
      <w:r>
        <w:rPr>
          <w:rFonts w:hint="eastAsia" w:ascii="Times New Roman" w:hAnsi="Times New Roman" w:cs="Times New Roman"/>
          <w:szCs w:val="28"/>
          <w:lang w:val="en-US" w:eastAsia="zh-CN"/>
        </w:rPr>
        <w:t>未超出预算范围 ，</w:t>
      </w:r>
      <w:r>
        <w:rPr>
          <w:rFonts w:hint="default" w:ascii="Times New Roman" w:hAnsi="Times New Roman" w:cs="Times New Roman"/>
          <w:szCs w:val="28"/>
        </w:rPr>
        <w:t>故得分为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综上，该指标满分40分，得分</w:t>
      </w:r>
      <w:r>
        <w:rPr>
          <w:rFonts w:hint="eastAsia" w:ascii="Times New Roman" w:hAnsi="Times New Roman" w:cs="Times New Roman"/>
          <w:b/>
          <w:kern w:val="0"/>
          <w:szCs w:val="28"/>
          <w:lang w:val="en-US" w:eastAsia="zh-CN"/>
        </w:rPr>
        <w:t>32</w:t>
      </w:r>
      <w:r>
        <w:rPr>
          <w:rFonts w:hint="default" w:ascii="Times New Roman" w:hAnsi="Times New Roman" w:cs="Times New Roman"/>
          <w:b/>
          <w:kern w:val="0"/>
          <w:szCs w:val="28"/>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7" w:name="_Toc67911615"/>
      <w:bookmarkStart w:id="48" w:name="_Toc100784612"/>
      <w:r>
        <w:rPr>
          <w:rFonts w:hint="default" w:ascii="Times New Roman" w:hAnsi="Times New Roman" w:eastAsia="仿宋" w:cs="Times New Roman"/>
          <w:sz w:val="32"/>
          <w:szCs w:val="32"/>
          <w:lang w:bidi="en-US"/>
        </w:rPr>
        <w:t>（四）项目效益情况</w:t>
      </w:r>
      <w:bookmarkEnd w:id="47"/>
      <w:bookmarkEnd w:id="48"/>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项目效益指标由1个二级指标和2个三级指标构成，权重为</w:t>
      </w:r>
      <w:r>
        <w:rPr>
          <w:rFonts w:hint="eastAsia" w:ascii="Times New Roman" w:hAnsi="Times New Roman" w:cs="Times New Roman"/>
          <w:szCs w:val="28"/>
          <w:lang w:val="en-US" w:eastAsia="zh-CN"/>
        </w:rPr>
        <w:t>20</w:t>
      </w:r>
      <w:r>
        <w:rPr>
          <w:rFonts w:hint="default" w:ascii="Times New Roman" w:hAnsi="Times New Roman" w:cs="Times New Roman"/>
          <w:szCs w:val="28"/>
        </w:rPr>
        <w:t>分，实际得分</w:t>
      </w:r>
      <w:r>
        <w:rPr>
          <w:rFonts w:hint="eastAsia" w:ascii="Times New Roman" w:hAnsi="Times New Roman" w:cs="Times New Roman"/>
          <w:szCs w:val="28"/>
          <w:lang w:val="en-US" w:eastAsia="zh-CN"/>
        </w:rPr>
        <w:t>11.3</w:t>
      </w:r>
      <w:r>
        <w:rPr>
          <w:rFonts w:hint="default" w:ascii="Times New Roman" w:hAnsi="Times New Roman" w:cs="Times New Roman"/>
          <w:szCs w:val="28"/>
        </w:rPr>
        <w:t xml:space="preserve">分。 </w:t>
      </w:r>
    </w:p>
    <w:p>
      <w:pPr>
        <w:pStyle w:val="7"/>
        <w:ind w:firstLine="643"/>
        <w:rPr>
          <w:rFonts w:hint="default" w:ascii="Times New Roman" w:hAnsi="Times New Roman" w:cs="Times New Roman"/>
        </w:rPr>
      </w:pPr>
      <w:bookmarkStart w:id="49" w:name="_Toc100784613"/>
      <w:r>
        <w:rPr>
          <w:rFonts w:hint="default" w:ascii="Times New Roman" w:hAnsi="Times New Roman" w:cs="Times New Roman"/>
        </w:rPr>
        <w:t>1.项目效益</w:t>
      </w:r>
      <w:bookmarkEnd w:id="49"/>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（1）实施效益</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经济效益指标：</w:t>
      </w:r>
      <w:r>
        <w:rPr>
          <w:rFonts w:hint="default" w:ascii="Times New Roman" w:hAnsi="Times New Roman" w:cs="Times New Roman"/>
          <w:szCs w:val="28"/>
        </w:rPr>
        <w:t xml:space="preserve">不适用。 </w:t>
      </w:r>
    </w:p>
    <w:p>
      <w:pPr>
        <w:spacing w:line="360" w:lineRule="auto"/>
        <w:ind w:firstLine="562"/>
        <w:rPr>
          <w:rFonts w:hint="default" w:ascii="Times New Roman" w:hAnsi="Times New Roman" w:eastAsia="仿宋_GB2312" w:cs="Times New Roman"/>
          <w:szCs w:val="28"/>
          <w:lang w:val="en-US" w:eastAsia="zh-CN"/>
        </w:rPr>
      </w:pPr>
      <w:r>
        <w:rPr>
          <w:rFonts w:hint="default" w:ascii="Times New Roman" w:hAnsi="Times New Roman" w:cs="Times New Roman"/>
          <w:b/>
          <w:bCs/>
          <w:szCs w:val="28"/>
        </w:rPr>
        <w:t>社会效益指标</w:t>
      </w:r>
      <w:r>
        <w:rPr>
          <w:rFonts w:hint="default" w:ascii="Times New Roman" w:hAnsi="Times New Roman" w:cs="Times New Roman"/>
          <w:szCs w:val="28"/>
        </w:rPr>
        <w:t>：评价指标“保障学校正常运转”，指标值：有效保障，实际完成值：</w:t>
      </w:r>
      <w:r>
        <w:rPr>
          <w:rFonts w:hint="eastAsia" w:ascii="Times New Roman" w:hAnsi="Times New Roman" w:cs="Times New Roman"/>
          <w:szCs w:val="28"/>
          <w:lang w:val="en-US" w:eastAsia="zh-CN"/>
        </w:rPr>
        <w:t>基本达到预期效果</w:t>
      </w:r>
      <w:r>
        <w:rPr>
          <w:rFonts w:hint="default" w:ascii="Times New Roman" w:hAnsi="Times New Roman" w:cs="Times New Roman"/>
          <w:szCs w:val="28"/>
        </w:rPr>
        <w:t>。本项目的实施由于疫情原因，后续工作未全部施工完毕，</w:t>
      </w:r>
      <w:r>
        <w:rPr>
          <w:rFonts w:hint="eastAsia" w:ascii="Times New Roman" w:hAnsi="Times New Roman" w:cs="Times New Roman"/>
          <w:szCs w:val="28"/>
          <w:lang w:val="en-US" w:eastAsia="zh-CN"/>
        </w:rPr>
        <w:t>无法保障目标值。</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生态效益指标</w:t>
      </w:r>
      <w:r>
        <w:rPr>
          <w:rFonts w:hint="default" w:ascii="Times New Roman" w:hAnsi="Times New Roman" w:cs="Times New Roman"/>
          <w:szCs w:val="28"/>
        </w:rPr>
        <w:t>：不适用。</w:t>
      </w:r>
    </w:p>
    <w:p>
      <w:pPr>
        <w:spacing w:line="360" w:lineRule="auto"/>
        <w:ind w:firstLine="562"/>
        <w:rPr>
          <w:rFonts w:hint="eastAsia" w:ascii="Times New Roman" w:hAnsi="Times New Roman" w:eastAsia="仿宋_GB2312" w:cs="Times New Roman"/>
          <w:szCs w:val="28"/>
          <w:lang w:eastAsia="zh-CN"/>
        </w:rPr>
      </w:pPr>
      <w:r>
        <w:rPr>
          <w:rFonts w:hint="default" w:ascii="Times New Roman" w:hAnsi="Times New Roman" w:cs="Times New Roman"/>
          <w:b/>
          <w:bCs/>
          <w:szCs w:val="28"/>
        </w:rPr>
        <w:t>可持续影响指标：</w:t>
      </w:r>
      <w:r>
        <w:rPr>
          <w:rFonts w:hint="default" w:ascii="Times New Roman" w:hAnsi="Times New Roman" w:cs="Times New Roman"/>
          <w:szCs w:val="28"/>
        </w:rPr>
        <w:t>评价指标“改善办学条件”，指标值：长期改善，实际完成值：</w:t>
      </w:r>
      <w:r>
        <w:rPr>
          <w:rFonts w:hint="eastAsia" w:ascii="Times New Roman" w:hAnsi="Times New Roman" w:cs="Times New Roman"/>
          <w:szCs w:val="28"/>
          <w:lang w:val="en-US" w:eastAsia="zh-CN"/>
        </w:rPr>
        <w:t>基本达到预期效果</w:t>
      </w:r>
      <w:r>
        <w:rPr>
          <w:rFonts w:hint="default" w:ascii="Times New Roman" w:hAnsi="Times New Roman" w:cs="Times New Roman"/>
          <w:szCs w:val="28"/>
        </w:rPr>
        <w:t>。扩建300立方米消防水池已完成基础设施，由于疫情原因，附属设施</w:t>
      </w:r>
      <w:r>
        <w:rPr>
          <w:rFonts w:hint="eastAsia" w:ascii="Times New Roman" w:hAnsi="Times New Roman" w:cs="Times New Roman"/>
          <w:szCs w:val="28"/>
          <w:lang w:val="en-US" w:eastAsia="zh-CN"/>
        </w:rPr>
        <w:t>建设</w:t>
      </w:r>
      <w:r>
        <w:rPr>
          <w:rFonts w:hint="default" w:ascii="Times New Roman" w:hAnsi="Times New Roman" w:cs="Times New Roman"/>
          <w:szCs w:val="28"/>
        </w:rPr>
        <w:t>后续工作未全部施工完毕</w:t>
      </w:r>
      <w:r>
        <w:rPr>
          <w:rFonts w:hint="eastAsia" w:ascii="Times New Roman" w:hAnsi="Times New Roman" w:cs="Times New Roman"/>
          <w:szCs w:val="28"/>
          <w:lang w:eastAsia="zh-CN"/>
        </w:rPr>
        <w:t>。</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综上，该指标满分1</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11.3</w:t>
      </w:r>
      <w:r>
        <w:rPr>
          <w:rFonts w:hint="default" w:ascii="Times New Roman" w:hAnsi="Times New Roman" w:cs="Times New Roman"/>
          <w:b/>
          <w:kern w:val="0"/>
          <w:szCs w:val="28"/>
        </w:rPr>
        <w:t>分。</w:t>
      </w:r>
    </w:p>
    <w:p>
      <w:pPr>
        <w:pStyle w:val="7"/>
        <w:ind w:firstLine="643"/>
        <w:rPr>
          <w:rFonts w:hint="default" w:ascii="Times New Roman" w:hAnsi="Times New Roman" w:cs="Times New Roman"/>
        </w:rPr>
      </w:pPr>
      <w:bookmarkStart w:id="50" w:name="_Toc100784614"/>
      <w:r>
        <w:rPr>
          <w:rFonts w:hint="default" w:ascii="Times New Roman" w:hAnsi="Times New Roman" w:cs="Times New Roman"/>
        </w:rPr>
        <w:t>2. 满意度指标完成情况分析</w:t>
      </w:r>
      <w:bookmarkEnd w:id="50"/>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（1）满意度指标</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群众满意度：</w:t>
      </w:r>
      <w:r>
        <w:rPr>
          <w:rFonts w:hint="default" w:ascii="Times New Roman" w:hAnsi="Times New Roman" w:cs="Times New Roman"/>
          <w:szCs w:val="28"/>
        </w:rPr>
        <w:t>评价指标“师生满意度”，指标值：</w:t>
      </w:r>
      <w:r>
        <w:rPr>
          <w:rFonts w:hint="default" w:ascii="Times New Roman" w:hAnsi="Times New Roman" w:eastAsia="华文宋体" w:cs="Times New Roman"/>
          <w:szCs w:val="28"/>
        </w:rPr>
        <w:t>≥</w:t>
      </w:r>
      <w:r>
        <w:rPr>
          <w:rFonts w:hint="eastAsia" w:ascii="Times New Roman" w:hAnsi="Times New Roman" w:eastAsia="华文宋体" w:cs="Times New Roman"/>
          <w:szCs w:val="28"/>
          <w:lang w:val="en-US" w:eastAsia="zh-CN"/>
        </w:rPr>
        <w:t>90</w:t>
      </w:r>
      <w:r>
        <w:rPr>
          <w:rFonts w:hint="default" w:ascii="Times New Roman" w:hAnsi="Times New Roman" w:cs="Times New Roman"/>
          <w:szCs w:val="28"/>
        </w:rPr>
        <w:t>%，实际完成值：</w:t>
      </w:r>
      <w:r>
        <w:rPr>
          <w:rFonts w:hint="default" w:ascii="Times New Roman" w:hAnsi="Times New Roman" w:eastAsia="华文宋体" w:cs="Times New Roman"/>
          <w:szCs w:val="28"/>
        </w:rPr>
        <w:t>≥</w:t>
      </w:r>
      <w:r>
        <w:rPr>
          <w:rFonts w:hint="eastAsia" w:ascii="Times New Roman" w:hAnsi="Times New Roman" w:eastAsia="华文宋体" w:cs="Times New Roman"/>
          <w:szCs w:val="28"/>
          <w:lang w:val="en-US" w:eastAsia="zh-CN"/>
        </w:rPr>
        <w:t>75</w:t>
      </w:r>
      <w:r>
        <w:rPr>
          <w:rFonts w:hint="default" w:ascii="Times New Roman" w:hAnsi="Times New Roman" w:cs="Times New Roman"/>
          <w:szCs w:val="28"/>
        </w:rPr>
        <w:t>%。通过设置问卷调查的方式进行考评评价，共计调查样本总量为</w:t>
      </w:r>
      <w:r>
        <w:rPr>
          <w:rFonts w:hint="eastAsia" w:ascii="Times New Roman" w:hAnsi="Times New Roman" w:cs="Times New Roman"/>
          <w:szCs w:val="28"/>
          <w:lang w:val="en-US" w:eastAsia="zh-CN"/>
        </w:rPr>
        <w:t>30</w:t>
      </w:r>
      <w:r>
        <w:rPr>
          <w:rFonts w:hint="default" w:ascii="Times New Roman" w:hAnsi="Times New Roman" w:cs="Times New Roman"/>
          <w:szCs w:val="28"/>
        </w:rPr>
        <w:t>个样本，有效调查问卷</w:t>
      </w:r>
      <w:r>
        <w:rPr>
          <w:rFonts w:hint="eastAsia" w:ascii="Times New Roman" w:hAnsi="Times New Roman" w:cs="Times New Roman"/>
          <w:szCs w:val="28"/>
          <w:lang w:val="en-US" w:eastAsia="zh-CN"/>
        </w:rPr>
        <w:t>20</w:t>
      </w:r>
      <w:r>
        <w:rPr>
          <w:rFonts w:hint="default" w:ascii="Times New Roman" w:hAnsi="Times New Roman" w:cs="Times New Roman"/>
          <w:szCs w:val="28"/>
        </w:rPr>
        <w:t>份。其中，统计“师生满意度”的平均值为</w:t>
      </w:r>
      <w:r>
        <w:rPr>
          <w:rFonts w:hint="eastAsia" w:ascii="Times New Roman" w:hAnsi="Times New Roman" w:cs="Times New Roman"/>
          <w:szCs w:val="28"/>
          <w:lang w:val="en-US" w:eastAsia="zh-CN"/>
        </w:rPr>
        <w:t>75</w:t>
      </w:r>
      <w:r>
        <w:rPr>
          <w:rFonts w:hint="default" w:ascii="Times New Roman" w:hAnsi="Times New Roman" w:cs="Times New Roman"/>
          <w:szCs w:val="28"/>
        </w:rPr>
        <w:t>%。故满意度指标得分为</w:t>
      </w:r>
      <w:r>
        <w:rPr>
          <w:rFonts w:hint="eastAsia" w:ascii="Times New Roman" w:hAnsi="Times New Roman" w:cs="Times New Roman"/>
          <w:szCs w:val="28"/>
          <w:lang w:val="en-US" w:eastAsia="zh-CN"/>
        </w:rPr>
        <w:t>4.2</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4.2</w:t>
      </w:r>
      <w:r>
        <w:rPr>
          <w:rFonts w:hint="default" w:ascii="Times New Roman" w:hAnsi="Times New Roman" w:cs="Times New Roman"/>
          <w:b/>
          <w:kern w:val="0"/>
          <w:szCs w:val="28"/>
        </w:rPr>
        <w:t>分。</w:t>
      </w:r>
    </w:p>
    <w:p>
      <w:pPr>
        <w:pStyle w:val="2"/>
        <w:rPr>
          <w:rFonts w:hint="default"/>
        </w:rPr>
      </w:pP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1" w:name="_Toc100784615"/>
      <w:bookmarkStart w:id="52" w:name="_Toc67911616"/>
      <w:r>
        <w:rPr>
          <w:rFonts w:hint="default" w:ascii="Times New Roman" w:hAnsi="Times New Roman" w:eastAsia="仿宋" w:cs="Times New Roman"/>
          <w:sz w:val="36"/>
          <w:szCs w:val="36"/>
          <w:lang w:bidi="en-US"/>
        </w:rPr>
        <w:t>五、预算执行进度与绩效指标偏差</w:t>
      </w:r>
      <w:bookmarkEnd w:id="51"/>
      <w:bookmarkEnd w:id="52"/>
    </w:p>
    <w:p>
      <w:pPr>
        <w:spacing w:line="360" w:lineRule="auto"/>
        <w:ind w:firstLine="562"/>
        <w:rPr>
          <w:rFonts w:hint="default" w:ascii="Times New Roman" w:hAnsi="Times New Roman" w:cs="Times New Roman"/>
          <w:szCs w:val="28"/>
        </w:rPr>
      </w:pPr>
      <w:r>
        <w:rPr>
          <w:rFonts w:hint="default" w:ascii="Times New Roman" w:hAnsi="Times New Roman" w:cs="Times New Roman"/>
          <w:szCs w:val="28"/>
        </w:rPr>
        <w:t>本项目预算执行率为</w:t>
      </w:r>
      <w:r>
        <w:rPr>
          <w:rFonts w:hint="eastAsia" w:ascii="Times New Roman" w:hAnsi="Times New Roman" w:cs="Times New Roman"/>
          <w:szCs w:val="28"/>
          <w:lang w:val="en-US" w:eastAsia="zh-CN"/>
        </w:rPr>
        <w:t>66.92</w:t>
      </w:r>
      <w:r>
        <w:rPr>
          <w:rFonts w:hint="default" w:ascii="Times New Roman" w:hAnsi="Times New Roman" w:cs="Times New Roman"/>
          <w:szCs w:val="28"/>
        </w:rPr>
        <w:t>%，指标总体完成率为</w:t>
      </w:r>
      <w:r>
        <w:rPr>
          <w:rFonts w:hint="eastAsia" w:ascii="Times New Roman" w:hAnsi="Times New Roman" w:cs="Times New Roman"/>
          <w:szCs w:val="28"/>
          <w:lang w:val="en-US" w:eastAsia="zh-CN"/>
        </w:rPr>
        <w:t>71.86</w:t>
      </w:r>
      <w:r>
        <w:rPr>
          <w:rFonts w:hint="default" w:ascii="Times New Roman" w:hAnsi="Times New Roman" w:cs="Times New Roman"/>
          <w:szCs w:val="28"/>
        </w:rPr>
        <w:t>%，二者之间的偏差值为</w:t>
      </w:r>
      <w:r>
        <w:rPr>
          <w:rFonts w:hint="eastAsia" w:ascii="Times New Roman" w:hAnsi="Times New Roman" w:cs="Times New Roman"/>
          <w:szCs w:val="28"/>
          <w:lang w:val="en-US" w:eastAsia="zh-CN"/>
        </w:rPr>
        <w:t>4.94</w:t>
      </w:r>
      <w:r>
        <w:rPr>
          <w:rFonts w:hint="default" w:ascii="Times New Roman" w:hAnsi="Times New Roman" w:cs="Times New Roman"/>
          <w:szCs w:val="28"/>
        </w:rPr>
        <w:t>%，小于20%。因此，本项目较好地完成了年度总体目标，财政资金使用效益和效率较高。</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3" w:name="_Toc100784616"/>
      <w:bookmarkStart w:id="54" w:name="_Toc67911617"/>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六、主要经验及做法、存在的问题及原因分析</w:t>
      </w:r>
      <w:bookmarkEnd w:id="53"/>
      <w:bookmarkEnd w:id="54"/>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55" w:name="_Toc67911618"/>
      <w:bookmarkStart w:id="56" w:name="_Toc100784617"/>
      <w:r>
        <w:rPr>
          <w:rFonts w:hint="default" w:ascii="Times New Roman" w:hAnsi="Times New Roman" w:eastAsia="仿宋" w:cs="Times New Roman"/>
          <w:sz w:val="32"/>
          <w:szCs w:val="32"/>
          <w:lang w:bidi="en-US"/>
        </w:rPr>
        <w:t>（一）主要经验及做法</w:t>
      </w:r>
      <w:bookmarkEnd w:id="55"/>
      <w:bookmarkEnd w:id="56"/>
    </w:p>
    <w:p>
      <w:pPr>
        <w:spacing w:line="360" w:lineRule="auto"/>
        <w:ind w:firstLine="562"/>
        <w:rPr>
          <w:rFonts w:hint="default" w:ascii="Times New Roman" w:hAnsi="Times New Roman" w:cs="Times New Roman"/>
          <w:szCs w:val="28"/>
        </w:rPr>
      </w:pPr>
      <w:bookmarkStart w:id="57" w:name="_Toc100784618"/>
      <w:r>
        <w:rPr>
          <w:rFonts w:hint="eastAsia" w:ascii="Times New Roman" w:hAnsi="Times New Roman" w:cs="Times New Roman"/>
          <w:szCs w:val="28"/>
          <w:lang w:val="en-US" w:eastAsia="zh-CN"/>
        </w:rPr>
        <w:t>1</w:t>
      </w:r>
      <w:r>
        <w:rPr>
          <w:rFonts w:hint="eastAsia" w:ascii="Times New Roman" w:hAnsi="Times New Roman" w:cs="Times New Roman"/>
          <w:szCs w:val="28"/>
        </w:rPr>
        <w:t>.积极参加财务培训，提高专业技能。</w:t>
      </w:r>
    </w:p>
    <w:p>
      <w:pPr>
        <w:spacing w:line="360" w:lineRule="auto"/>
        <w:ind w:firstLine="562"/>
        <w:rPr>
          <w:rFonts w:hint="default" w:ascii="Times New Roman" w:hAnsi="Times New Roman" w:cs="Times New Roman"/>
          <w:szCs w:val="28"/>
        </w:rPr>
      </w:pPr>
      <w:r>
        <w:rPr>
          <w:rFonts w:hint="eastAsia" w:ascii="Times New Roman" w:hAnsi="Times New Roman" w:cs="Times New Roman"/>
          <w:szCs w:val="28"/>
          <w:lang w:val="en-US" w:eastAsia="zh-CN"/>
        </w:rPr>
        <w:t>2</w:t>
      </w:r>
      <w:r>
        <w:rPr>
          <w:rFonts w:hint="eastAsia" w:ascii="Times New Roman" w:hAnsi="Times New Roman" w:cs="Times New Roman"/>
          <w:szCs w:val="28"/>
        </w:rPr>
        <w:t>.加强督导，提升</w:t>
      </w:r>
      <w:r>
        <w:rPr>
          <w:rFonts w:hint="eastAsia" w:ascii="Times New Roman" w:hAnsi="Times New Roman" w:cs="Times New Roman"/>
          <w:szCs w:val="28"/>
          <w:lang w:val="en-US" w:eastAsia="zh-CN"/>
        </w:rPr>
        <w:t>项目运行</w:t>
      </w:r>
      <w:r>
        <w:rPr>
          <w:rFonts w:hint="eastAsia" w:ascii="Times New Roman" w:hAnsi="Times New Roman" w:cs="Times New Roman"/>
          <w:szCs w:val="28"/>
        </w:rPr>
        <w:t>质量。</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r>
        <w:rPr>
          <w:rFonts w:hint="default" w:ascii="Times New Roman" w:hAnsi="Times New Roman" w:eastAsia="仿宋" w:cs="Times New Roman"/>
          <w:sz w:val="32"/>
          <w:szCs w:val="32"/>
          <w:lang w:bidi="en-US"/>
        </w:rPr>
        <w:t>（二）存在的问题及原因分析</w:t>
      </w:r>
      <w:bookmarkEnd w:id="57"/>
    </w:p>
    <w:p>
      <w:pPr>
        <w:spacing w:line="540" w:lineRule="exact"/>
        <w:ind w:firstLine="181"/>
        <w:jc w:val="both"/>
        <w:rPr>
          <w:rFonts w:ascii="仿宋" w:hAnsi="仿宋" w:eastAsia="仿宋" w:cs="仿宋"/>
          <w:sz w:val="30"/>
          <w:szCs w:val="30"/>
          <w:shd w:val="clear" w:color="000000"/>
        </w:rPr>
      </w:pPr>
      <w:bookmarkStart w:id="58" w:name="_Toc67911619"/>
      <w:bookmarkStart w:id="59" w:name="_Toc100784619"/>
      <w:r>
        <w:rPr>
          <w:rFonts w:ascii="仿宋" w:hAnsi="仿宋" w:eastAsia="仿宋" w:cs="仿宋"/>
          <w:sz w:val="30"/>
          <w:szCs w:val="30"/>
          <w:shd w:val="clear" w:color="000000"/>
        </w:rPr>
        <w:t>存在的问题：项目管理机制还不够完善，项目管理缺乏主动性，由于预算绩效管理的专业性、复杂性等特性，业务水平还不能满足绩效管理工作要求，专业素质有待提高。</w:t>
      </w:r>
    </w:p>
    <w:p>
      <w:pPr>
        <w:spacing w:line="540" w:lineRule="exact"/>
        <w:ind w:firstLine="600"/>
        <w:jc w:val="both"/>
        <w:rPr>
          <w:rFonts w:ascii="仿宋" w:hAnsi="仿宋" w:eastAsia="仿宋" w:cs="仿宋"/>
          <w:sz w:val="30"/>
          <w:szCs w:val="30"/>
          <w:shd w:val="clear" w:color="000000"/>
        </w:rPr>
      </w:pPr>
      <w:r>
        <w:rPr>
          <w:rFonts w:ascii="仿宋" w:hAnsi="仿宋" w:eastAsia="仿宋" w:cs="仿宋"/>
          <w:sz w:val="30"/>
          <w:szCs w:val="30"/>
          <w:shd w:val="clear" w:color="000000"/>
        </w:rPr>
        <w:t>针对存在的问题，我们将通过制度建设，创新机制，规范管理，进一步完善现有的管理办法，逐步建立管理规范，运行有序的管理机制。将绩效管理工作作为一项日常性重要工作来抓，彻底改变“重安排，轻监督;重争取，轻管理;重使用，轻绩效的现状。坚决贯彻落实中央、自治区党委的决策部署，振奋精神、开拓创新、扎实苦干，奋力完成全年目标任务。我们将继续加强资金使用监管力度，坚持“稳中求进”，专款专用，确保专项资金安全有效。优化资金支出结构，提高资金使用效率。建立动态管理机制。在专项资金项目执行过程中，定期公布专项资金执行进度，加快资金拨付进度，将专项资金执行情况纳入年度考核，促进专项资金按预算执行。</w:t>
      </w:r>
    </w:p>
    <w:p>
      <w:pPr>
        <w:pStyle w:val="2"/>
        <w:rPr>
          <w:rFonts w:hint="default"/>
        </w:rPr>
      </w:pP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七、其他需要说明的问题</w:t>
      </w:r>
      <w:bookmarkEnd w:id="58"/>
      <w:bookmarkEnd w:id="59"/>
    </w:p>
    <w:p>
      <w:pPr>
        <w:spacing w:line="360" w:lineRule="auto"/>
        <w:ind w:firstLine="562"/>
        <w:rPr>
          <w:rFonts w:hint="default" w:ascii="Times New Roman" w:hAnsi="Times New Roman" w:cs="Times New Roman"/>
          <w:szCs w:val="28"/>
          <w:lang w:val="en-US" w:eastAsia="zh-CN"/>
        </w:rPr>
      </w:pPr>
      <w:r>
        <w:rPr>
          <w:rFonts w:hint="default" w:ascii="Times New Roman" w:hAnsi="Times New Roman" w:cs="Times New Roman"/>
          <w:szCs w:val="28"/>
          <w:lang w:val="en-US" w:eastAsia="zh-CN"/>
        </w:rPr>
        <w:t>1.项目支出政策和路径设计科学，符合实际需要；</w:t>
      </w:r>
    </w:p>
    <w:p>
      <w:pPr>
        <w:spacing w:line="360" w:lineRule="auto"/>
        <w:ind w:firstLine="562"/>
        <w:rPr>
          <w:rFonts w:hint="default" w:ascii="Times New Roman" w:hAnsi="Times New Roman" w:cs="Times New Roman"/>
          <w:szCs w:val="28"/>
          <w:lang w:val="en-US" w:eastAsia="zh-CN"/>
        </w:rPr>
      </w:pPr>
      <w:r>
        <w:rPr>
          <w:rFonts w:hint="default" w:ascii="Times New Roman" w:hAnsi="Times New Roman" w:cs="Times New Roman"/>
          <w:szCs w:val="28"/>
          <w:lang w:val="en-US" w:eastAsia="zh-CN"/>
        </w:rPr>
        <w:t>2.项目安排准确，未发现背离项目立项初衷的情况；</w:t>
      </w:r>
    </w:p>
    <w:p>
      <w:pPr>
        <w:spacing w:line="360" w:lineRule="auto"/>
        <w:ind w:firstLine="562"/>
        <w:rPr>
          <w:rFonts w:hint="default" w:ascii="Times New Roman" w:hAnsi="Times New Roman" w:cs="Times New Roman"/>
          <w:szCs w:val="28"/>
          <w:lang w:val="en-US" w:eastAsia="zh-CN"/>
        </w:rPr>
      </w:pPr>
      <w:r>
        <w:rPr>
          <w:rFonts w:hint="default" w:ascii="Times New Roman" w:hAnsi="Times New Roman" w:cs="Times New Roman"/>
          <w:szCs w:val="28"/>
          <w:lang w:val="en-US" w:eastAsia="zh-CN"/>
        </w:rPr>
        <w:t>3.项目的申报、审核机制完善；</w:t>
      </w:r>
    </w:p>
    <w:p>
      <w:pPr>
        <w:spacing w:line="360" w:lineRule="auto"/>
        <w:ind w:firstLine="562"/>
        <w:rPr>
          <w:rFonts w:hint="default" w:ascii="Times New Roman" w:hAnsi="Times New Roman" w:cs="Times New Roman"/>
          <w:szCs w:val="28"/>
          <w:lang w:val="en-US" w:eastAsia="zh-CN"/>
        </w:rPr>
      </w:pPr>
      <w:r>
        <w:rPr>
          <w:rFonts w:hint="default" w:ascii="Times New Roman" w:hAnsi="Times New Roman" w:cs="Times New Roman"/>
          <w:szCs w:val="28"/>
          <w:lang w:val="en-US" w:eastAsia="zh-CN"/>
        </w:rPr>
        <w:t>4.未发现虚假行为和骗取财政资金的问题。</w:t>
      </w:r>
    </w:p>
    <w:p>
      <w:pPr>
        <w:pStyle w:val="2"/>
        <w:rPr>
          <w:rFonts w:hint="default"/>
        </w:rPr>
      </w:pPr>
    </w:p>
    <w:p>
      <w:pPr>
        <w:pStyle w:val="5"/>
        <w:ind w:firstLine="0" w:firstLineChars="0"/>
        <w:jc w:val="left"/>
        <w:rPr>
          <w:rFonts w:hint="default" w:ascii="Times New Roman" w:hAnsi="Times New Roman" w:eastAsia="仿宋" w:cs="Times New Roman"/>
          <w:sz w:val="36"/>
          <w:szCs w:val="36"/>
          <w:lang w:bidi="en-US"/>
        </w:rPr>
      </w:pPr>
      <w:bookmarkStart w:id="60" w:name="_Toc67911620"/>
      <w:bookmarkStart w:id="61" w:name="_Toc100784620"/>
      <w:r>
        <w:rPr>
          <w:rFonts w:hint="default" w:ascii="Times New Roman" w:hAnsi="Times New Roman" w:eastAsia="仿宋" w:cs="Times New Roman"/>
          <w:sz w:val="36"/>
          <w:szCs w:val="36"/>
          <w:lang w:bidi="en-US"/>
        </w:rPr>
        <w:t>八、有关建议</w:t>
      </w:r>
      <w:bookmarkEnd w:id="60"/>
      <w:bookmarkEnd w:id="61"/>
    </w:p>
    <w:p>
      <w:pPr>
        <w:spacing w:line="360" w:lineRule="auto"/>
        <w:ind w:firstLine="562"/>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1.建立更加完善的监督机制，强化预算绩效管理，提高财政资金使用效率。</w:t>
      </w:r>
    </w:p>
    <w:p>
      <w:pPr>
        <w:spacing w:line="360" w:lineRule="auto"/>
        <w:ind w:firstLine="562"/>
        <w:rPr>
          <w:rFonts w:hint="default" w:ascii="Times New Roman" w:hAnsi="Times New Roman" w:cs="Times New Roman"/>
          <w:szCs w:val="28"/>
          <w:lang w:val="en-US" w:eastAsia="zh-CN"/>
        </w:rPr>
      </w:pPr>
      <w:r>
        <w:rPr>
          <w:rFonts w:hint="eastAsia" w:ascii="Times New Roman" w:hAnsi="Times New Roman" w:cs="Times New Roman"/>
          <w:szCs w:val="28"/>
          <w:lang w:val="en-US" w:eastAsia="zh-CN"/>
        </w:rPr>
        <w:t>2.进一步加强预算管理工作，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pPr>
        <w:spacing w:line="360" w:lineRule="auto"/>
        <w:ind w:firstLine="562"/>
        <w:rPr>
          <w:rFonts w:hint="default" w:ascii="Times New Roman" w:hAnsi="Times New Roman" w:cs="Times New Roman"/>
          <w:szCs w:val="28"/>
          <w:lang w:val="en-US" w:eastAsia="zh-CN"/>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2"/>
    <w:family w:val="auto"/>
    <w:pitch w:val="default"/>
    <w:sig w:usb0="E0002EFF" w:usb1="C000785B" w:usb2="00000009" w:usb3="00000000" w:csb0="400001FF" w:csb1="FFFF0000"/>
  </w:font>
  <w:font w:name="宋体">
    <w:panose1 w:val="02010600030101010101"/>
    <w:charset w:val="84"/>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12"/>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pStyle w:val="12"/>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12"/>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pPr>
      <w:pStyle w:val="12"/>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5"/>
        <w:ind w:firstLine="0" w:firstLineChars="0"/>
        <w:jc w:val="both"/>
        <w:rPr>
          <w:rFonts w:ascii="仿宋_GB2312"/>
        </w:rPr>
      </w:pPr>
      <w:r>
        <w:rPr>
          <w:rStyle w:val="23"/>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5"/>
        <w:ind w:firstLine="0" w:firstLineChars="0"/>
        <w:jc w:val="both"/>
        <w:rPr>
          <w:rFonts w:ascii="仿宋_GB2312"/>
        </w:rPr>
      </w:pPr>
      <w:r>
        <w:rPr>
          <w:rStyle w:val="23"/>
          <w:rFonts w:hint="eastAsia" w:ascii="仿宋_GB2312"/>
        </w:rPr>
        <w:footnoteRef/>
      </w:r>
      <w:r>
        <w:rPr>
          <w:rFonts w:ascii="仿宋_GB2312"/>
        </w:rPr>
        <w:t xml:space="preserve"> </w:t>
      </w:r>
      <w:r>
        <w:rPr>
          <w:rFonts w:hint="default"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OWM2MzNlZjk4NTNhNjlmZThmZjcxNGE1Y2Q0ZmI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1586944"/>
    <w:rsid w:val="128679E9"/>
    <w:rsid w:val="16B71C32"/>
    <w:rsid w:val="18504D21"/>
    <w:rsid w:val="1C1349BC"/>
    <w:rsid w:val="202B7742"/>
    <w:rsid w:val="217D38DC"/>
    <w:rsid w:val="24181CCB"/>
    <w:rsid w:val="24F5112A"/>
    <w:rsid w:val="27D36E78"/>
    <w:rsid w:val="2AF0239D"/>
    <w:rsid w:val="2BC94FBF"/>
    <w:rsid w:val="2CED0889"/>
    <w:rsid w:val="2DA06DBE"/>
    <w:rsid w:val="3ED657DC"/>
    <w:rsid w:val="45E92222"/>
    <w:rsid w:val="50C52364"/>
    <w:rsid w:val="55992B5C"/>
    <w:rsid w:val="55BF25B3"/>
    <w:rsid w:val="594945A3"/>
    <w:rsid w:val="5B24736C"/>
    <w:rsid w:val="5BBB3658"/>
    <w:rsid w:val="5BDA230A"/>
    <w:rsid w:val="5EE329F1"/>
    <w:rsid w:val="711D2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5">
    <w:name w:val="heading 1"/>
    <w:basedOn w:val="1"/>
    <w:next w:val="1"/>
    <w:link w:val="31"/>
    <w:qFormat/>
    <w:uiPriority w:val="9"/>
    <w:pPr>
      <w:keepNext/>
      <w:keepLines/>
      <w:spacing w:before="340" w:after="330" w:line="578" w:lineRule="auto"/>
      <w:outlineLvl w:val="0"/>
    </w:pPr>
    <w:rPr>
      <w:b/>
      <w:bCs/>
      <w:kern w:val="44"/>
      <w:sz w:val="44"/>
      <w:szCs w:val="44"/>
    </w:rPr>
  </w:style>
  <w:style w:type="paragraph" w:styleId="6">
    <w:name w:val="heading 2"/>
    <w:basedOn w:val="1"/>
    <w:next w:val="1"/>
    <w:link w:val="2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7">
    <w:name w:val="heading 3"/>
    <w:basedOn w:val="1"/>
    <w:next w:val="1"/>
    <w:link w:val="36"/>
    <w:unhideWhenUsed/>
    <w:qFormat/>
    <w:uiPriority w:val="9"/>
    <w:pPr>
      <w:keepNext/>
      <w:keepLines/>
      <w:spacing w:before="260" w:after="260" w:line="416" w:lineRule="auto"/>
      <w:outlineLvl w:val="2"/>
    </w:pPr>
    <w:rPr>
      <w:b/>
      <w:bCs/>
      <w:sz w:val="32"/>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0"/>
    <w:pPr>
      <w:spacing w:before="100" w:beforeLines="0" w:beforeAutospacing="1" w:afterLines="0"/>
      <w:ind w:left="0" w:firstLine="420" w:firstLineChars="200"/>
    </w:pPr>
    <w:rPr>
      <w:rFonts w:hint="default" w:ascii="Tahoma" w:hAnsi="Tahoma"/>
      <w:sz w:val="22"/>
    </w:rPr>
  </w:style>
  <w:style w:type="paragraph" w:styleId="3">
    <w:name w:val="Body Text Indent"/>
    <w:basedOn w:val="1"/>
    <w:next w:val="4"/>
    <w:unhideWhenUsed/>
    <w:qFormat/>
    <w:uiPriority w:val="0"/>
    <w:pPr>
      <w:adjustRightInd w:val="0"/>
      <w:snapToGrid w:val="0"/>
      <w:spacing w:beforeLines="0" w:after="120" w:afterLines="0"/>
      <w:ind w:left="420" w:leftChars="200"/>
      <w:jc w:val="left"/>
    </w:pPr>
    <w:rPr>
      <w:rFonts w:hint="default" w:ascii="@仿宋_GB2312" w:hAnsi="@仿宋_GB2312" w:eastAsia="仿宋_GB2312"/>
      <w:kern w:val="0"/>
      <w:sz w:val="22"/>
    </w:rPr>
  </w:style>
  <w:style w:type="paragraph" w:customStyle="1" w:styleId="4">
    <w:name w:val="Char Char Char"/>
    <w:basedOn w:val="1"/>
    <w:qFormat/>
    <w:uiPriority w:val="0"/>
  </w:style>
  <w:style w:type="paragraph" w:styleId="8">
    <w:name w:val="annotation text"/>
    <w:basedOn w:val="1"/>
    <w:link w:val="33"/>
    <w:unhideWhenUsed/>
    <w:qFormat/>
    <w:uiPriority w:val="99"/>
    <w:pPr>
      <w:jc w:val="left"/>
    </w:pPr>
  </w:style>
  <w:style w:type="paragraph" w:styleId="9">
    <w:name w:val="toc 3"/>
    <w:basedOn w:val="1"/>
    <w:next w:val="1"/>
    <w:unhideWhenUsed/>
    <w:qFormat/>
    <w:uiPriority w:val="39"/>
    <w:pPr>
      <w:ind w:left="840" w:leftChars="400"/>
    </w:pPr>
  </w:style>
  <w:style w:type="paragraph" w:styleId="10">
    <w:name w:val="Date"/>
    <w:basedOn w:val="1"/>
    <w:next w:val="1"/>
    <w:link w:val="26"/>
    <w:semiHidden/>
    <w:unhideWhenUsed/>
    <w:qFormat/>
    <w:uiPriority w:val="99"/>
    <w:pPr>
      <w:ind w:left="100" w:leftChars="2500"/>
    </w:pPr>
  </w:style>
  <w:style w:type="paragraph" w:styleId="11">
    <w:name w:val="Balloon Text"/>
    <w:basedOn w:val="1"/>
    <w:link w:val="35"/>
    <w:semiHidden/>
    <w:unhideWhenUsed/>
    <w:qFormat/>
    <w:uiPriority w:val="99"/>
    <w:rPr>
      <w:sz w:val="18"/>
      <w:szCs w:val="18"/>
    </w:rPr>
  </w:style>
  <w:style w:type="paragraph" w:styleId="12">
    <w:name w:val="footer"/>
    <w:basedOn w:val="1"/>
    <w:link w:val="25"/>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3">
    <w:name w:val="header"/>
    <w:basedOn w:val="1"/>
    <w:link w:val="24"/>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4">
    <w:name w:val="toc 1"/>
    <w:basedOn w:val="1"/>
    <w:next w:val="1"/>
    <w:unhideWhenUsed/>
    <w:qFormat/>
    <w:uiPriority w:val="39"/>
  </w:style>
  <w:style w:type="paragraph" w:styleId="15">
    <w:name w:val="footnote text"/>
    <w:basedOn w:val="1"/>
    <w:link w:val="28"/>
    <w:semiHidden/>
    <w:unhideWhenUsed/>
    <w:qFormat/>
    <w:uiPriority w:val="99"/>
    <w:pPr>
      <w:snapToGrid w:val="0"/>
      <w:jc w:val="left"/>
    </w:pPr>
    <w:rPr>
      <w:sz w:val="18"/>
      <w:szCs w:val="18"/>
    </w:rPr>
  </w:style>
  <w:style w:type="paragraph" w:styleId="16">
    <w:name w:val="toc 2"/>
    <w:basedOn w:val="1"/>
    <w:next w:val="1"/>
    <w:unhideWhenUsed/>
    <w:qFormat/>
    <w:uiPriority w:val="39"/>
    <w:pPr>
      <w:ind w:left="420" w:leftChars="200"/>
    </w:pPr>
  </w:style>
  <w:style w:type="paragraph" w:styleId="17">
    <w:name w:val="annotation subject"/>
    <w:basedOn w:val="8"/>
    <w:next w:val="8"/>
    <w:link w:val="34"/>
    <w:semiHidden/>
    <w:unhideWhenUsed/>
    <w:qFormat/>
    <w:uiPriority w:val="99"/>
    <w:rPr>
      <w:b/>
      <w:bCs/>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Hyperlink"/>
    <w:basedOn w:val="20"/>
    <w:unhideWhenUsed/>
    <w:qFormat/>
    <w:uiPriority w:val="99"/>
    <w:rPr>
      <w:color w:val="0563C1" w:themeColor="hyperlink"/>
      <w:u w:val="single"/>
      <w14:textFill>
        <w14:solidFill>
          <w14:schemeClr w14:val="hlink"/>
        </w14:solidFill>
      </w14:textFill>
    </w:rPr>
  </w:style>
  <w:style w:type="character" w:styleId="22">
    <w:name w:val="annotation reference"/>
    <w:basedOn w:val="20"/>
    <w:semiHidden/>
    <w:unhideWhenUsed/>
    <w:qFormat/>
    <w:uiPriority w:val="99"/>
    <w:rPr>
      <w:sz w:val="21"/>
      <w:szCs w:val="21"/>
    </w:rPr>
  </w:style>
  <w:style w:type="character" w:styleId="23">
    <w:name w:val="footnote reference"/>
    <w:basedOn w:val="20"/>
    <w:semiHidden/>
    <w:unhideWhenUsed/>
    <w:qFormat/>
    <w:uiPriority w:val="99"/>
    <w:rPr>
      <w:vertAlign w:val="superscript"/>
    </w:rPr>
  </w:style>
  <w:style w:type="character" w:customStyle="1" w:styleId="24">
    <w:name w:val="页眉 Char"/>
    <w:basedOn w:val="20"/>
    <w:link w:val="13"/>
    <w:qFormat/>
    <w:uiPriority w:val="99"/>
    <w:rPr>
      <w:sz w:val="18"/>
      <w:szCs w:val="18"/>
    </w:rPr>
  </w:style>
  <w:style w:type="character" w:customStyle="1" w:styleId="25">
    <w:name w:val="页脚 Char"/>
    <w:basedOn w:val="20"/>
    <w:link w:val="12"/>
    <w:qFormat/>
    <w:uiPriority w:val="99"/>
    <w:rPr>
      <w:sz w:val="18"/>
      <w:szCs w:val="18"/>
    </w:rPr>
  </w:style>
  <w:style w:type="character" w:customStyle="1" w:styleId="26">
    <w:name w:val="日期 Char"/>
    <w:basedOn w:val="20"/>
    <w:link w:val="10"/>
    <w:semiHidden/>
    <w:qFormat/>
    <w:uiPriority w:val="99"/>
    <w:rPr>
      <w:rFonts w:ascii="Calibri" w:hAnsi="Calibri" w:eastAsia="仿宋_GB2312" w:cs="黑体"/>
      <w:sz w:val="28"/>
    </w:rPr>
  </w:style>
  <w:style w:type="character" w:customStyle="1" w:styleId="27">
    <w:name w:val="标题 2 Char"/>
    <w:basedOn w:val="20"/>
    <w:link w:val="6"/>
    <w:qFormat/>
    <w:uiPriority w:val="9"/>
    <w:rPr>
      <w:rFonts w:asciiTheme="majorHAnsi" w:hAnsiTheme="majorHAnsi" w:eastAsiaTheme="majorEastAsia" w:cstheme="majorBidi"/>
      <w:b/>
      <w:bCs/>
      <w:sz w:val="32"/>
      <w:szCs w:val="32"/>
    </w:rPr>
  </w:style>
  <w:style w:type="character" w:customStyle="1" w:styleId="28">
    <w:name w:val="脚注文本 Char"/>
    <w:basedOn w:val="20"/>
    <w:link w:val="15"/>
    <w:semiHidden/>
    <w:qFormat/>
    <w:uiPriority w:val="99"/>
    <w:rPr>
      <w:rFonts w:ascii="Calibri" w:hAnsi="Calibri" w:eastAsia="仿宋_GB2312" w:cs="黑体"/>
      <w:sz w:val="18"/>
      <w:szCs w:val="18"/>
    </w:rPr>
  </w:style>
  <w:style w:type="paragraph" w:styleId="29">
    <w:name w:val="List Paragraph"/>
    <w:basedOn w:val="1"/>
    <w:qFormat/>
    <w:uiPriority w:val="34"/>
    <w:pPr>
      <w:ind w:firstLine="420"/>
    </w:pPr>
  </w:style>
  <w:style w:type="table" w:customStyle="1" w:styleId="30">
    <w:name w:val="网格型1"/>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1">
    <w:name w:val="标题 1 Char"/>
    <w:basedOn w:val="20"/>
    <w:link w:val="5"/>
    <w:qFormat/>
    <w:uiPriority w:val="9"/>
    <w:rPr>
      <w:rFonts w:ascii="Calibri" w:hAnsi="Calibri" w:eastAsia="仿宋_GB2312" w:cs="黑体"/>
      <w:b/>
      <w:bCs/>
      <w:kern w:val="44"/>
      <w:sz w:val="44"/>
      <w:szCs w:val="44"/>
    </w:rPr>
  </w:style>
  <w:style w:type="paragraph" w:customStyle="1" w:styleId="32">
    <w:name w:val="TOC Heading"/>
    <w:basedOn w:val="5"/>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3">
    <w:name w:val="批注文字 Char"/>
    <w:basedOn w:val="20"/>
    <w:link w:val="8"/>
    <w:qFormat/>
    <w:uiPriority w:val="99"/>
    <w:rPr>
      <w:rFonts w:ascii="Calibri" w:hAnsi="Calibri" w:eastAsia="仿宋_GB2312" w:cs="黑体"/>
      <w:sz w:val="28"/>
    </w:rPr>
  </w:style>
  <w:style w:type="character" w:customStyle="1" w:styleId="34">
    <w:name w:val="批注主题 Char"/>
    <w:basedOn w:val="33"/>
    <w:link w:val="17"/>
    <w:semiHidden/>
    <w:qFormat/>
    <w:uiPriority w:val="99"/>
    <w:rPr>
      <w:rFonts w:ascii="Calibri" w:hAnsi="Calibri" w:eastAsia="仿宋_GB2312" w:cs="黑体"/>
      <w:b/>
      <w:bCs/>
      <w:sz w:val="28"/>
    </w:rPr>
  </w:style>
  <w:style w:type="character" w:customStyle="1" w:styleId="35">
    <w:name w:val="批注框文本 Char"/>
    <w:basedOn w:val="20"/>
    <w:link w:val="11"/>
    <w:semiHidden/>
    <w:qFormat/>
    <w:uiPriority w:val="99"/>
    <w:rPr>
      <w:rFonts w:ascii="Calibri" w:hAnsi="Calibri" w:eastAsia="仿宋_GB2312" w:cs="黑体"/>
      <w:sz w:val="18"/>
      <w:szCs w:val="18"/>
    </w:rPr>
  </w:style>
  <w:style w:type="character" w:customStyle="1" w:styleId="36">
    <w:name w:val="标题 3 Char"/>
    <w:basedOn w:val="20"/>
    <w:link w:val="7"/>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23</Pages>
  <Words>9057</Words>
  <Characters>9484</Characters>
  <Lines>79</Lines>
  <Paragraphs>22</Paragraphs>
  <TotalTime>2</TotalTime>
  <ScaleCrop>false</ScaleCrop>
  <LinksUpToDate>false</LinksUpToDate>
  <CharactersWithSpaces>9858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逐内（鬼子）</cp:lastModifiedBy>
  <cp:lastPrinted>2023-04-11T02:57:00Z</cp:lastPrinted>
  <dcterms:modified xsi:type="dcterms:W3CDTF">2023-04-20T03:07:23Z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C72CFD68021D41D8BC351CC4CC9D8637_12</vt:lpwstr>
  </property>
</Properties>
</file>