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Times New Roman" w:hAnsi="Times New Roman" w:cs="Times New Roman"/>
          <w:b/>
          <w:sz w:val="44"/>
          <w:szCs w:val="44"/>
        </w:rPr>
      </w:pPr>
      <w:r>
        <w:rPr>
          <w:rFonts w:ascii="Times New Roman" w:hAnsi="Times New Roman" w:cs="Times New Roman"/>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cs="Times New Roman"/>
          <w:kern w:val="0"/>
          <w:sz w:val="30"/>
          <w:szCs w:val="30"/>
          <w:lang w:bidi="en-US"/>
        </w:rPr>
      </w:pPr>
    </w:p>
    <w:p>
      <w:pPr>
        <w:spacing w:line="480" w:lineRule="auto"/>
        <w:ind w:firstLine="1411" w:firstLineChars="4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项目名称：</w:t>
      </w:r>
      <w:r>
        <w:rPr>
          <w:rFonts w:hint="eastAsia" w:ascii="Times New Roman" w:hAnsi="Times New Roman" w:cs="Times New Roman"/>
          <w:kern w:val="0"/>
          <w:sz w:val="32"/>
          <w:szCs w:val="32"/>
          <w:lang w:bidi="en-US"/>
        </w:rPr>
        <w:t>乌财科教【2021】102号关于提前下达2022年新疆西藏等地区教育特殊补助资金园舍维修资金</w:t>
      </w:r>
    </w:p>
    <w:p>
      <w:pPr>
        <w:spacing w:line="480" w:lineRule="auto"/>
        <w:ind w:left="280" w:leftChars="100" w:firstLine="1091"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项目单位：</w:t>
      </w:r>
      <w:r>
        <w:rPr>
          <w:rFonts w:hint="eastAsia" w:ascii="Times New Roman" w:hAnsi="Times New Roman" w:cs="Times New Roman"/>
          <w:kern w:val="0"/>
          <w:sz w:val="32"/>
          <w:szCs w:val="32"/>
          <w:lang w:bidi="en-US"/>
        </w:rPr>
        <w:t>乌鲁木齐县永丰镇中心幼儿园</w:t>
      </w:r>
      <w:r>
        <w:rPr>
          <w:rFonts w:ascii="Times New Roman" w:hAnsi="Times New Roman" w:cs="Times New Roman"/>
          <w:kern w:val="0"/>
          <w:sz w:val="32"/>
          <w:szCs w:val="32"/>
          <w:lang w:bidi="en-US"/>
        </w:rPr>
        <w:t xml:space="preserve"> </w:t>
      </w:r>
    </w:p>
    <w:p>
      <w:pPr>
        <w:spacing w:line="480" w:lineRule="auto"/>
        <w:ind w:left="280" w:leftChars="100" w:firstLine="1091"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主管部门：</w:t>
      </w:r>
      <w:r>
        <w:rPr>
          <w:rFonts w:hint="eastAsia" w:ascii="Times New Roman" w:hAnsi="Times New Roman" w:cs="Times New Roman"/>
          <w:kern w:val="0"/>
          <w:sz w:val="32"/>
          <w:szCs w:val="32"/>
          <w:lang w:bidi="en-US"/>
        </w:rPr>
        <w:t>乌鲁木齐县教育局</w:t>
      </w:r>
    </w:p>
    <w:p>
      <w:pPr>
        <w:spacing w:line="480" w:lineRule="auto"/>
        <w:ind w:firstLine="1411" w:firstLineChars="441"/>
        <w:jc w:val="left"/>
        <w:rPr>
          <w:rFonts w:ascii="Times New Roman" w:hAnsi="Times New Roman" w:cs="Times New Roman"/>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jc w:val="center"/>
        <w:rPr>
          <w:rFonts w:ascii="Times New Roman" w:hAnsi="Times New Roman" w:cs="Times New Roman"/>
          <w:kern w:val="0"/>
          <w:sz w:val="32"/>
          <w:szCs w:val="32"/>
          <w:lang w:bidi="en-US"/>
        </w:rPr>
      </w:pPr>
      <w:r>
        <w:rPr>
          <w:rFonts w:ascii="Times New Roman" w:hAnsi="Times New Roman" w:cs="Times New Roman"/>
          <w:kern w:val="0"/>
          <w:sz w:val="32"/>
          <w:szCs w:val="32"/>
          <w:lang w:bidi="en-US"/>
        </w:rPr>
        <w:t>2023年04月</w:t>
      </w:r>
    </w:p>
    <w:p>
      <w:pPr>
        <w:spacing w:line="480" w:lineRule="auto"/>
        <w:ind w:firstLine="0" w:firstLineChars="0"/>
        <w:jc w:val="center"/>
        <w:rPr>
          <w:rFonts w:ascii="Times New Roman" w:hAnsi="Times New Roman" w:cs="Times New Roman"/>
          <w:kern w:val="0"/>
          <w:sz w:val="32"/>
          <w:szCs w:val="32"/>
          <w:lang w:bidi="en-US"/>
        </w:rPr>
      </w:pPr>
    </w:p>
    <w:p>
      <w:pPr>
        <w:tabs>
          <w:tab w:val="left" w:pos="3324"/>
        </w:tabs>
        <w:spacing w:line="480" w:lineRule="auto"/>
        <w:ind w:firstLine="0" w:firstLineChars="0"/>
        <w:rPr>
          <w:rFonts w:ascii="Times New Roman" w:hAnsi="Times New Roman" w:cs="Times New Roman"/>
          <w:kern w:val="0"/>
          <w:sz w:val="32"/>
          <w:szCs w:val="32"/>
          <w:lang w:bidi="en-US"/>
        </w:rPr>
      </w:pPr>
      <w:r>
        <w:rPr>
          <w:rFonts w:ascii="Times New Roman" w:hAnsi="Times New Roman" w:cs="Times New Roman"/>
          <w:kern w:val="0"/>
          <w:sz w:val="32"/>
          <w:szCs w:val="32"/>
          <w:lang w:bidi="en-US"/>
        </w:rPr>
        <w:tab/>
      </w:r>
    </w:p>
    <w:p>
      <w:pPr>
        <w:ind w:firstLine="640"/>
        <w:rPr>
          <w:rFonts w:ascii="Times New Roman" w:hAnsi="Times New Roman" w:cs="Times New Roman"/>
          <w:kern w:val="0"/>
          <w:sz w:val="32"/>
          <w:szCs w:val="32"/>
          <w:lang w:bidi="en-US"/>
        </w:rPr>
      </w:pPr>
    </w:p>
    <w:sdt>
      <w:sdtPr>
        <w:rPr>
          <w:rFonts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ascii="Times New Roman" w:hAnsi="Times New Roman" w:eastAsia="仿宋_GB2312" w:cs="Times New Roman"/>
          <w:b/>
          <w:bCs/>
          <w:color w:val="auto"/>
          <w:kern w:val="2"/>
          <w:sz w:val="28"/>
          <w:szCs w:val="22"/>
          <w:lang w:val="zh-CN"/>
        </w:rPr>
      </w:sdtEndPr>
      <w:sdtContent>
        <w:p>
          <w:pPr>
            <w:pStyle w:val="29"/>
            <w:ind w:firstLine="560"/>
            <w:jc w:val="center"/>
            <w:rPr>
              <w:rFonts w:ascii="Times New Roman" w:hAnsi="Times New Roman" w:cs="Times New Roman"/>
              <w:color w:val="000000" w:themeColor="text1"/>
            </w:rPr>
          </w:pPr>
          <w:r>
            <w:rPr>
              <w:rFonts w:ascii="Times New Roman" w:hAnsi="Times New Roman" w:cs="Times New Roman"/>
              <w:color w:val="000000" w:themeColor="text1"/>
              <w:lang w:val="zh-CN"/>
            </w:rPr>
            <w:t>目录</w:t>
          </w:r>
        </w:p>
        <w:p>
          <w:pPr>
            <w:pStyle w:val="11"/>
            <w:tabs>
              <w:tab w:val="right" w:leader="dot" w:pos="8296"/>
            </w:tabs>
            <w:ind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r>
            <w:fldChar w:fldCharType="begin"/>
          </w:r>
          <w:r>
            <w:instrText xml:space="preserve"> HYPERLINK \l "_Toc100784583" </w:instrText>
          </w:r>
          <w:r>
            <w:fldChar w:fldCharType="separate"/>
          </w:r>
          <w:r>
            <w:rPr>
              <w:rStyle w:val="18"/>
              <w:rFonts w:ascii="Times New Roman" w:hAnsi="Times New Roman" w:eastAsia="仿宋" w:cs="Times New Roman"/>
              <w:lang w:bidi="en-US"/>
            </w:rPr>
            <w:t>一、基本情况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_Toc100784583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"_Toc100784584" </w:instrText>
          </w:r>
          <w:r>
            <w:fldChar w:fldCharType="separate"/>
          </w:r>
          <w:r>
            <w:rPr>
              <w:rStyle w:val="18"/>
              <w:rFonts w:ascii="Times New Roman" w:hAnsi="Times New Roman" w:eastAsia="仿宋" w:cs="Times New Roman"/>
              <w:lang w:bidi="en-US"/>
            </w:rPr>
            <w:t>（一）项目概况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_Toc100784584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"_Toc100784585" </w:instrText>
          </w:r>
          <w:r>
            <w:fldChar w:fldCharType="separate"/>
          </w:r>
          <w:r>
            <w:rPr>
              <w:rStyle w:val="18"/>
              <w:rFonts w:ascii="Times New Roman" w:hAnsi="Times New Roman" w:eastAsia="仿宋" w:cs="Times New Roman"/>
              <w:lang w:bidi="en-US"/>
            </w:rPr>
            <w:t>（二）项目绩效目标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_Toc100784585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"_Toc100784586" </w:instrText>
          </w:r>
          <w:r>
            <w:fldChar w:fldCharType="separate"/>
          </w:r>
          <w:r>
            <w:rPr>
              <w:rStyle w:val="18"/>
              <w:rFonts w:ascii="Times New Roman" w:hAnsi="Times New Roman" w:eastAsia="仿宋" w:cs="Times New Roman"/>
              <w:lang w:bidi="en-US"/>
            </w:rPr>
            <w:t>二、绩效评价工作开展情况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_Toc100784586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"_Toc100784587" </w:instrText>
          </w:r>
          <w:r>
            <w:fldChar w:fldCharType="separate"/>
          </w:r>
          <w:r>
            <w:rPr>
              <w:rStyle w:val="18"/>
              <w:rFonts w:ascii="Times New Roman" w:hAnsi="Times New Roman" w:eastAsia="仿宋" w:cs="Times New Roman"/>
              <w:lang w:bidi="en-US"/>
            </w:rPr>
            <w:t>（一）绩效评价目的、对象和范围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_Toc100784587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"_Toc100784588" </w:instrText>
          </w:r>
          <w:r>
            <w:fldChar w:fldCharType="separate"/>
          </w:r>
          <w:r>
            <w:rPr>
              <w:rStyle w:val="18"/>
              <w:rFonts w:ascii="Times New Roman" w:hAnsi="Times New Roman" w:cs="Times New Roman"/>
            </w:rPr>
            <w:t>1.评价目的</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_Toc100784588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"_Toc100784589" </w:instrText>
          </w:r>
          <w:r>
            <w:fldChar w:fldCharType="separate"/>
          </w:r>
          <w:r>
            <w:rPr>
              <w:rStyle w:val="18"/>
              <w:rFonts w:ascii="Times New Roman" w:hAnsi="Times New Roman" w:cs="Times New Roman"/>
            </w:rPr>
            <w:t>2.评价对象和范围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_Toc100784589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"_Toc100784590" </w:instrText>
          </w:r>
          <w:r>
            <w:fldChar w:fldCharType="separate"/>
          </w:r>
          <w:r>
            <w:rPr>
              <w:rStyle w:val="18"/>
              <w:rFonts w:ascii="Times New Roman" w:hAnsi="Times New Roman" w:eastAsia="仿宋" w:cs="Times New Roman"/>
              <w:lang w:bidi="en-US"/>
            </w:rPr>
            <w:t>（二）绩效评价原则、指标体系、方法及标准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_Toc100784590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"_Toc100784591" </w:instrText>
          </w:r>
          <w:r>
            <w:fldChar w:fldCharType="separate"/>
          </w:r>
          <w:r>
            <w:rPr>
              <w:rStyle w:val="18"/>
              <w:rFonts w:ascii="Times New Roman" w:hAnsi="Times New Roman" w:cs="Times New Roman"/>
            </w:rPr>
            <w:t>1.评价原则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_Toc100784591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"_Toc100784592" </w:instrText>
          </w:r>
          <w:r>
            <w:fldChar w:fldCharType="separate"/>
          </w:r>
          <w:r>
            <w:rPr>
              <w:rStyle w:val="18"/>
              <w:rFonts w:ascii="Times New Roman" w:hAnsi="Times New Roman" w:cs="Times New Roman"/>
            </w:rPr>
            <w:t>2.评价指标体系</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_Toc100784592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"_Toc100784593" </w:instrText>
          </w:r>
          <w:r>
            <w:fldChar w:fldCharType="separate"/>
          </w:r>
          <w:r>
            <w:rPr>
              <w:rStyle w:val="18"/>
              <w:rFonts w:ascii="Times New Roman" w:hAnsi="Times New Roman" w:cs="Times New Roman"/>
            </w:rPr>
            <w:t>3.评价方法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_Toc100784593 \h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"_Toc100784594" </w:instrText>
          </w:r>
          <w:r>
            <w:fldChar w:fldCharType="separate"/>
          </w:r>
          <w:r>
            <w:rPr>
              <w:rStyle w:val="18"/>
              <w:rFonts w:ascii="Times New Roman" w:hAnsi="Times New Roman" w:cs="Times New Roman"/>
            </w:rPr>
            <w:t>4.评价标准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_Toc100784594 \h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"_Toc100784595" </w:instrText>
          </w:r>
          <w:r>
            <w:fldChar w:fldCharType="separate"/>
          </w:r>
          <w:r>
            <w:rPr>
              <w:rStyle w:val="18"/>
              <w:rFonts w:ascii="Times New Roman" w:hAnsi="Times New Roman" w:eastAsia="仿宋" w:cs="Times New Roman"/>
              <w:lang w:bidi="en-US"/>
            </w:rPr>
            <w:t>（三）绩效评价工作过程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_Toc100784595 \h </w:instrText>
          </w:r>
          <w:r>
            <w:rPr>
              <w:rFonts w:ascii="Times New Roman" w:hAnsi="Times New Roman" w:cs="Times New Roman"/>
            </w:rPr>
            <w:fldChar w:fldCharType="separate"/>
          </w:r>
          <w:r>
            <w:rPr>
              <w:rFonts w:ascii="Times New Roman" w:hAnsi="Times New Roman" w:cs="Times New Roman"/>
            </w:rPr>
            <w:t>11</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"_Toc100784596" </w:instrText>
          </w:r>
          <w:r>
            <w:fldChar w:fldCharType="separate"/>
          </w:r>
          <w:r>
            <w:rPr>
              <w:rStyle w:val="18"/>
              <w:rFonts w:ascii="Times New Roman" w:hAnsi="Times New Roman" w:eastAsia="仿宋" w:cs="Times New Roman"/>
              <w:lang w:bidi="en-US"/>
            </w:rPr>
            <w:t>三、综合评价情况及评价结论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_Toc100784596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"_Toc100784597" </w:instrText>
          </w:r>
          <w:r>
            <w:fldChar w:fldCharType="separate"/>
          </w:r>
          <w:r>
            <w:rPr>
              <w:rStyle w:val="18"/>
              <w:rFonts w:ascii="Times New Roman" w:hAnsi="Times New Roman" w:eastAsia="仿宋" w:cs="Times New Roman"/>
              <w:lang w:bidi="en-US"/>
            </w:rPr>
            <w:t>（一）评价结论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_Toc100784597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"_Toc100784598" </w:instrText>
          </w:r>
          <w:r>
            <w:fldChar w:fldCharType="separate"/>
          </w:r>
          <w:r>
            <w:rPr>
              <w:rStyle w:val="18"/>
              <w:rFonts w:ascii="Times New Roman" w:hAnsi="Times New Roman" w:eastAsia="仿宋" w:cs="Times New Roman"/>
              <w:lang w:bidi="en-US"/>
            </w:rPr>
            <w:t>（二）主要绩效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_Toc100784598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"_Toc100784599" </w:instrText>
          </w:r>
          <w:r>
            <w:fldChar w:fldCharType="separate"/>
          </w:r>
          <w:r>
            <w:rPr>
              <w:rStyle w:val="18"/>
              <w:rFonts w:ascii="Times New Roman" w:hAnsi="Times New Roman" w:eastAsia="仿宋" w:cs="Times New Roman"/>
              <w:lang w:bidi="en-US"/>
            </w:rPr>
            <w:t>四、绩效评价指标分析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_Toc100784599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"_Toc100784600" </w:instrText>
          </w:r>
          <w:r>
            <w:fldChar w:fldCharType="separate"/>
          </w:r>
          <w:r>
            <w:rPr>
              <w:rStyle w:val="18"/>
              <w:rFonts w:ascii="Times New Roman" w:hAnsi="Times New Roman" w:eastAsia="仿宋" w:cs="Times New Roman"/>
              <w:lang w:bidi="en-US"/>
            </w:rPr>
            <w:t>（一）项目决策情况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_Toc100784600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"_Toc100784601" </w:instrText>
          </w:r>
          <w:r>
            <w:fldChar w:fldCharType="separate"/>
          </w:r>
          <w:r>
            <w:rPr>
              <w:rStyle w:val="18"/>
              <w:rFonts w:ascii="Times New Roman" w:hAnsi="Times New Roman" w:cs="Times New Roman"/>
            </w:rPr>
            <w:t>1.项目立项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_Toc100784601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"_Toc100784602" </w:instrText>
          </w:r>
          <w:r>
            <w:fldChar w:fldCharType="separate"/>
          </w:r>
          <w:r>
            <w:rPr>
              <w:rStyle w:val="18"/>
              <w:rFonts w:ascii="Times New Roman" w:hAnsi="Times New Roman" w:cs="Times New Roman"/>
            </w:rPr>
            <w:t>2.绩效目标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_Toc100784602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"_Toc100784603" </w:instrText>
          </w:r>
          <w:r>
            <w:fldChar w:fldCharType="separate"/>
          </w:r>
          <w:r>
            <w:rPr>
              <w:rStyle w:val="18"/>
              <w:rFonts w:ascii="Times New Roman" w:hAnsi="Times New Roman" w:cs="Times New Roman"/>
            </w:rPr>
            <w:t>3.资金投入</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_Toc100784603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"_Toc100784604" </w:instrText>
          </w:r>
          <w:r>
            <w:fldChar w:fldCharType="separate"/>
          </w:r>
          <w:r>
            <w:rPr>
              <w:rStyle w:val="18"/>
              <w:rFonts w:ascii="Times New Roman" w:hAnsi="Times New Roman" w:eastAsia="仿宋" w:cs="Times New Roman"/>
              <w:lang w:bidi="en-US"/>
            </w:rPr>
            <w:t>（二）项目过程情况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_Toc100784604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"_Toc100784605" </w:instrText>
          </w:r>
          <w:r>
            <w:fldChar w:fldCharType="separate"/>
          </w:r>
          <w:r>
            <w:rPr>
              <w:rStyle w:val="18"/>
              <w:rFonts w:ascii="Times New Roman" w:hAnsi="Times New Roman" w:cs="Times New Roman"/>
            </w:rPr>
            <w:t>1.资金管理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_Toc100784605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"_Toc100784606" </w:instrText>
          </w:r>
          <w:r>
            <w:fldChar w:fldCharType="separate"/>
          </w:r>
          <w:r>
            <w:rPr>
              <w:rStyle w:val="18"/>
              <w:rFonts w:ascii="Times New Roman" w:hAnsi="Times New Roman" w:cs="Times New Roman"/>
            </w:rPr>
            <w:t>2.组织实施</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_Toc100784606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"_Toc100784607" </w:instrText>
          </w:r>
          <w:r>
            <w:fldChar w:fldCharType="separate"/>
          </w:r>
          <w:r>
            <w:rPr>
              <w:rStyle w:val="18"/>
              <w:rFonts w:ascii="Times New Roman" w:hAnsi="Times New Roman" w:eastAsia="仿宋" w:cs="Times New Roman"/>
              <w:lang w:bidi="en-US"/>
            </w:rPr>
            <w:t>（三）项目产出情况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_Toc100784607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"_Toc100784608" </w:instrText>
          </w:r>
          <w:r>
            <w:fldChar w:fldCharType="separate"/>
          </w:r>
          <w:r>
            <w:rPr>
              <w:rStyle w:val="18"/>
              <w:rFonts w:ascii="Times New Roman" w:hAnsi="Times New Roman" w:cs="Times New Roman"/>
            </w:rPr>
            <w:t>1.产出数量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_Toc100784608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"_Toc100784609" </w:instrText>
          </w:r>
          <w:r>
            <w:fldChar w:fldCharType="separate"/>
          </w:r>
          <w:r>
            <w:rPr>
              <w:rStyle w:val="18"/>
              <w:rFonts w:ascii="Times New Roman" w:hAnsi="Times New Roman" w:cs="Times New Roman"/>
            </w:rPr>
            <w:t>2.产出质量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_Toc100784609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"_Toc100784610" </w:instrText>
          </w:r>
          <w:r>
            <w:fldChar w:fldCharType="separate"/>
          </w:r>
          <w:r>
            <w:rPr>
              <w:rStyle w:val="18"/>
              <w:rFonts w:ascii="Times New Roman" w:hAnsi="Times New Roman" w:cs="Times New Roman"/>
            </w:rPr>
            <w:t>3.产出时效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_Toc100784610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"_Toc100784611" </w:instrText>
          </w:r>
          <w:r>
            <w:fldChar w:fldCharType="separate"/>
          </w:r>
          <w:r>
            <w:rPr>
              <w:rStyle w:val="18"/>
              <w:rFonts w:ascii="Times New Roman" w:hAnsi="Times New Roman" w:cs="Times New Roman"/>
            </w:rPr>
            <w:t>4.产出成本</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_Toc100784611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"_Toc100784612" </w:instrText>
          </w:r>
          <w:r>
            <w:fldChar w:fldCharType="separate"/>
          </w:r>
          <w:r>
            <w:rPr>
              <w:rStyle w:val="18"/>
              <w:rFonts w:ascii="Times New Roman" w:hAnsi="Times New Roman" w:eastAsia="仿宋" w:cs="Times New Roman"/>
              <w:lang w:bidi="en-US"/>
            </w:rPr>
            <w:t>（四）项目效益情况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_Toc100784612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"_Toc100784613" </w:instrText>
          </w:r>
          <w:r>
            <w:fldChar w:fldCharType="separate"/>
          </w:r>
          <w:r>
            <w:rPr>
              <w:rStyle w:val="18"/>
              <w:rFonts w:ascii="Times New Roman" w:hAnsi="Times New Roman" w:cs="Times New Roman"/>
            </w:rPr>
            <w:t>1.项目效益</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_Toc100784613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"_Toc100784614" </w:instrText>
          </w:r>
          <w:r>
            <w:fldChar w:fldCharType="separate"/>
          </w:r>
          <w:r>
            <w:rPr>
              <w:rStyle w:val="18"/>
              <w:rFonts w:ascii="Times New Roman" w:hAnsi="Times New Roman" w:cs="Times New Roman"/>
            </w:rPr>
            <w:t>2. 满意度指标完成情况分析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_Toc100784614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"_Toc100784615" </w:instrText>
          </w:r>
          <w:r>
            <w:fldChar w:fldCharType="separate"/>
          </w:r>
          <w:r>
            <w:rPr>
              <w:rStyle w:val="18"/>
              <w:rFonts w:ascii="Times New Roman" w:hAnsi="Times New Roman" w:eastAsia="仿宋" w:cs="Times New Roman"/>
              <w:lang w:bidi="en-US"/>
            </w:rPr>
            <w:t>五、预算执行进度与绩效指标偏差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_Toc100784615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"_Toc100784616" </w:instrText>
          </w:r>
          <w:r>
            <w:fldChar w:fldCharType="separate"/>
          </w:r>
          <w:r>
            <w:rPr>
              <w:rStyle w:val="18"/>
              <w:rFonts w:ascii="Times New Roman" w:hAnsi="Times New Roman" w:eastAsia="仿宋" w:cs="Times New Roman"/>
              <w:lang w:bidi="en-US"/>
            </w:rPr>
            <w:t>六、主要经验及做法、存在的问题及原因分析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_Toc100784616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"_Toc100784617" </w:instrText>
          </w:r>
          <w:r>
            <w:fldChar w:fldCharType="separate"/>
          </w:r>
          <w:r>
            <w:rPr>
              <w:rStyle w:val="18"/>
              <w:rFonts w:ascii="Times New Roman" w:hAnsi="Times New Roman" w:eastAsia="仿宋" w:cs="Times New Roman"/>
              <w:lang w:bidi="en-US"/>
            </w:rPr>
            <w:t>（一）主要经验及做法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_Toc100784617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"_Toc100784618" </w:instrText>
          </w:r>
          <w:r>
            <w:fldChar w:fldCharType="separate"/>
          </w:r>
          <w:r>
            <w:rPr>
              <w:rStyle w:val="18"/>
              <w:rFonts w:ascii="Times New Roman" w:hAnsi="Times New Roman" w:eastAsia="仿宋" w:cs="Times New Roman"/>
              <w:lang w:bidi="en-US"/>
            </w:rPr>
            <w:t>（二）存在的问题及原因分析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_Toc100784618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"_Toc100784619" </w:instrText>
          </w:r>
          <w:r>
            <w:fldChar w:fldCharType="separate"/>
          </w:r>
          <w:r>
            <w:rPr>
              <w:rStyle w:val="18"/>
              <w:rFonts w:ascii="Times New Roman" w:hAnsi="Times New Roman" w:eastAsia="仿宋" w:cs="Times New Roman"/>
              <w:lang w:bidi="en-US"/>
            </w:rPr>
            <w:t>七、其他需要说明的问题</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_Toc100784619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"_Toc100784620" </w:instrText>
          </w:r>
          <w:r>
            <w:fldChar w:fldCharType="separate"/>
          </w:r>
          <w:r>
            <w:rPr>
              <w:rStyle w:val="18"/>
              <w:rFonts w:ascii="Times New Roman" w:hAnsi="Times New Roman" w:eastAsia="仿宋" w:cs="Times New Roman"/>
              <w:lang w:bidi="en-US"/>
            </w:rPr>
            <w:t>八、有关建议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_Toc100784620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ascii="Times New Roman" w:hAnsi="Times New Roman" w:cs="Times New Roman"/>
            </w:rPr>
            <w:fldChar w:fldCharType="end"/>
          </w:r>
        </w:p>
        <w:p>
          <w:pPr>
            <w:ind w:firstLine="562"/>
            <w:rPr>
              <w:rFonts w:ascii="Times New Roman" w:hAnsi="Times New Roman" w:cs="Times New Roman"/>
            </w:rPr>
          </w:pPr>
          <w:r>
            <w:rPr>
              <w:rFonts w:ascii="Times New Roman" w:hAnsi="Times New Roman" w:cs="Times New Roman"/>
              <w:b/>
              <w:bCs/>
              <w:lang w:val="zh-CN"/>
            </w:rPr>
            <w:fldChar w:fldCharType="end"/>
          </w:r>
        </w:p>
      </w:sdtContent>
    </w:sdt>
    <w:p>
      <w:pPr>
        <w:ind w:firstLine="598" w:firstLineChars="187"/>
        <w:rPr>
          <w:rFonts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0" w:name="_Toc67911601"/>
      <w:bookmarkStart w:id="1" w:name="_Toc100784583"/>
      <w:r>
        <w:rPr>
          <w:rFonts w:ascii="Times New Roman" w:hAnsi="Times New Roman" w:eastAsia="仿宋" w:cs="Times New Roman"/>
          <w:sz w:val="36"/>
          <w:szCs w:val="36"/>
          <w:lang w:bidi="en-US"/>
        </w:rPr>
        <w:t>一、基本情况</w:t>
      </w:r>
      <w:bookmarkEnd w:id="0"/>
      <w:bookmarkEnd w:id="1"/>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 w:name="_Toc100784584"/>
      <w:bookmarkStart w:id="3" w:name="_Toc67911602"/>
      <w:r>
        <w:rPr>
          <w:rFonts w:ascii="Times New Roman" w:hAnsi="Times New Roman" w:eastAsia="仿宋" w:cs="Times New Roman"/>
          <w:sz w:val="32"/>
          <w:szCs w:val="32"/>
          <w:lang w:bidi="en-US"/>
        </w:rPr>
        <w:t>（一）项目概况</w:t>
      </w:r>
      <w:bookmarkEnd w:id="2"/>
      <w:bookmarkEnd w:id="3"/>
    </w:p>
    <w:p>
      <w:pPr>
        <w:spacing w:line="360" w:lineRule="auto"/>
        <w:ind w:firstLine="560"/>
        <w:rPr>
          <w:rFonts w:hint="eastAsia" w:ascii="Times New Roman" w:hAnsi="Times New Roman" w:cs="Times New Roman"/>
        </w:rPr>
      </w:pPr>
      <w:r>
        <w:rPr>
          <w:rFonts w:ascii="Times New Roman" w:hAnsi="Times New Roman" w:cs="Times New Roman"/>
        </w:rPr>
        <w:t>根据</w:t>
      </w:r>
      <w:r>
        <w:rPr>
          <w:rFonts w:hint="eastAsia" w:ascii="Times New Roman" w:hAnsi="Times New Roman" w:cs="Times New Roman"/>
        </w:rPr>
        <w:t>《乌财科教【2021】102号关于提前下达2022年新疆西藏等地区教育特殊补助资金园舍维修资金》（乌财科教【2021】102号）</w:t>
      </w:r>
      <w:r>
        <w:rPr>
          <w:rFonts w:hint="eastAsia" w:ascii="Times New Roman" w:hAnsi="Times New Roman" w:cs="Times New Roman"/>
          <w:lang w:val="en-US" w:eastAsia="zh-CN"/>
        </w:rPr>
        <w:t>文件</w:t>
      </w:r>
      <w:r>
        <w:rPr>
          <w:rFonts w:hint="eastAsia" w:ascii="Times New Roman" w:hAnsi="Times New Roman" w:cs="Times New Roman"/>
        </w:rPr>
        <w:t>，乌财科教【2021】102号关于提前下达2022年新疆西藏等地区教育特殊补助资金园舍维修资金</w:t>
      </w:r>
      <w:r>
        <w:rPr>
          <w:rFonts w:ascii="Times New Roman" w:hAnsi="Times New Roman" w:cs="Times New Roman"/>
        </w:rPr>
        <w:t>项目</w:t>
      </w:r>
      <w:r>
        <w:rPr>
          <w:rFonts w:hint="eastAsia" w:ascii="Times New Roman" w:hAnsi="Times New Roman" w:cs="Times New Roman"/>
        </w:rPr>
        <w:t>预算59万元，实际完成57.83万元，预算执行率98.02%。项目主要用于幼儿园食堂扩建以及园区外墙粉刷，食堂扩建面积500平方米，投入成本32.94万元，外墙粉刷面积2000平方米，投入成本24.89万元，项目按期完成验收竣工，有效落实教育惠民政策，提升幼儿园整体环境，持续改善幼儿园办学条件，学生以及家长满意度达到95%以上。项目按要求预决算公开，厉行节约，合理安排经费开支；合理保证幼儿的营养均衡，菜品的多样化，确保幼儿的伙食，使食堂管理更加规范；合理建设校园环境，提高幼儿园办学质量。</w:t>
      </w:r>
    </w:p>
    <w:p>
      <w:pPr>
        <w:spacing w:line="360" w:lineRule="auto"/>
        <w:ind w:firstLine="560"/>
        <w:rPr>
          <w:rFonts w:ascii="Times New Roman" w:hAnsi="Times New Roman" w:cs="Times New Roman"/>
        </w:rPr>
      </w:pPr>
      <w:r>
        <w:rPr>
          <w:rFonts w:hint="eastAsia" w:ascii="Times New Roman" w:hAnsi="Times New Roman" w:cs="Times New Roman"/>
        </w:rPr>
        <w:t>财科教【2021】102</w:t>
      </w:r>
      <w:r>
        <w:rPr>
          <w:rFonts w:ascii="Times New Roman" w:hAnsi="Times New Roman" w:cs="Times New Roman"/>
        </w:rPr>
        <w:t>号文件批准，项目系2022年中央资金，共安排预算59万元，于2022年年初部分预算批复项目，资金到位</w:t>
      </w:r>
      <w:r>
        <w:rPr>
          <w:rFonts w:hint="eastAsia" w:ascii="Times New Roman" w:hAnsi="Times New Roman" w:cs="Times New Roman"/>
        </w:rPr>
        <w:t>率100%，预算执行率98.02%</w:t>
      </w:r>
      <w:r>
        <w:rPr>
          <w:rFonts w:ascii="Times New Roman" w:hAnsi="Times New Roman" w:cs="Times New Roman"/>
        </w:rPr>
        <w:t>，年中</w:t>
      </w:r>
      <w:r>
        <w:rPr>
          <w:rFonts w:hint="eastAsia" w:ascii="Times New Roman" w:hAnsi="Times New Roman" w:cs="Times New Roman"/>
        </w:rPr>
        <w:t>未</w:t>
      </w:r>
      <w:r>
        <w:rPr>
          <w:rFonts w:ascii="Times New Roman" w:hAnsi="Times New Roman" w:cs="Times New Roman"/>
        </w:rPr>
        <w:t>对资金进行调增、调减。</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 w:name="_Toc67911603"/>
      <w:bookmarkStart w:id="5" w:name="_Toc100784585"/>
      <w:r>
        <w:rPr>
          <w:rFonts w:ascii="Times New Roman" w:hAnsi="Times New Roman" w:eastAsia="仿宋" w:cs="Times New Roman"/>
          <w:sz w:val="32"/>
          <w:szCs w:val="32"/>
          <w:lang w:bidi="en-US"/>
        </w:rPr>
        <w:t>（二）项目绩效目标</w:t>
      </w:r>
      <w:bookmarkEnd w:id="4"/>
      <w:bookmarkEnd w:id="5"/>
    </w:p>
    <w:p>
      <w:pPr>
        <w:spacing w:line="360" w:lineRule="auto"/>
        <w:ind w:firstLine="560"/>
        <w:rPr>
          <w:rFonts w:ascii="Times New Roman" w:hAnsi="Times New Roman" w:cs="Times New Roman"/>
          <w:szCs w:val="28"/>
        </w:rPr>
      </w:pPr>
      <w:r>
        <w:rPr>
          <w:rFonts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ascii="Times New Roman" w:hAnsi="Times New Roman" w:cs="Times New Roman"/>
          <w:szCs w:val="28"/>
        </w:rPr>
        <w:t>〔2018〕56号</w:t>
      </w:r>
      <w:bookmarkEnd w:id="6"/>
      <w:r>
        <w:rPr>
          <w:rFonts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Times New Roman" w:hAnsi="Times New Roman" w:cs="Times New Roman"/>
          <w:szCs w:val="28"/>
        </w:rPr>
      </w:pPr>
      <w:r>
        <w:rPr>
          <w:rFonts w:ascii="Times New Roman" w:hAnsi="Times New Roman" w:cs="Times New Roman"/>
          <w:szCs w:val="28"/>
        </w:rPr>
        <w:t>该项目绩效目标设置</w:t>
      </w:r>
      <w:r>
        <w:rPr>
          <w:rFonts w:hint="eastAsia" w:ascii="Times New Roman" w:hAnsi="Times New Roman" w:cs="Times New Roman"/>
          <w:szCs w:val="28"/>
        </w:rPr>
        <w:t>为当年项目</w:t>
      </w:r>
      <w:r>
        <w:rPr>
          <w:rFonts w:ascii="Times New Roman" w:hAnsi="Times New Roman" w:cs="Times New Roman"/>
          <w:szCs w:val="28"/>
        </w:rPr>
        <w:t>，为</w:t>
      </w:r>
      <w:r>
        <w:rPr>
          <w:rFonts w:hint="eastAsia" w:ascii="Times New Roman" w:hAnsi="Times New Roman" w:cs="Times New Roman"/>
          <w:szCs w:val="28"/>
        </w:rPr>
        <w:t>年度</w:t>
      </w:r>
      <w:r>
        <w:rPr>
          <w:rFonts w:ascii="Times New Roman" w:hAnsi="Times New Roman" w:cs="Times New Roman"/>
          <w:szCs w:val="28"/>
        </w:rPr>
        <w:t>绩效目标，预计在</w:t>
      </w:r>
      <w:r>
        <w:rPr>
          <w:rFonts w:hint="eastAsia" w:ascii="Times New Roman" w:hAnsi="Times New Roman" w:cs="Times New Roman"/>
          <w:szCs w:val="28"/>
        </w:rPr>
        <w:t>一</w:t>
      </w:r>
      <w:r>
        <w:rPr>
          <w:rFonts w:ascii="Times New Roman" w:hAnsi="Times New Roman" w:cs="Times New Roman"/>
          <w:szCs w:val="28"/>
        </w:rPr>
        <w:t>年建设期间，计划完成</w:t>
      </w:r>
      <w:r>
        <w:rPr>
          <w:rFonts w:hint="eastAsia" w:ascii="Times New Roman" w:hAnsi="Times New Roman" w:cs="Times New Roman"/>
          <w:szCs w:val="28"/>
        </w:rPr>
        <w:t>幼儿园外墙粉刷，以及幼儿园食堂扩建</w:t>
      </w:r>
      <w:r>
        <w:rPr>
          <w:rFonts w:ascii="Times New Roman" w:hAnsi="Times New Roman" w:cs="Times New Roman"/>
          <w:szCs w:val="28"/>
        </w:rPr>
        <w:t>，总</w:t>
      </w:r>
      <w:r>
        <w:rPr>
          <w:rFonts w:hint="eastAsia" w:ascii="Times New Roman" w:hAnsi="Times New Roman" w:cs="Times New Roman"/>
          <w:szCs w:val="28"/>
        </w:rPr>
        <w:t>施工</w:t>
      </w:r>
      <w:r>
        <w:rPr>
          <w:rFonts w:ascii="Times New Roman" w:hAnsi="Times New Roman" w:cs="Times New Roman"/>
          <w:szCs w:val="28"/>
        </w:rPr>
        <w:t>面积2500㎡。</w:t>
      </w:r>
      <w:r>
        <w:rPr>
          <w:rFonts w:hint="eastAsia" w:ascii="Times New Roman" w:hAnsi="Times New Roman" w:cs="Times New Roman"/>
          <w:szCs w:val="28"/>
        </w:rPr>
        <w:t>项目实施工程中，严格按要求完成预决算公开，厉行节约，合理安排经费开支；有效提高幼儿教育教学校园环境以及我园食堂管理规范化。</w:t>
      </w: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7" w:name="_Toc67911604"/>
      <w:bookmarkStart w:id="8" w:name="_Toc100784586"/>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二、绩效评价工作开展情况</w:t>
      </w:r>
      <w:bookmarkEnd w:id="7"/>
      <w:bookmarkEnd w:id="8"/>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9" w:name="_Toc100784587"/>
      <w:bookmarkStart w:id="10" w:name="_Toc67911605"/>
      <w:r>
        <w:rPr>
          <w:rFonts w:ascii="Times New Roman" w:hAnsi="Times New Roman" w:eastAsia="仿宋" w:cs="Times New Roman"/>
          <w:sz w:val="32"/>
          <w:szCs w:val="32"/>
          <w:lang w:bidi="en-US"/>
        </w:rPr>
        <w:t>（一）绩效评价目的、对象和范围</w:t>
      </w:r>
      <w:bookmarkEnd w:id="9"/>
      <w:bookmarkEnd w:id="10"/>
    </w:p>
    <w:p>
      <w:pPr>
        <w:pStyle w:val="2"/>
        <w:spacing w:before="0" w:after="0" w:line="360" w:lineRule="auto"/>
        <w:ind w:firstLine="643"/>
        <w:jc w:val="left"/>
        <w:rPr>
          <w:rFonts w:ascii="Times New Roman" w:hAnsi="Times New Roman" w:eastAsia="仿宋" w:cs="Times New Roman"/>
          <w:sz w:val="32"/>
          <w:szCs w:val="32"/>
          <w:lang w:bidi="en-US"/>
        </w:rPr>
      </w:pPr>
      <w:bookmarkStart w:id="11" w:name="_Toc100784588"/>
      <w:r>
        <w:rPr>
          <w:rFonts w:ascii="Times New Roman" w:hAnsi="Times New Roman" w:eastAsia="仿宋" w:cs="Times New Roman"/>
          <w:sz w:val="32"/>
          <w:szCs w:val="32"/>
          <w:lang w:bidi="en-US"/>
        </w:rPr>
        <w:t>1.评价目的</w:t>
      </w:r>
      <w:bookmarkEnd w:id="11"/>
    </w:p>
    <w:p>
      <w:pPr>
        <w:spacing w:line="360" w:lineRule="auto"/>
        <w:ind w:firstLine="560"/>
        <w:rPr>
          <w:rFonts w:ascii="Times New Roman" w:hAnsi="Times New Roman" w:cs="Times New Roman"/>
          <w:b/>
          <w:bCs/>
        </w:rPr>
      </w:pPr>
      <w:r>
        <w:rPr>
          <w:rFonts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spacing w:before="0" w:after="0" w:line="360" w:lineRule="auto"/>
        <w:ind w:firstLine="643"/>
        <w:jc w:val="left"/>
        <w:rPr>
          <w:rFonts w:ascii="Times New Roman" w:hAnsi="Times New Roman" w:eastAsia="仿宋" w:cs="Times New Roman"/>
          <w:sz w:val="32"/>
          <w:szCs w:val="32"/>
          <w:lang w:bidi="en-US"/>
        </w:rPr>
      </w:pPr>
      <w:bookmarkStart w:id="12" w:name="_Toc100784589"/>
      <w:r>
        <w:rPr>
          <w:rFonts w:ascii="Times New Roman" w:hAnsi="Times New Roman" w:eastAsia="仿宋" w:cs="Times New Roman"/>
          <w:sz w:val="32"/>
          <w:szCs w:val="32"/>
          <w:lang w:bidi="en-US"/>
        </w:rPr>
        <w:t>2.评价对象和范围</w:t>
      </w:r>
      <w:bookmarkEnd w:id="12"/>
    </w:p>
    <w:p>
      <w:pPr>
        <w:spacing w:line="360" w:lineRule="auto"/>
        <w:ind w:firstLine="560"/>
        <w:rPr>
          <w:rFonts w:ascii="Times New Roman" w:hAnsi="Times New Roman" w:cs="Times New Roman"/>
        </w:rPr>
      </w:pPr>
      <w:r>
        <w:rPr>
          <w:rFonts w:ascii="Times New Roman" w:hAnsi="Times New Roman" w:cs="Times New Roman"/>
        </w:rPr>
        <w:t>（1）绩效评价的对象：</w:t>
      </w:r>
      <w:r>
        <w:rPr>
          <w:rFonts w:hint="eastAsia" w:ascii="Times New Roman" w:hAnsi="Times New Roman" w:cs="Times New Roman"/>
        </w:rPr>
        <w:t>乌财科教【2021】102号关于提前下达2022年新疆西藏等地区教育特殊补助资金园舍维修资金</w:t>
      </w:r>
      <w:r>
        <w:rPr>
          <w:rFonts w:ascii="Times New Roman" w:hAnsi="Times New Roman" w:cs="Times New Roman"/>
        </w:rPr>
        <w:t xml:space="preserve">项目 </w:t>
      </w:r>
    </w:p>
    <w:p>
      <w:pPr>
        <w:spacing w:line="360" w:lineRule="auto"/>
        <w:ind w:firstLine="560"/>
        <w:rPr>
          <w:rFonts w:ascii="Times New Roman" w:hAnsi="Times New Roman" w:cs="Times New Roman"/>
        </w:rPr>
      </w:pPr>
      <w:r>
        <w:rPr>
          <w:rFonts w:ascii="Times New Roman" w:hAnsi="Times New Roman" w:cs="Times New Roman"/>
        </w:rPr>
        <w:t>（2）绩效评价范围：</w:t>
      </w:r>
    </w:p>
    <w:p>
      <w:pPr>
        <w:spacing w:line="360" w:lineRule="auto"/>
        <w:ind w:firstLine="560"/>
        <w:rPr>
          <w:rFonts w:ascii="Times New Roman" w:hAnsi="Times New Roman" w:cs="Times New Roman"/>
        </w:rPr>
      </w:pPr>
      <w:r>
        <w:rPr>
          <w:rFonts w:ascii="Times New Roman" w:hAnsi="Times New Roman" w:cs="Times New Roman"/>
        </w:rPr>
        <w:t>1.项目范围：</w:t>
      </w:r>
      <w:r>
        <w:rPr>
          <w:rFonts w:hint="eastAsia" w:ascii="Times New Roman" w:hAnsi="Times New Roman" w:cs="Times New Roman"/>
        </w:rPr>
        <w:t>乌财科教【2021】102号关于提前下达2022年新疆西藏等地区教育特殊补助资金园舍维修资金</w:t>
      </w:r>
      <w:r>
        <w:rPr>
          <w:rFonts w:ascii="Times New Roman" w:hAnsi="Times New Roman" w:cs="Times New Roman"/>
        </w:rPr>
        <w:t>项目完成情况、资金投入的运行情况、项目实施后产生的绩效及影响效果。</w:t>
      </w:r>
    </w:p>
    <w:p>
      <w:pPr>
        <w:spacing w:line="360" w:lineRule="auto"/>
        <w:ind w:firstLine="560"/>
        <w:rPr>
          <w:rFonts w:ascii="Times New Roman" w:hAnsi="Times New Roman" w:cs="Times New Roman"/>
        </w:rPr>
      </w:pPr>
      <w:r>
        <w:rPr>
          <w:rFonts w:ascii="Times New Roman" w:hAnsi="Times New Roman" w:cs="Times New Roman"/>
        </w:rPr>
        <w:t>2.时间范围：2022年1月1日至2022年12月31日。</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13" w:name="_Toc67911606"/>
      <w:bookmarkStart w:id="14" w:name="_Toc100784590"/>
      <w:bookmarkStart w:id="15" w:name="_Hlk67586765"/>
      <w:r>
        <w:rPr>
          <w:rFonts w:ascii="Times New Roman" w:hAnsi="Times New Roman" w:eastAsia="仿宋" w:cs="Times New Roman"/>
          <w:sz w:val="32"/>
          <w:szCs w:val="32"/>
          <w:lang w:bidi="en-US"/>
        </w:rPr>
        <w:t>（二）绩效评价原则、指标体系、方法及标准</w:t>
      </w:r>
      <w:bookmarkEnd w:id="13"/>
      <w:bookmarkEnd w:id="14"/>
    </w:p>
    <w:bookmarkEnd w:id="15"/>
    <w:p>
      <w:pPr>
        <w:pStyle w:val="2"/>
        <w:spacing w:before="0" w:after="0" w:line="360" w:lineRule="auto"/>
        <w:ind w:firstLine="643"/>
        <w:jc w:val="left"/>
        <w:rPr>
          <w:rFonts w:ascii="Times New Roman" w:hAnsi="Times New Roman" w:eastAsia="仿宋" w:cs="Times New Roman"/>
          <w:sz w:val="32"/>
          <w:szCs w:val="32"/>
          <w:lang w:bidi="en-US"/>
        </w:rPr>
      </w:pPr>
      <w:bookmarkStart w:id="16" w:name="_Toc100784591"/>
      <w:r>
        <w:rPr>
          <w:rFonts w:ascii="Times New Roman" w:hAnsi="Times New Roman" w:eastAsia="仿宋" w:cs="Times New Roman"/>
          <w:sz w:val="32"/>
          <w:szCs w:val="32"/>
          <w:lang w:bidi="en-US"/>
        </w:rPr>
        <w:t>1.评价原则</w:t>
      </w:r>
      <w:bookmarkEnd w:id="16"/>
    </w:p>
    <w:p>
      <w:pPr>
        <w:spacing w:line="360" w:lineRule="auto"/>
        <w:ind w:firstLine="560"/>
        <w:rPr>
          <w:rFonts w:ascii="Times New Roman" w:hAnsi="Times New Roman" w:cs="Times New Roman"/>
        </w:rPr>
      </w:pPr>
      <w:r>
        <w:rPr>
          <w:rFonts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ascii="Times New Roman" w:hAnsi="Times New Roman" w:cs="Times New Roman"/>
        </w:rPr>
      </w:pPr>
      <w:r>
        <w:rPr>
          <w:rFonts w:ascii="Times New Roman" w:hAnsi="Times New Roman" w:cs="Times New Roman"/>
        </w:rPr>
        <w:t>（2）公正公开原则：绩效评价应当符合真实、客观、公正的要求，依法公开并接受监督。</w:t>
      </w:r>
    </w:p>
    <w:p>
      <w:pPr>
        <w:spacing w:line="360" w:lineRule="auto"/>
        <w:ind w:firstLine="560"/>
        <w:rPr>
          <w:rFonts w:ascii="Times New Roman" w:hAnsi="Times New Roman" w:cs="Times New Roman"/>
        </w:rPr>
      </w:pPr>
      <w:r>
        <w:rPr>
          <w:rFonts w:ascii="Times New Roman" w:hAnsi="Times New Roman" w:cs="Times New Roman"/>
        </w:rPr>
        <w:t>（3）分级分类原则：根据评价对象特点分类组织实施。</w:t>
      </w:r>
    </w:p>
    <w:p>
      <w:pPr>
        <w:spacing w:line="360" w:lineRule="auto"/>
        <w:ind w:firstLine="560"/>
        <w:rPr>
          <w:rFonts w:ascii="Times New Roman" w:hAnsi="Times New Roman" w:cs="Times New Roman"/>
        </w:rPr>
      </w:pPr>
      <w:r>
        <w:rPr>
          <w:rFonts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ascii="Times New Roman" w:hAnsi="Times New Roman" w:cs="Times New Roman"/>
        </w:rPr>
      </w:pPr>
      <w:r>
        <w:rPr>
          <w:rFonts w:ascii="Times New Roman" w:hAnsi="Times New Roman" w:cs="Times New Roman"/>
        </w:rPr>
        <w:t>根据以上原则，绩效评价应遵循如下要求：</w:t>
      </w:r>
    </w:p>
    <w:p>
      <w:pPr>
        <w:spacing w:line="360" w:lineRule="auto"/>
        <w:ind w:firstLine="560"/>
        <w:rPr>
          <w:rFonts w:ascii="Times New Roman" w:hAnsi="Times New Roman" w:cs="Times New Roman"/>
        </w:rPr>
      </w:pPr>
      <w:r>
        <w:rPr>
          <w:rFonts w:ascii="Times New Roman" w:hAnsi="Times New Roman" w:cs="Times New Roman"/>
        </w:rPr>
        <w:t>（1）在数据收集时，采取客观数据，并结合问卷调查结果，以保证各项指标的真实性。</w:t>
      </w:r>
    </w:p>
    <w:p>
      <w:pPr>
        <w:spacing w:line="360" w:lineRule="auto"/>
        <w:ind w:firstLine="560"/>
        <w:rPr>
          <w:rFonts w:ascii="Times New Roman" w:hAnsi="Times New Roman" w:cs="Times New Roman"/>
        </w:rPr>
      </w:pPr>
      <w:r>
        <w:rPr>
          <w:rFonts w:ascii="Times New Roman" w:hAnsi="Times New Roman" w:cs="Times New Roman"/>
        </w:rPr>
        <w:t>（2）保证评价结果的真实性、公正性，提高评价报告的公信力。</w:t>
      </w:r>
    </w:p>
    <w:p>
      <w:pPr>
        <w:spacing w:line="360" w:lineRule="auto"/>
        <w:ind w:firstLine="560"/>
        <w:rPr>
          <w:rFonts w:ascii="Times New Roman" w:hAnsi="Times New Roman" w:cs="Times New Roman"/>
        </w:rPr>
      </w:pPr>
      <w:r>
        <w:rPr>
          <w:rFonts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spacing w:before="0" w:after="0" w:line="360" w:lineRule="auto"/>
        <w:ind w:firstLine="643"/>
        <w:jc w:val="left"/>
        <w:rPr>
          <w:rFonts w:ascii="Times New Roman" w:hAnsi="Times New Roman" w:eastAsia="仿宋" w:cs="Times New Roman"/>
          <w:sz w:val="32"/>
          <w:szCs w:val="32"/>
          <w:lang w:bidi="en-US"/>
        </w:rPr>
      </w:pPr>
      <w:bookmarkStart w:id="17" w:name="_Toc100784592"/>
      <w:r>
        <w:rPr>
          <w:rFonts w:ascii="Times New Roman" w:hAnsi="Times New Roman" w:eastAsia="仿宋" w:cs="Times New Roman"/>
          <w:sz w:val="32"/>
          <w:szCs w:val="32"/>
          <w:lang w:bidi="en-US"/>
        </w:rPr>
        <w:t>2.评价指标体系</w:t>
      </w:r>
      <w:bookmarkEnd w:id="17"/>
    </w:p>
    <w:p>
      <w:pPr>
        <w:spacing w:line="360" w:lineRule="auto"/>
        <w:ind w:firstLine="560"/>
        <w:rPr>
          <w:rFonts w:ascii="Times New Roman" w:hAnsi="Times New Roman" w:cs="Times New Roman"/>
        </w:rPr>
      </w:pPr>
      <w:r>
        <w:rPr>
          <w:rFonts w:ascii="Times New Roman" w:hAnsi="Times New Roman" w:cs="Times New Roman"/>
        </w:rPr>
        <w:t>绩效评价指标体系作为衡量绩效目标实现程度的考核工具，一般遵循以下原则：</w:t>
      </w:r>
    </w:p>
    <w:p>
      <w:pPr>
        <w:spacing w:line="360" w:lineRule="auto"/>
        <w:ind w:firstLine="560"/>
        <w:rPr>
          <w:rFonts w:ascii="Times New Roman" w:hAnsi="Times New Roman" w:cs="Times New Roman"/>
        </w:rPr>
      </w:pPr>
      <w:r>
        <w:rPr>
          <w:rFonts w:ascii="Times New Roman" w:hAnsi="Times New Roman" w:cs="Times New Roman"/>
        </w:rPr>
        <w:t>（1）相关性原则：绩效评价指标应当与绩效目标有直接的联系，能够恰当反映目标的实现程度。</w:t>
      </w:r>
    </w:p>
    <w:p>
      <w:pPr>
        <w:spacing w:line="360" w:lineRule="auto"/>
        <w:ind w:firstLine="560"/>
        <w:rPr>
          <w:rFonts w:ascii="Times New Roman" w:hAnsi="Times New Roman" w:cs="Times New Roman"/>
        </w:rPr>
      </w:pPr>
      <w:r>
        <w:rPr>
          <w:rFonts w:ascii="Times New Roman" w:hAnsi="Times New Roman" w:cs="Times New Roman"/>
        </w:rPr>
        <w:t>（2）重要性原则：应当优先使用最具评价对象代表性、最能反映评价要求的核心指标。</w:t>
      </w:r>
    </w:p>
    <w:p>
      <w:pPr>
        <w:spacing w:line="360" w:lineRule="auto"/>
        <w:ind w:firstLine="560"/>
        <w:rPr>
          <w:rFonts w:ascii="Times New Roman" w:hAnsi="Times New Roman" w:cs="Times New Roman"/>
        </w:rPr>
      </w:pPr>
      <w:r>
        <w:rPr>
          <w:rFonts w:ascii="Times New Roman" w:hAnsi="Times New Roman" w:cs="Times New Roman"/>
        </w:rPr>
        <w:t>（3）可比性原则：对同类评价对象要设定共性的绩效评价指标，以便于评价结果可以相互比较。</w:t>
      </w:r>
    </w:p>
    <w:p>
      <w:pPr>
        <w:spacing w:line="360" w:lineRule="auto"/>
        <w:ind w:firstLine="560"/>
        <w:rPr>
          <w:rFonts w:ascii="Times New Roman" w:hAnsi="Times New Roman" w:cs="Times New Roman"/>
        </w:rPr>
      </w:pPr>
      <w:r>
        <w:rPr>
          <w:rFonts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ascii="Times New Roman" w:hAnsi="Times New Roman" w:cs="Times New Roman"/>
        </w:rPr>
      </w:pPr>
      <w:r>
        <w:rPr>
          <w:rFonts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ascii="Times New Roman" w:hAnsi="Times New Roman" w:cs="Times New Roman"/>
        </w:rPr>
      </w:pPr>
      <w:r>
        <w:rPr>
          <w:rFonts w:ascii="Times New Roman" w:hAnsi="Times New Roman" w:cs="Times New Roman"/>
        </w:rPr>
        <w:t>本项目的评价指标体系建立如附件所示。</w:t>
      </w: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Times New Roman" w:hAnsi="Times New Roman" w:cs="Times New Roman"/>
          <w:b/>
          <w:bCs/>
        </w:rPr>
      </w:pPr>
      <w:r>
        <w:rPr>
          <w:rFonts w:ascii="Times New Roman" w:hAnsi="Times New Roman" w:cs="Times New Roman"/>
          <w:b/>
          <w:bCs/>
        </w:rPr>
        <w:t xml:space="preserve">  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622"/>
        <w:gridCol w:w="2578"/>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二级指标</w:t>
            </w:r>
          </w:p>
        </w:tc>
        <w:tc>
          <w:tcPr>
            <w:tcW w:w="1622"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三级指标</w:t>
            </w:r>
          </w:p>
        </w:tc>
        <w:tc>
          <w:tcPr>
            <w:tcW w:w="257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立项依据</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充分性</w:t>
            </w:r>
          </w:p>
        </w:tc>
        <w:tc>
          <w:tcPr>
            <w:tcW w:w="2578"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①项目立项是否符合国家法律法规、国民经济发展规划和相关政策；</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②项目立项是否符合行业发展规划和政策要求；</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③项目立项是否与部门职责范围相符，属于部门履职所需；</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④项目是否属于公共财政支持范围，是否符合中央、地方事权支出责任划分原则；</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立项程序</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规范性</w:t>
            </w:r>
          </w:p>
        </w:tc>
        <w:tc>
          <w:tcPr>
            <w:tcW w:w="2578"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①项目是否按照规定的程序申请设立；</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②审批文件、材料是否符合相关要求；</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（如未设定预算绩效目标，也可考核其他工作任务目标）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①项目是否有绩效目标；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②项目绩效目标与实际工作内容是否具有相关性；</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绩效指标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明确性</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①是否将项目绩效目标细化分解为具体的绩效指标；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②是否通过清晰、可衡量的指标值予以体现；</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③是否与项目目标任务数或计划数相对应。</w:t>
            </w:r>
            <w:r>
              <w:rPr>
                <w:rFonts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资金投入</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预算编制</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科学性</w:t>
            </w:r>
          </w:p>
        </w:tc>
        <w:tc>
          <w:tcPr>
            <w:tcW w:w="2578"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①预算编制是否经过科学论证；</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②预算内容与项目内容是否匹配；</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③预算额度测算依据是否充分，是否按照标准编制；</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资金分配</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578"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①预算资金分配依据是否充分；</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资金到位率=（实际到位资金/预算资金）×100%。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w:t>
            </w:r>
          </w:p>
        </w:tc>
        <w:tc>
          <w:tcPr>
            <w:tcW w:w="2578"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预算执行率=（实际支出资金/实际到位资金）×100%。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资金使用</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合规性</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①是否符合国家财经法规和财务管理制度以及有关专项资金管理办法的规定；</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②资金的拨付是否有完整的审批程序和手续；</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③是否符合项目预算批复或合同规定的用途；</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组织实施</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管理制度</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健全性</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①是否已制定或具有相应的财务和业务管理制度；</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制度执行</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有效性</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①是否遵守相关法律法规和相关管理规定；</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②项目调整及支出调整手续是否完备；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③项目合同书、验收报告、技术鉴定等资料是否齐全并及时归档；</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1"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产出数量</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外墙粉刷面积</w:t>
            </w:r>
          </w:p>
        </w:tc>
        <w:tc>
          <w:tcPr>
            <w:tcW w:w="2578"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实际完成率=（实际产出数/计划产出数）×100%。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实际产出数：一定时期（本年度或项目期）内项目实际产出的产品或提供的服务数量。</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622"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食堂扩建面积</w:t>
            </w:r>
          </w:p>
        </w:tc>
        <w:tc>
          <w:tcPr>
            <w:tcW w:w="2578"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产出质量</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竣工验收合格率</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质量达标率=（质量达标产出数/实际产出数）×100%。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产出时效</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项目按期完成率</w:t>
            </w:r>
          </w:p>
        </w:tc>
        <w:tc>
          <w:tcPr>
            <w:tcW w:w="2578"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实际完成时间：项目实施单位完成该项目实际所耗用的时间。</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yellow"/>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yellow"/>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项目按计划完成率</w:t>
            </w:r>
          </w:p>
        </w:tc>
        <w:tc>
          <w:tcPr>
            <w:tcW w:w="2578"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5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产出成本</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外墙粉刷</w:t>
            </w:r>
          </w:p>
        </w:tc>
        <w:tc>
          <w:tcPr>
            <w:tcW w:w="2578"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成本节约率=[（计划成本-实际成本）/计划成本]×100%。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实际成本：项目实施单位如期、保质、保量完成既定工作目标实际所耗费的支出。</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51"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食堂扩建</w:t>
            </w:r>
          </w:p>
        </w:tc>
        <w:tc>
          <w:tcPr>
            <w:tcW w:w="2578"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效益</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社会效益指标</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落实教育惠民政策率</w:t>
            </w:r>
          </w:p>
        </w:tc>
        <w:tc>
          <w:tcPr>
            <w:tcW w:w="2578" w:type="dxa"/>
            <w:vMerge w:val="restart"/>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项目实施所产生的效益。</w:t>
            </w:r>
          </w:p>
        </w:tc>
        <w:tc>
          <w:tcPr>
            <w:tcW w:w="7341" w:type="dxa"/>
            <w:vMerge w:val="restart"/>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622"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项目受益人数</w:t>
            </w:r>
          </w:p>
        </w:tc>
        <w:tc>
          <w:tcPr>
            <w:tcW w:w="2578" w:type="dxa"/>
            <w:vMerge w:val="continue"/>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p>
        </w:tc>
        <w:tc>
          <w:tcPr>
            <w:tcW w:w="7341" w:type="dxa"/>
            <w:vMerge w:val="continue"/>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可持续影响指标</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改善办学条件</w:t>
            </w:r>
          </w:p>
        </w:tc>
        <w:tc>
          <w:tcPr>
            <w:tcW w:w="2578"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6"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满意度指标完成情况分析</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满意度指标</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学生满意率</w:t>
            </w:r>
          </w:p>
        </w:tc>
        <w:tc>
          <w:tcPr>
            <w:tcW w:w="2578"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社会公众或服务对象对项目实施效果的满意程度。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家长满意率</w:t>
            </w:r>
          </w:p>
        </w:tc>
        <w:tc>
          <w:tcPr>
            <w:tcW w:w="2578"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bl>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spacing w:before="0" w:after="0" w:line="360" w:lineRule="auto"/>
        <w:ind w:firstLine="643"/>
        <w:jc w:val="left"/>
        <w:rPr>
          <w:rFonts w:ascii="Times New Roman" w:hAnsi="Times New Roman" w:eastAsia="仿宋" w:cs="Times New Roman"/>
          <w:sz w:val="32"/>
          <w:szCs w:val="32"/>
          <w:lang w:bidi="en-US"/>
        </w:rPr>
      </w:pPr>
      <w:bookmarkStart w:id="18" w:name="_Toc100784593"/>
      <w:bookmarkStart w:id="19" w:name="_Hlk67586038"/>
      <w:r>
        <w:rPr>
          <w:rFonts w:ascii="Times New Roman" w:hAnsi="Times New Roman" w:eastAsia="仿宋" w:cs="Times New Roman"/>
          <w:sz w:val="32"/>
          <w:szCs w:val="32"/>
          <w:lang w:bidi="en-US"/>
        </w:rPr>
        <w:t>3.评价方法</w:t>
      </w:r>
      <w:bookmarkEnd w:id="18"/>
    </w:p>
    <w:bookmarkEnd w:id="19"/>
    <w:p>
      <w:pPr>
        <w:spacing w:line="360" w:lineRule="auto"/>
        <w:ind w:firstLine="560"/>
        <w:rPr>
          <w:rFonts w:ascii="Times New Roman" w:hAnsi="Times New Roman" w:cs="Times New Roman"/>
        </w:rPr>
      </w:pPr>
      <w:r>
        <w:rPr>
          <w:rFonts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Times New Roman" w:hAnsi="Times New Roman" w:cs="Times New Roman"/>
        </w:rPr>
      </w:pPr>
      <w:r>
        <w:rPr>
          <w:rFonts w:ascii="Times New Roman" w:hAnsi="Times New Roman" w:cs="Times New Roman"/>
        </w:rPr>
        <w:t>（1）成本效益分析法。是指将投入与产出、效益进行关联性分析的方法。</w:t>
      </w:r>
    </w:p>
    <w:p>
      <w:pPr>
        <w:spacing w:line="360" w:lineRule="auto"/>
        <w:ind w:firstLine="560"/>
        <w:rPr>
          <w:rFonts w:ascii="Times New Roman" w:hAnsi="Times New Roman" w:cs="Times New Roman"/>
        </w:rPr>
      </w:pPr>
      <w:r>
        <w:rPr>
          <w:rFonts w:ascii="Times New Roman" w:hAnsi="Times New Roman" w:cs="Times New Roman"/>
        </w:rPr>
        <w:t>（2）比较法。是指将实施情况与绩效目标、历史情况、不同部门和地区同类支出情况进行比较的方法。</w:t>
      </w:r>
    </w:p>
    <w:p>
      <w:pPr>
        <w:spacing w:line="360" w:lineRule="auto"/>
        <w:ind w:firstLine="560"/>
        <w:rPr>
          <w:rFonts w:ascii="Times New Roman" w:hAnsi="Times New Roman" w:cs="Times New Roman"/>
        </w:rPr>
      </w:pPr>
      <w:r>
        <w:rPr>
          <w:rFonts w:ascii="Times New Roman" w:hAnsi="Times New Roman" w:cs="Times New Roman"/>
        </w:rPr>
        <w:t>（3）因素分析法。是指综合分析影响绩效目标实现、实施效果的内外部因素的方法。</w:t>
      </w:r>
    </w:p>
    <w:p>
      <w:pPr>
        <w:spacing w:line="360" w:lineRule="auto"/>
        <w:ind w:firstLine="560"/>
        <w:rPr>
          <w:rFonts w:ascii="Times New Roman" w:hAnsi="Times New Roman" w:cs="Times New Roman"/>
        </w:rPr>
      </w:pPr>
      <w:r>
        <w:rPr>
          <w:rFonts w:ascii="Times New Roman" w:hAnsi="Times New Roman" w:cs="Times New Roman"/>
        </w:rPr>
        <w:t>（4）最低成本法。是指在绩效目标确定的前提下，成本最小者为优的方法。</w:t>
      </w:r>
    </w:p>
    <w:p>
      <w:pPr>
        <w:spacing w:line="360" w:lineRule="auto"/>
        <w:ind w:firstLine="560"/>
        <w:rPr>
          <w:rFonts w:ascii="Times New Roman" w:hAnsi="Times New Roman" w:cs="Times New Roman"/>
        </w:rPr>
      </w:pPr>
      <w:r>
        <w:rPr>
          <w:rFonts w:ascii="Times New Roman" w:hAnsi="Times New Roman" w:cs="Times New Roman"/>
        </w:rPr>
        <w:t>（5）公众评判法。是指通过专家评估、公众问卷及抽样调查等方式进行评判的方法。</w:t>
      </w:r>
    </w:p>
    <w:p>
      <w:pPr>
        <w:spacing w:line="360" w:lineRule="auto"/>
        <w:ind w:firstLine="560"/>
        <w:rPr>
          <w:rFonts w:ascii="Times New Roman" w:hAnsi="Times New Roman" w:cs="Times New Roman"/>
        </w:rPr>
      </w:pPr>
      <w:r>
        <w:rPr>
          <w:rFonts w:ascii="Times New Roman" w:hAnsi="Times New Roman" w:cs="Times New Roman"/>
        </w:rPr>
        <w:t>（6）标杆管理法。是指以国内外同行业中较高的绩效水平为标杆进行评判的方法。</w:t>
      </w:r>
    </w:p>
    <w:p>
      <w:pPr>
        <w:spacing w:line="360" w:lineRule="auto"/>
        <w:ind w:firstLine="560"/>
        <w:rPr>
          <w:rFonts w:ascii="Times New Roman" w:hAnsi="Times New Roman" w:cs="Times New Roman"/>
        </w:rPr>
      </w:pPr>
      <w:r>
        <w:rPr>
          <w:rFonts w:ascii="Times New Roman" w:hAnsi="Times New Roman" w:cs="Times New Roman"/>
        </w:rPr>
        <w:t>（7）其他评价方法。</w:t>
      </w:r>
    </w:p>
    <w:p>
      <w:pPr>
        <w:spacing w:line="360" w:lineRule="auto"/>
        <w:ind w:firstLine="560"/>
        <w:rPr>
          <w:rFonts w:ascii="Times New Roman" w:hAnsi="Times New Roman" w:cs="Times New Roman"/>
        </w:rPr>
      </w:pPr>
      <w:r>
        <w:rPr>
          <w:rFonts w:ascii="Times New Roman" w:hAnsi="Times New Roman" w:cs="Times New Roman"/>
        </w:rPr>
        <w:t>根据本项目（</w:t>
      </w:r>
      <w:r>
        <w:rPr>
          <w:rFonts w:hint="eastAsia" w:ascii="Times New Roman" w:hAnsi="Times New Roman" w:cs="Times New Roman"/>
        </w:rPr>
        <w:t>乌财科教【2021】102号关于提前下达2022年新疆西藏等地区教育特殊补助资金园舍维修资金</w:t>
      </w:r>
      <w:r>
        <w:rPr>
          <w:rFonts w:ascii="Times New Roman" w:hAnsi="Times New Roman" w:cs="Times New Roman"/>
        </w:rPr>
        <w:t>项目）的特点，</w:t>
      </w:r>
      <w:bookmarkStart w:id="62" w:name="_GoBack"/>
      <w:bookmarkEnd w:id="62"/>
      <w:r>
        <w:rPr>
          <w:rFonts w:ascii="Times New Roman" w:hAnsi="Times New Roman" w:cs="Times New Roman"/>
        </w:rPr>
        <w:t>本次评价主要采用比较法，</w:t>
      </w:r>
      <w:r>
        <w:rPr>
          <w:rFonts w:hint="eastAsia" w:ascii="Times New Roman" w:hAnsi="Times New Roman" w:cs="Times New Roman"/>
        </w:rPr>
        <w:t>项目总预算59万元，其中外墙粉刷控制在24.89万元以内，食堂扩建控制在34.11万元以内，准确合理的对项目资金进行了分配，实际预算执行率达到98.02%，与同期其他项目相比资金使用合理性达到预期效果。</w:t>
      </w:r>
    </w:p>
    <w:p>
      <w:pPr>
        <w:pStyle w:val="2"/>
        <w:spacing w:before="0" w:after="0" w:line="360" w:lineRule="auto"/>
        <w:ind w:firstLine="643"/>
        <w:jc w:val="left"/>
        <w:rPr>
          <w:rFonts w:ascii="Times New Roman" w:hAnsi="Times New Roman" w:eastAsia="仿宋" w:cs="Times New Roman"/>
          <w:sz w:val="32"/>
          <w:szCs w:val="32"/>
          <w:lang w:bidi="en-US"/>
        </w:rPr>
      </w:pPr>
      <w:bookmarkStart w:id="20" w:name="_Toc100784594"/>
      <w:r>
        <w:rPr>
          <w:rFonts w:ascii="Times New Roman" w:hAnsi="Times New Roman" w:eastAsia="仿宋" w:cs="Times New Roman"/>
          <w:sz w:val="32"/>
          <w:szCs w:val="32"/>
          <w:lang w:bidi="en-US"/>
        </w:rPr>
        <w:t>4.评价标准</w:t>
      </w:r>
      <w:bookmarkEnd w:id="20"/>
    </w:p>
    <w:p>
      <w:pPr>
        <w:spacing w:line="360" w:lineRule="auto"/>
        <w:ind w:firstLine="560"/>
        <w:rPr>
          <w:rFonts w:ascii="Times New Roman" w:hAnsi="Times New Roman" w:cs="Times New Roman"/>
        </w:rPr>
      </w:pPr>
      <w:r>
        <w:rPr>
          <w:rFonts w:ascii="Times New Roman" w:hAnsi="Times New Roman" w:cs="Times New Roman"/>
        </w:rPr>
        <w:t>绩效评价标准主要包括计划标准、行业标准、历史标准等，用于对绩效指标完成情况进行比较。</w:t>
      </w:r>
    </w:p>
    <w:p>
      <w:pPr>
        <w:spacing w:line="360" w:lineRule="auto"/>
        <w:ind w:firstLine="560"/>
        <w:rPr>
          <w:rFonts w:ascii="Times New Roman" w:hAnsi="Times New Roman" w:cs="Times New Roman"/>
        </w:rPr>
      </w:pPr>
      <w:r>
        <w:rPr>
          <w:rFonts w:ascii="Times New Roman" w:hAnsi="Times New Roman" w:cs="Times New Roman"/>
        </w:rPr>
        <w:t>（1）计划标准。指以预先制定的目标、计划、预算、定额等作为评价标准。</w:t>
      </w:r>
    </w:p>
    <w:p>
      <w:pPr>
        <w:spacing w:line="360" w:lineRule="auto"/>
        <w:ind w:firstLine="560"/>
        <w:rPr>
          <w:rFonts w:ascii="Times New Roman" w:hAnsi="Times New Roman" w:cs="Times New Roman"/>
        </w:rPr>
      </w:pPr>
      <w:r>
        <w:rPr>
          <w:rFonts w:ascii="Times New Roman" w:hAnsi="Times New Roman" w:cs="Times New Roman"/>
        </w:rPr>
        <w:t>（2）行业标准。指参照国家公布的行业指标数据制定的评价标准。</w:t>
      </w:r>
    </w:p>
    <w:p>
      <w:pPr>
        <w:spacing w:line="360" w:lineRule="auto"/>
        <w:ind w:firstLine="560"/>
        <w:rPr>
          <w:rFonts w:ascii="Times New Roman" w:hAnsi="Times New Roman" w:cs="Times New Roman"/>
        </w:rPr>
      </w:pPr>
      <w:r>
        <w:rPr>
          <w:rFonts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ascii="Times New Roman" w:hAnsi="Times New Roman" w:cs="Times New Roman"/>
        </w:rPr>
      </w:pPr>
      <w:r>
        <w:rPr>
          <w:rFonts w:ascii="Times New Roman" w:hAnsi="Times New Roman" w:cs="Times New Roman"/>
        </w:rPr>
        <w:t>在上述评价标准的基础上，本次评价依据以下文件为重要指导和准绳：</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《中共中央国务院关于全面实施预算绩效管理的意见》（中发〔2018〕34号）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《关于印发&lt;乌鲁木齐市本级部门预算绩效目标管理暂行办法&gt;的通知》（乌财预〔2018〕56号）</w:t>
      </w:r>
    </w:p>
    <w:p>
      <w:pPr>
        <w:spacing w:line="360" w:lineRule="auto"/>
        <w:ind w:firstLine="560" w:firstLineChars="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《关于做好2019年部门预算项目支出绩效目标管理有关事宜的通知》（乌财预〔2018〕76号）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《项目支出绩效评价管理办法》（财预〔2020〕10号）</w:t>
      </w:r>
    </w:p>
    <w:p>
      <w:pPr>
        <w:pStyle w:val="2"/>
        <w:spacing w:before="0" w:after="0" w:line="360" w:lineRule="auto"/>
        <w:ind w:firstLine="0" w:firstLineChars="0"/>
        <w:jc w:val="left"/>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 xml:space="preserve"> </w:t>
      </w:r>
      <w:bookmarkStart w:id="21" w:name="_Toc67911607"/>
      <w:bookmarkStart w:id="22" w:name="_Toc100784595"/>
      <w:r>
        <w:rPr>
          <w:rFonts w:ascii="Times New Roman" w:hAnsi="Times New Roman" w:eastAsia="仿宋" w:cs="Times New Roman"/>
          <w:sz w:val="32"/>
          <w:szCs w:val="32"/>
          <w:lang w:bidi="en-US"/>
        </w:rPr>
        <w:t>（三）绩效评价工作过程</w:t>
      </w:r>
      <w:bookmarkEnd w:id="21"/>
      <w:bookmarkEnd w:id="22"/>
    </w:p>
    <w:p>
      <w:pPr>
        <w:spacing w:line="360" w:lineRule="auto"/>
        <w:ind w:firstLine="560"/>
        <w:rPr>
          <w:rFonts w:ascii="Times New Roman" w:hAnsi="Times New Roman" w:cs="Times New Roman"/>
        </w:rPr>
      </w:pPr>
      <w:r>
        <w:rPr>
          <w:rFonts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ascii="Times New Roman" w:hAnsi="Times New Roman" w:cs="Times New Roman"/>
        </w:rPr>
        <w:footnoteReference w:id="0"/>
      </w:r>
      <w:r>
        <w:rPr>
          <w:rFonts w:ascii="Times New Roman" w:hAnsi="Times New Roman" w:cs="Times New Roman"/>
        </w:rPr>
        <w:t>、材料审核分析、现场核查评价、综合分析评价及报告撰写，评价项目实施情况，展现资金使用效益。</w:t>
      </w:r>
    </w:p>
    <w:p>
      <w:pPr>
        <w:pStyle w:val="2"/>
        <w:spacing w:before="0" w:after="0" w:line="560" w:lineRule="exact"/>
        <w:ind w:firstLine="723"/>
        <w:jc w:val="left"/>
        <w:rPr>
          <w:rFonts w:ascii="Times New Roman" w:hAnsi="Times New Roman" w:eastAsia="仿宋" w:cs="Times New Roman"/>
          <w:sz w:val="36"/>
          <w:szCs w:val="36"/>
          <w:lang w:bidi="en-US"/>
        </w:rPr>
      </w:pPr>
      <w:bookmarkStart w:id="23" w:name="_Toc100784596"/>
      <w:bookmarkStart w:id="24" w:name="_Toc67911608"/>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三、综合评价情况及评价结论</w:t>
      </w:r>
      <w:bookmarkEnd w:id="23"/>
      <w:bookmarkEnd w:id="24"/>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5" w:name="_Toc67911609"/>
      <w:bookmarkStart w:id="26" w:name="_Toc100784597"/>
      <w:r>
        <w:rPr>
          <w:rFonts w:ascii="Times New Roman" w:hAnsi="Times New Roman" w:eastAsia="仿宋" w:cs="Times New Roman"/>
          <w:sz w:val="32"/>
          <w:szCs w:val="32"/>
          <w:lang w:bidi="en-US"/>
        </w:rPr>
        <w:t>（一）评价结论</w:t>
      </w:r>
      <w:bookmarkEnd w:id="25"/>
      <w:bookmarkEnd w:id="26"/>
    </w:p>
    <w:p>
      <w:pPr>
        <w:spacing w:line="360" w:lineRule="auto"/>
        <w:ind w:firstLine="560"/>
        <w:rPr>
          <w:rFonts w:ascii="Times New Roman" w:hAnsi="Times New Roman" w:cs="Times New Roman"/>
          <w:szCs w:val="28"/>
        </w:rPr>
      </w:pPr>
      <w:r>
        <w:rPr>
          <w:rFonts w:ascii="Times New Roman" w:hAnsi="Times New Roman" w:cs="Times New Roman"/>
          <w:szCs w:val="28"/>
        </w:rPr>
        <w:t>结合项目特点，制定符合项目实际的绩效评价指标体系及评分标准，通过数据采集、问卷调查及访谈等形式，对2022年</w:t>
      </w:r>
      <w:r>
        <w:rPr>
          <w:rFonts w:hint="eastAsia" w:ascii="Times New Roman" w:hAnsi="Times New Roman" w:cs="Times New Roman"/>
        </w:rPr>
        <w:t>乌财科教【2021】102号关于提前下达2022年新疆西藏等地区教育特殊补助资金园舍维修资金</w:t>
      </w:r>
      <w:r>
        <w:rPr>
          <w:rFonts w:ascii="Times New Roman" w:hAnsi="Times New Roman" w:cs="Times New Roman"/>
        </w:rPr>
        <w:t>项目</w:t>
      </w:r>
      <w:r>
        <w:rPr>
          <w:rFonts w:ascii="Times New Roman" w:hAnsi="Times New Roman" w:cs="Times New Roman"/>
          <w:szCs w:val="28"/>
        </w:rPr>
        <w:t>进行客观评价，最终评分结果为：总分为99</w:t>
      </w:r>
      <w:r>
        <w:rPr>
          <w:rFonts w:hint="eastAsia" w:ascii="Times New Roman" w:hAnsi="Times New Roman" w:cs="Times New Roman"/>
          <w:szCs w:val="28"/>
          <w:lang w:val="en-US" w:eastAsia="zh-CN"/>
        </w:rPr>
        <w:t>.75</w:t>
      </w:r>
      <w:r>
        <w:rPr>
          <w:rFonts w:ascii="Times New Roman" w:hAnsi="Times New Roman" w:cs="Times New Roman"/>
          <w:szCs w:val="28"/>
        </w:rPr>
        <w:t>分，绩效评级为“</w:t>
      </w:r>
      <w:r>
        <w:rPr>
          <w:rFonts w:hint="eastAsia" w:ascii="Times New Roman" w:hAnsi="Times New Roman" w:cs="Times New Roman"/>
          <w:szCs w:val="28"/>
        </w:rPr>
        <w:t>优</w:t>
      </w:r>
      <w:r>
        <w:rPr>
          <w:rFonts w:ascii="Times New Roman" w:hAnsi="Times New Roman" w:cs="Times New Roman"/>
          <w:szCs w:val="28"/>
        </w:rPr>
        <w:t>”</w:t>
      </w:r>
      <w:r>
        <w:rPr>
          <w:rStyle w:val="20"/>
          <w:rFonts w:ascii="Times New Roman" w:hAnsi="Times New Roman" w:cs="Times New Roman"/>
          <w:szCs w:val="28"/>
        </w:rPr>
        <w:footnoteReference w:id="1"/>
      </w:r>
      <w:r>
        <w:rPr>
          <w:rFonts w:ascii="Times New Roman" w:hAnsi="Times New Roman" w:cs="Times New Roman"/>
          <w:szCs w:val="28"/>
        </w:rPr>
        <w:t>。</w:t>
      </w:r>
    </w:p>
    <w:p>
      <w:pPr>
        <w:spacing w:line="360" w:lineRule="auto"/>
        <w:ind w:firstLine="560"/>
        <w:rPr>
          <w:rFonts w:hint="eastAsia" w:ascii="Times New Roman" w:hAnsi="Times New Roman" w:cs="Times New Roman"/>
        </w:rPr>
      </w:pPr>
      <w:r>
        <w:rPr>
          <w:rFonts w:hint="eastAsia" w:ascii="Times New Roman" w:hAnsi="Times New Roman" w:cs="Times New Roman"/>
        </w:rPr>
        <w:t>项目各部分权重和绩效分值如附表所示：</w:t>
      </w:r>
    </w:p>
    <w:p>
      <w:pPr>
        <w:spacing w:line="360" w:lineRule="auto"/>
        <w:ind w:firstLine="0" w:firstLineChars="0"/>
        <w:jc w:val="center"/>
        <w:rPr>
          <w:rFonts w:ascii="Times New Roman" w:hAnsi="Times New Roman" w:cs="Times New Roman"/>
          <w:b/>
          <w:bCs/>
          <w:szCs w:val="28"/>
        </w:rPr>
      </w:pPr>
      <w:r>
        <w:rPr>
          <w:rFonts w:ascii="Times New Roman" w:hAnsi="Times New Roman" w:cs="Times New Roman"/>
          <w:b/>
          <w:bCs/>
          <w:szCs w:val="28"/>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4.91</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98.2</w:t>
            </w:r>
            <w:r>
              <w:rPr>
                <w:rFonts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产出数量</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外墙粉刷面积</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食堂扩建面积</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竣工验收合格率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产出时效</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项目按期完成率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项目按计划完成率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外墙粉刷</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1"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食堂扩建</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ascii="Times New Roman" w:hAnsi="Times New Roman" w:cs="Times New Roman"/>
                <w:kern w:val="0"/>
                <w:sz w:val="24"/>
                <w:szCs w:val="24"/>
              </w:rPr>
              <w:t>4</w:t>
            </w:r>
            <w:r>
              <w:rPr>
                <w:rFonts w:hint="eastAsia" w:ascii="Times New Roman" w:hAnsi="Times New Roman" w:cs="Times New Roman"/>
                <w:kern w:val="0"/>
                <w:sz w:val="24"/>
                <w:szCs w:val="24"/>
                <w:lang w:val="en-US" w:eastAsia="zh-CN"/>
              </w:rPr>
              <w:t>.84</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96.8</w:t>
            </w:r>
            <w:r>
              <w:rPr>
                <w:rFonts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1"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效益</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社会效益指标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落实教育惠民政策率</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1"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项目受益人数</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8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可持续影响指标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改善办学条件</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20"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满意度指标完成情况分析</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学生满意率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9"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家长满意率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bookmarkStart w:id="27" w:name="_Toc100784598"/>
            <w:bookmarkStart w:id="28" w:name="_Toc67911610"/>
            <w:r>
              <w:rPr>
                <w:rFonts w:hint="eastAsia" w:ascii="Times New Roman" w:hAnsi="Times New Roman" w:cs="Times New Roman"/>
                <w:b/>
                <w:bCs/>
                <w:kern w:val="0"/>
                <w:sz w:val="24"/>
                <w:szCs w:val="24"/>
              </w:rPr>
              <w:t>合计</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ascii="Times New Roman" w:hAnsi="Times New Roman" w:cs="Times New Roman"/>
                <w:kern w:val="0"/>
                <w:sz w:val="24"/>
                <w:szCs w:val="24"/>
              </w:rPr>
              <w:t>99</w:t>
            </w:r>
            <w:r>
              <w:rPr>
                <w:rFonts w:hint="eastAsia" w:ascii="Times New Roman" w:hAnsi="Times New Roman" w:cs="Times New Roman"/>
                <w:kern w:val="0"/>
                <w:sz w:val="24"/>
                <w:szCs w:val="24"/>
                <w:lang w:val="en-US" w:eastAsia="zh-CN"/>
              </w:rPr>
              <w:t>.75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99</w:t>
            </w:r>
            <w:r>
              <w:rPr>
                <w:rFonts w:hint="eastAsia" w:ascii="Times New Roman" w:hAnsi="Times New Roman" w:cs="Times New Roman"/>
                <w:kern w:val="0"/>
                <w:sz w:val="24"/>
                <w:szCs w:val="24"/>
                <w:lang w:val="en-US" w:eastAsia="zh-CN"/>
              </w:rPr>
              <w:t>.75</w:t>
            </w:r>
            <w:r>
              <w:rPr>
                <w:rFonts w:ascii="Times New Roman" w:hAnsi="Times New Roman" w:cs="Times New Roman"/>
                <w:kern w:val="0"/>
                <w:sz w:val="24"/>
                <w:szCs w:val="24"/>
              </w:rPr>
              <w:t>%</w:t>
            </w:r>
          </w:p>
        </w:tc>
      </w:tr>
    </w:tbl>
    <w:p>
      <w:pPr>
        <w:pStyle w:val="2"/>
        <w:spacing w:before="0" w:after="0" w:line="360" w:lineRule="auto"/>
        <w:ind w:firstLine="643"/>
        <w:jc w:val="left"/>
        <w:rPr>
          <w:rFonts w:ascii="Times New Roman" w:hAnsi="Times New Roman" w:eastAsia="仿宋" w:cs="Times New Roman"/>
          <w:sz w:val="32"/>
          <w:szCs w:val="32"/>
          <w:lang w:bidi="en-US"/>
        </w:rPr>
      </w:pPr>
    </w:p>
    <w:p>
      <w:pPr>
        <w:pStyle w:val="2"/>
        <w:spacing w:before="0" w:after="0" w:line="360" w:lineRule="auto"/>
        <w:ind w:firstLine="0" w:firstLineChars="0"/>
        <w:jc w:val="left"/>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（二）主要绩效</w:t>
      </w:r>
      <w:bookmarkEnd w:id="27"/>
      <w:bookmarkEnd w:id="28"/>
    </w:p>
    <w:p>
      <w:pPr>
        <w:spacing w:line="360" w:lineRule="auto"/>
        <w:ind w:firstLine="548" w:firstLineChars="196"/>
        <w:rPr>
          <w:rFonts w:ascii="Times New Roman" w:hAnsi="Times New Roman" w:cs="Times New Roman"/>
          <w:bCs/>
          <w:szCs w:val="28"/>
          <w:highlight w:val="yellow"/>
        </w:rPr>
      </w:pPr>
      <w:r>
        <w:rPr>
          <w:rFonts w:ascii="Times New Roman" w:hAnsi="Times New Roman" w:cs="Times New Roman"/>
          <w:bCs/>
          <w:szCs w:val="28"/>
        </w:rPr>
        <w:t>该项目资金区财政及时拨付</w:t>
      </w:r>
      <w:r>
        <w:rPr>
          <w:rFonts w:hint="eastAsia" w:ascii="Times New Roman" w:hAnsi="Times New Roman" w:cs="Times New Roman"/>
        </w:rPr>
        <w:t>，单位在此次评价期间内，有序完成设定目标的工作任务，幼儿园外墙粉刷以及幼儿园食堂的扩建，建设面积约为2500平方米，有效落实教育惠民政策，提升幼儿园整体环境，持续改善幼儿园办学条件，合理分配经费开支，合理保证食堂管理规范化，合理建设良好校园环境，提高幼儿园办学质量。</w:t>
      </w: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29" w:name="_Toc100784599"/>
      <w:bookmarkStart w:id="30" w:name="_Toc67911611"/>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四、绩效评价指标分析</w:t>
      </w:r>
      <w:bookmarkEnd w:id="29"/>
      <w:bookmarkEnd w:id="30"/>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31" w:name="_Toc100784600"/>
      <w:bookmarkStart w:id="32" w:name="_Toc67911612"/>
      <w:r>
        <w:rPr>
          <w:rFonts w:ascii="Times New Roman" w:hAnsi="Times New Roman" w:eastAsia="仿宋" w:cs="Times New Roman"/>
          <w:sz w:val="32"/>
          <w:szCs w:val="32"/>
          <w:lang w:bidi="en-US"/>
        </w:rPr>
        <w:t>（一）项目决策情况</w:t>
      </w:r>
      <w:bookmarkEnd w:id="31"/>
      <w:bookmarkEnd w:id="32"/>
    </w:p>
    <w:p>
      <w:pPr>
        <w:spacing w:line="360" w:lineRule="auto"/>
        <w:ind w:firstLine="560"/>
        <w:rPr>
          <w:rFonts w:ascii="Times New Roman" w:hAnsi="Times New Roman" w:cs="Times New Roman"/>
          <w:szCs w:val="28"/>
        </w:rPr>
      </w:pPr>
      <w:r>
        <w:rPr>
          <w:rFonts w:ascii="Times New Roman" w:hAnsi="Times New Roman" w:cs="Times New Roman"/>
          <w:szCs w:val="28"/>
        </w:rPr>
        <w:t>项目决算指标由3个二级指标和6个三级指标构成，权重为20分，实际得分20分。</w:t>
      </w:r>
    </w:p>
    <w:p>
      <w:pPr>
        <w:pStyle w:val="2"/>
        <w:spacing w:before="0" w:after="0" w:line="360" w:lineRule="auto"/>
        <w:ind w:firstLine="643"/>
        <w:jc w:val="left"/>
        <w:rPr>
          <w:rFonts w:ascii="Times New Roman" w:hAnsi="Times New Roman" w:eastAsia="仿宋" w:cs="Times New Roman"/>
          <w:sz w:val="32"/>
          <w:szCs w:val="32"/>
          <w:lang w:bidi="en-US"/>
        </w:rPr>
      </w:pPr>
      <w:bookmarkStart w:id="33" w:name="_Toc100784601"/>
      <w:r>
        <w:rPr>
          <w:rFonts w:ascii="Times New Roman" w:hAnsi="Times New Roman" w:eastAsia="仿宋" w:cs="Times New Roman"/>
          <w:sz w:val="32"/>
          <w:szCs w:val="32"/>
          <w:lang w:bidi="en-US"/>
        </w:rPr>
        <w:t>1.项目立项</w:t>
      </w:r>
      <w:bookmarkEnd w:id="33"/>
    </w:p>
    <w:p>
      <w:pPr>
        <w:spacing w:line="360" w:lineRule="auto"/>
        <w:ind w:firstLine="562"/>
        <w:rPr>
          <w:rFonts w:ascii="Times New Roman" w:hAnsi="Times New Roman" w:cs="Times New Roman"/>
          <w:szCs w:val="28"/>
        </w:rPr>
      </w:pPr>
      <w:r>
        <w:rPr>
          <w:rFonts w:ascii="Times New Roman" w:hAnsi="Times New Roman" w:cs="Times New Roman"/>
          <w:b/>
          <w:bCs/>
          <w:szCs w:val="28"/>
        </w:rPr>
        <w:t>立项依据充分性：</w:t>
      </w:r>
      <w:r>
        <w:rPr>
          <w:rFonts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ascii="Times New Roman" w:hAnsi="Times New Roman" w:cs="Times New Roman"/>
          <w:szCs w:val="28"/>
        </w:rPr>
      </w:pPr>
      <w:r>
        <w:rPr>
          <w:rFonts w:ascii="Times New Roman" w:hAnsi="Times New Roman" w:cs="Times New Roman"/>
          <w:b/>
          <w:bCs/>
          <w:szCs w:val="28"/>
        </w:rPr>
        <w:t>立项程序规范性:</w:t>
      </w:r>
      <w:r>
        <w:rPr>
          <w:rFonts w:ascii="Times New Roman" w:hAnsi="Times New Roman" w:cs="Times New Roman"/>
        </w:rPr>
        <w:t xml:space="preserve"> </w:t>
      </w:r>
      <w:r>
        <w:rPr>
          <w:rFonts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综上，该指标满分8分，得分8分。</w:t>
      </w:r>
    </w:p>
    <w:p>
      <w:pPr>
        <w:pStyle w:val="2"/>
        <w:spacing w:before="0" w:after="0" w:line="360" w:lineRule="auto"/>
        <w:ind w:firstLine="643"/>
        <w:jc w:val="left"/>
        <w:rPr>
          <w:rFonts w:ascii="Times New Roman" w:hAnsi="Times New Roman" w:eastAsia="仿宋" w:cs="Times New Roman"/>
          <w:sz w:val="32"/>
          <w:szCs w:val="32"/>
          <w:lang w:bidi="en-US"/>
        </w:rPr>
      </w:pPr>
      <w:bookmarkStart w:id="34" w:name="_Toc100784602"/>
      <w:r>
        <w:rPr>
          <w:rFonts w:ascii="Times New Roman" w:hAnsi="Times New Roman" w:eastAsia="仿宋" w:cs="Times New Roman"/>
          <w:sz w:val="32"/>
          <w:szCs w:val="32"/>
          <w:lang w:bidi="en-US"/>
        </w:rPr>
        <w:t>2.绩效目标</w:t>
      </w:r>
      <w:bookmarkEnd w:id="34"/>
    </w:p>
    <w:p>
      <w:pPr>
        <w:spacing w:line="360" w:lineRule="auto"/>
        <w:ind w:firstLine="562"/>
        <w:rPr>
          <w:rFonts w:ascii="Times New Roman" w:hAnsi="Times New Roman" w:cs="Times New Roman"/>
          <w:szCs w:val="28"/>
        </w:rPr>
      </w:pPr>
      <w:r>
        <w:rPr>
          <w:rFonts w:ascii="Times New Roman" w:hAnsi="Times New Roman" w:cs="Times New Roman"/>
          <w:b/>
          <w:bCs/>
          <w:szCs w:val="28"/>
        </w:rPr>
        <w:t>绩效目标合理性：</w:t>
      </w:r>
      <w:r>
        <w:rPr>
          <w:rFonts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ascii="Times New Roman" w:hAnsi="Times New Roman" w:cs="Times New Roman"/>
          <w:kern w:val="0"/>
          <w:szCs w:val="28"/>
        </w:rPr>
      </w:pPr>
      <w:r>
        <w:rPr>
          <w:rFonts w:ascii="Times New Roman" w:hAnsi="Times New Roman" w:cs="Times New Roman"/>
          <w:b/>
          <w:kern w:val="0"/>
          <w:szCs w:val="28"/>
        </w:rPr>
        <w:t>绩效目标明确性：</w:t>
      </w:r>
      <w:r>
        <w:rPr>
          <w:rFonts w:ascii="Times New Roman" w:hAnsi="Times New Roman" w:cs="Times New Roman"/>
          <w:kern w:val="0"/>
          <w:szCs w:val="28"/>
        </w:rPr>
        <w:t xml:space="preserve"> </w:t>
      </w:r>
      <w:r>
        <w:rPr>
          <w:rFonts w:hint="eastAsia" w:ascii="Times New Roman" w:hAnsi="Times New Roman" w:cs="Times New Roman"/>
          <w:kern w:val="0"/>
          <w:szCs w:val="28"/>
        </w:rPr>
        <w:t>项目按期完成幼儿园外墙粉刷和食堂扩建，</w:t>
      </w:r>
      <w:r>
        <w:rPr>
          <w:rFonts w:hint="eastAsia" w:ascii="Times New Roman" w:hAnsi="Times New Roman" w:cs="Times New Roman"/>
        </w:rPr>
        <w:t>有效落实教育惠民政策，提升幼儿园整体环境，改善幼儿园办学条件</w:t>
      </w:r>
      <w:r>
        <w:rPr>
          <w:rFonts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综上，该指标满分6分，得分6分。</w:t>
      </w:r>
    </w:p>
    <w:p>
      <w:pPr>
        <w:pStyle w:val="2"/>
        <w:spacing w:before="0" w:after="0" w:line="360" w:lineRule="auto"/>
        <w:ind w:firstLine="643"/>
        <w:jc w:val="left"/>
        <w:rPr>
          <w:rFonts w:ascii="Times New Roman" w:hAnsi="Times New Roman" w:eastAsia="仿宋" w:cs="Times New Roman"/>
          <w:sz w:val="32"/>
          <w:szCs w:val="32"/>
          <w:lang w:bidi="en-US"/>
        </w:rPr>
      </w:pPr>
      <w:bookmarkStart w:id="35" w:name="_Toc100784603"/>
      <w:r>
        <w:rPr>
          <w:rFonts w:ascii="Times New Roman" w:hAnsi="Times New Roman" w:eastAsia="仿宋" w:cs="Times New Roman"/>
          <w:sz w:val="32"/>
          <w:szCs w:val="32"/>
          <w:lang w:bidi="en-US"/>
        </w:rPr>
        <w:t>3.资金投入</w:t>
      </w:r>
      <w:bookmarkEnd w:id="35"/>
    </w:p>
    <w:p>
      <w:pPr>
        <w:autoSpaceDE w:val="0"/>
        <w:spacing w:line="600" w:lineRule="exact"/>
        <w:ind w:firstLine="562"/>
        <w:rPr>
          <w:rFonts w:ascii="Times New Roman" w:hAnsi="Times New Roman" w:cs="Times New Roman"/>
          <w:kern w:val="0"/>
          <w:szCs w:val="28"/>
        </w:rPr>
      </w:pPr>
      <w:r>
        <w:rPr>
          <w:rFonts w:ascii="Times New Roman" w:hAnsi="Times New Roman" w:cs="Times New Roman"/>
          <w:b/>
          <w:kern w:val="0"/>
          <w:szCs w:val="28"/>
        </w:rPr>
        <w:t>预算编制科学性：</w:t>
      </w:r>
      <w:r>
        <w:rPr>
          <w:rFonts w:hint="eastAsia" w:ascii="Times New Roman" w:hAnsi="Times New Roman" w:cs="Times New Roman"/>
          <w:kern w:val="0"/>
          <w:szCs w:val="28"/>
        </w:rPr>
        <w:t>本项目外墙粉刷面积2000平方米，项目预算资金控制在24.89万元以内；食堂扩建面积500平方米，项目预算资金控制在34.11万元以内，保障了幼儿园143名幼儿基本的食堂环境和校园环境</w:t>
      </w:r>
      <w:r>
        <w:rPr>
          <w:rFonts w:ascii="Times New Roman" w:hAnsi="Times New Roman" w:cs="Times New Roman"/>
          <w:kern w:val="0"/>
          <w:szCs w:val="28"/>
        </w:rPr>
        <w:t xml:space="preserve">。故预算编制科学性指标得分3分。 </w:t>
      </w:r>
    </w:p>
    <w:p>
      <w:pPr>
        <w:spacing w:line="360" w:lineRule="auto"/>
        <w:ind w:firstLine="562"/>
        <w:rPr>
          <w:rFonts w:hint="eastAsia" w:ascii="Times New Roman" w:hAnsi="Times New Roman" w:cs="Times New Roman"/>
          <w:kern w:val="0"/>
          <w:szCs w:val="28"/>
        </w:rPr>
      </w:pPr>
      <w:r>
        <w:rPr>
          <w:rFonts w:ascii="Times New Roman" w:hAnsi="Times New Roman" w:cs="Times New Roman"/>
          <w:b/>
          <w:bCs/>
        </w:rPr>
        <w:t>资金分配合理性</w:t>
      </w:r>
      <w:r>
        <w:rPr>
          <w:rFonts w:ascii="Times New Roman" w:hAnsi="Times New Roman" w:cs="Times New Roman"/>
        </w:rPr>
        <w:t>：</w:t>
      </w:r>
      <w:r>
        <w:rPr>
          <w:rFonts w:hint="eastAsia" w:ascii="Times New Roman" w:hAnsi="Times New Roman" w:cs="Times New Roman"/>
          <w:kern w:val="0"/>
          <w:szCs w:val="28"/>
        </w:rPr>
        <w:t>根据《乌财科教【2021】102号关于提前下达2022年新疆西藏等地区教育特殊补助资金园舍维修资金》（乌财科教【2021】102号）文件精神，本项目属于公共财政支持范围，符合中央、地方事权支出责任划分原则，资金分配具有合理性。故资金分配合理性指标得分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综上，该指标满分6分，得分6分。</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36" w:name="_Toc100784604"/>
      <w:bookmarkStart w:id="37" w:name="_Toc67911613"/>
      <w:r>
        <w:rPr>
          <w:rFonts w:ascii="Times New Roman" w:hAnsi="Times New Roman" w:eastAsia="仿宋" w:cs="Times New Roman"/>
          <w:sz w:val="32"/>
          <w:szCs w:val="32"/>
          <w:lang w:bidi="en-US"/>
        </w:rPr>
        <w:t>（二）项目过程情况</w:t>
      </w:r>
      <w:bookmarkEnd w:id="36"/>
      <w:bookmarkEnd w:id="37"/>
    </w:p>
    <w:p>
      <w:pPr>
        <w:spacing w:line="360" w:lineRule="auto"/>
        <w:ind w:firstLine="560"/>
        <w:rPr>
          <w:rFonts w:ascii="Times New Roman" w:hAnsi="Times New Roman" w:cs="Times New Roman"/>
          <w:szCs w:val="28"/>
        </w:rPr>
      </w:pPr>
      <w:r>
        <w:rPr>
          <w:rFonts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19.91</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8" w:name="_Toc100784605"/>
      <w:r>
        <w:rPr>
          <w:rFonts w:ascii="Times New Roman" w:hAnsi="Times New Roman" w:eastAsia="仿宋" w:cs="Times New Roman"/>
          <w:sz w:val="32"/>
          <w:szCs w:val="32"/>
          <w:lang w:bidi="en-US"/>
        </w:rPr>
        <w:t>1.资金管理</w:t>
      </w:r>
      <w:bookmarkEnd w:id="38"/>
    </w:p>
    <w:p>
      <w:pPr>
        <w:spacing w:line="360" w:lineRule="auto"/>
        <w:ind w:firstLine="562"/>
        <w:rPr>
          <w:rFonts w:hint="eastAsia" w:ascii="Times New Roman" w:hAnsi="Times New Roman" w:cs="Times New Roman"/>
          <w:kern w:val="0"/>
          <w:szCs w:val="28"/>
        </w:rPr>
      </w:pPr>
      <w:r>
        <w:rPr>
          <w:rFonts w:ascii="Times New Roman" w:hAnsi="Times New Roman" w:cs="Times New Roman"/>
          <w:b/>
          <w:bCs/>
          <w:szCs w:val="28"/>
        </w:rPr>
        <w:t>资金到位率：</w:t>
      </w:r>
      <w:r>
        <w:rPr>
          <w:rFonts w:ascii="Times New Roman" w:hAnsi="Times New Roman" w:cs="Times New Roman"/>
        </w:rPr>
        <w:t xml:space="preserve"> </w:t>
      </w:r>
      <w:r>
        <w:rPr>
          <w:rFonts w:hint="eastAsia" w:ascii="Times New Roman" w:hAnsi="Times New Roman" w:cs="Times New Roman"/>
          <w:kern w:val="0"/>
          <w:szCs w:val="28"/>
        </w:rPr>
        <w:t>本项目资金59万元由财政拨付，在2022年12月1日到位，资金直接支付到施工方，资金到位率100%。故资金到位率指标得分5分。</w:t>
      </w:r>
    </w:p>
    <w:p>
      <w:pPr>
        <w:spacing w:line="360" w:lineRule="auto"/>
        <w:ind w:firstLine="562"/>
        <w:rPr>
          <w:rFonts w:hint="eastAsia" w:ascii="Times New Roman" w:hAnsi="Times New Roman" w:cs="Times New Roman"/>
          <w:kern w:val="0"/>
          <w:szCs w:val="28"/>
        </w:rPr>
      </w:pPr>
      <w:r>
        <w:rPr>
          <w:rFonts w:ascii="Times New Roman" w:hAnsi="Times New Roman" w:cs="Times New Roman"/>
          <w:b/>
          <w:bCs/>
          <w:szCs w:val="28"/>
        </w:rPr>
        <w:t>预算执行率：</w:t>
      </w:r>
      <w:r>
        <w:rPr>
          <w:rFonts w:hint="eastAsia" w:ascii="Times New Roman" w:hAnsi="Times New Roman" w:cs="Times New Roman"/>
          <w:kern w:val="0"/>
          <w:szCs w:val="28"/>
        </w:rPr>
        <w:t>本项目资金59万元，实际使用57.83万元，预算执行率98.02%，资金在2022年12月一次性支付给施工方。故预算执行率得分为</w:t>
      </w:r>
      <w:r>
        <w:rPr>
          <w:rFonts w:hint="eastAsia" w:ascii="Times New Roman" w:hAnsi="Times New Roman" w:cs="Times New Roman"/>
          <w:kern w:val="0"/>
          <w:szCs w:val="28"/>
          <w:lang w:val="en-US" w:eastAsia="zh-CN"/>
        </w:rPr>
        <w:t>4.91</w:t>
      </w:r>
      <w:r>
        <w:rPr>
          <w:rFonts w:hint="eastAsia" w:ascii="Times New Roman" w:hAnsi="Times New Roman" w:cs="Times New Roman"/>
          <w:kern w:val="0"/>
          <w:szCs w:val="28"/>
        </w:rPr>
        <w:t>分。</w:t>
      </w:r>
    </w:p>
    <w:p>
      <w:pPr>
        <w:spacing w:line="360" w:lineRule="auto"/>
        <w:ind w:firstLine="562"/>
        <w:rPr>
          <w:rFonts w:ascii="Times New Roman" w:hAnsi="Times New Roman" w:cs="Times New Roman"/>
          <w:szCs w:val="28"/>
        </w:rPr>
      </w:pPr>
      <w:r>
        <w:rPr>
          <w:rFonts w:ascii="Times New Roman" w:hAnsi="Times New Roman" w:cs="Times New Roman"/>
          <w:b/>
          <w:bCs/>
          <w:szCs w:val="28"/>
        </w:rPr>
        <w:t>资金使用合规性：</w:t>
      </w:r>
      <w:r>
        <w:rPr>
          <w:rFonts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12.91</w:t>
      </w:r>
      <w:r>
        <w:rPr>
          <w:rFonts w:ascii="Times New Roman" w:hAnsi="Times New Roman" w:cs="Times New Roman"/>
          <w:b/>
          <w:kern w:val="0"/>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9" w:name="_Toc100784606"/>
      <w:r>
        <w:rPr>
          <w:rFonts w:ascii="Times New Roman" w:hAnsi="Times New Roman" w:eastAsia="仿宋" w:cs="Times New Roman"/>
          <w:sz w:val="32"/>
          <w:szCs w:val="32"/>
          <w:lang w:bidi="en-US"/>
        </w:rPr>
        <w:t>2.组织实施</w:t>
      </w:r>
      <w:bookmarkEnd w:id="39"/>
    </w:p>
    <w:p>
      <w:pPr>
        <w:spacing w:line="360" w:lineRule="auto"/>
        <w:ind w:firstLine="562"/>
        <w:rPr>
          <w:rFonts w:ascii="Times New Roman" w:hAnsi="Times New Roman" w:cs="Times New Roman"/>
          <w:szCs w:val="28"/>
        </w:rPr>
      </w:pPr>
      <w:r>
        <w:rPr>
          <w:rFonts w:ascii="Times New Roman" w:hAnsi="Times New Roman" w:cs="Times New Roman"/>
          <w:b/>
          <w:bCs/>
          <w:szCs w:val="28"/>
        </w:rPr>
        <w:t>管理制度健全性</w:t>
      </w:r>
      <w:r>
        <w:rPr>
          <w:rFonts w:ascii="Times New Roman" w:hAnsi="Times New Roman" w:cs="Times New Roman"/>
          <w:szCs w:val="28"/>
        </w:rPr>
        <w:t>：</w:t>
      </w:r>
      <w:r>
        <w:rPr>
          <w:rFonts w:hint="eastAsia" w:ascii="Times New Roman" w:hAnsi="Times New Roman" w:cs="Times New Roman"/>
          <w:szCs w:val="28"/>
        </w:rPr>
        <w:t>乌鲁木齐县永丰镇中心幼儿园</w:t>
      </w:r>
      <w:r>
        <w:rPr>
          <w:rFonts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ascii="Times New Roman" w:hAnsi="Times New Roman" w:cs="Times New Roman"/>
          <w:szCs w:val="28"/>
        </w:rPr>
      </w:pPr>
      <w:r>
        <w:rPr>
          <w:rFonts w:ascii="Times New Roman" w:hAnsi="Times New Roman" w:cs="Times New Roman"/>
          <w:b/>
          <w:bCs/>
          <w:szCs w:val="28"/>
        </w:rPr>
        <w:t>制度执行有效性：</w:t>
      </w:r>
      <w:r>
        <w:rPr>
          <w:rFonts w:ascii="Times New Roman" w:hAnsi="Times New Roman" w:cs="Times New Roman"/>
          <w:szCs w:val="28"/>
        </w:rPr>
        <w:t>根据现场调研和资料抽查情况，</w:t>
      </w:r>
      <w:r>
        <w:rPr>
          <w:rFonts w:hint="eastAsia" w:ascii="Times New Roman" w:hAnsi="Times New Roman" w:cs="Times New Roman"/>
          <w:szCs w:val="28"/>
        </w:rPr>
        <w:t>乌鲁木齐县永丰镇中心幼儿园</w:t>
      </w:r>
      <w:r>
        <w:rPr>
          <w:rFonts w:ascii="Times New Roman" w:hAnsi="Times New Roman" w:cs="Times New Roman"/>
          <w:szCs w:val="28"/>
        </w:rPr>
        <w:t>严格遵守相关法律法规和相关管理规定，项目调整及支出调整手续完备，整体管理合理有序，项目完成后，及时将会计凭证、</w:t>
      </w:r>
      <w:r>
        <w:rPr>
          <w:rFonts w:hint="eastAsia" w:ascii="Times New Roman" w:hAnsi="Times New Roman" w:cs="Times New Roman"/>
          <w:szCs w:val="28"/>
        </w:rPr>
        <w:t>施工合同</w:t>
      </w:r>
      <w:r>
        <w:rPr>
          <w:rFonts w:ascii="Times New Roman" w:hAnsi="Times New Roman" w:cs="Times New Roman"/>
          <w:szCs w:val="28"/>
        </w:rPr>
        <w:t>等相关资料分类归档，制度执行有效。故制度执行有效性指标得分4分。</w:t>
      </w:r>
    </w:p>
    <w:p>
      <w:pPr>
        <w:autoSpaceDE w:val="0"/>
        <w:spacing w:line="600" w:lineRule="exact"/>
        <w:ind w:firstLine="562"/>
        <w:rPr>
          <w:rFonts w:ascii="Times New Roman" w:hAnsi="Times New Roman" w:cs="Times New Roman"/>
          <w:b/>
          <w:kern w:val="0"/>
          <w:szCs w:val="28"/>
        </w:rPr>
      </w:pPr>
      <w:bookmarkStart w:id="40" w:name="_Hlk67670213"/>
      <w:r>
        <w:rPr>
          <w:rFonts w:ascii="Times New Roman" w:hAnsi="Times New Roman" w:cs="Times New Roman"/>
          <w:b/>
          <w:kern w:val="0"/>
          <w:szCs w:val="28"/>
        </w:rPr>
        <w:t>综上，该指标满分7分，得分7分。</w:t>
      </w:r>
    </w:p>
    <w:bookmarkEnd w:id="40"/>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1" w:name="_Toc67911614"/>
      <w:bookmarkStart w:id="42" w:name="_Toc100784607"/>
      <w:r>
        <w:rPr>
          <w:rFonts w:ascii="Times New Roman" w:hAnsi="Times New Roman" w:eastAsia="仿宋" w:cs="Times New Roman"/>
          <w:sz w:val="32"/>
          <w:szCs w:val="32"/>
          <w:lang w:bidi="en-US"/>
        </w:rPr>
        <w:t>（三）项目产出情况</w:t>
      </w:r>
      <w:bookmarkEnd w:id="41"/>
      <w:bookmarkEnd w:id="42"/>
    </w:p>
    <w:p>
      <w:pPr>
        <w:spacing w:line="360" w:lineRule="auto"/>
        <w:ind w:firstLine="560"/>
        <w:rPr>
          <w:rFonts w:ascii="Times New Roman" w:hAnsi="Times New Roman" w:cs="Times New Roman"/>
          <w:szCs w:val="28"/>
        </w:rPr>
      </w:pPr>
      <w:r>
        <w:rPr>
          <w:rFonts w:ascii="Times New Roman" w:hAnsi="Times New Roman" w:cs="Times New Roman"/>
          <w:szCs w:val="28"/>
        </w:rPr>
        <w:t>项目产出指标由4个二级指标和</w:t>
      </w:r>
      <w:r>
        <w:rPr>
          <w:rFonts w:hint="eastAsia" w:ascii="Times New Roman" w:hAnsi="Times New Roman" w:cs="Times New Roman"/>
          <w:szCs w:val="28"/>
          <w:lang w:val="en-US" w:eastAsia="zh-CN"/>
        </w:rPr>
        <w:t>7</w:t>
      </w:r>
      <w:r>
        <w:rPr>
          <w:rFonts w:ascii="Times New Roman" w:hAnsi="Times New Roman" w:cs="Times New Roman"/>
          <w:szCs w:val="28"/>
        </w:rPr>
        <w:t>个三级指标构成，权重为40分，实际得分39</w:t>
      </w:r>
      <w:r>
        <w:rPr>
          <w:rFonts w:hint="eastAsia" w:ascii="Times New Roman" w:hAnsi="Times New Roman" w:cs="Times New Roman"/>
          <w:szCs w:val="28"/>
          <w:lang w:val="en-US" w:eastAsia="zh-CN"/>
        </w:rPr>
        <w:t>.84</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3" w:name="_Toc100784608"/>
      <w:r>
        <w:rPr>
          <w:rFonts w:ascii="Times New Roman" w:hAnsi="Times New Roman" w:eastAsia="仿宋" w:cs="Times New Roman"/>
          <w:sz w:val="32"/>
          <w:szCs w:val="32"/>
          <w:lang w:bidi="en-US"/>
        </w:rPr>
        <w:t>1.产出数量</w:t>
      </w:r>
      <w:bookmarkEnd w:id="43"/>
    </w:p>
    <w:p>
      <w:pPr>
        <w:spacing w:line="360" w:lineRule="auto"/>
        <w:ind w:firstLine="560"/>
        <w:rPr>
          <w:rFonts w:hint="eastAsia"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lang w:eastAsia="zh-CN"/>
        </w:rPr>
        <w:t>“</w:t>
      </w:r>
      <w:r>
        <w:rPr>
          <w:rFonts w:hint="eastAsia" w:ascii="Times New Roman" w:hAnsi="Times New Roman" w:cs="Times New Roman"/>
          <w:bCs/>
          <w:szCs w:val="28"/>
        </w:rPr>
        <w:t>外墙粉刷面积</w:t>
      </w:r>
      <w:r>
        <w:rPr>
          <w:rFonts w:hint="eastAsia" w:ascii="Times New Roman" w:hAnsi="Times New Roman" w:cs="Times New Roman"/>
          <w:bCs/>
          <w:szCs w:val="28"/>
          <w:lang w:eastAsia="zh-CN"/>
        </w:rPr>
        <w:t>”</w:t>
      </w:r>
      <w:r>
        <w:rPr>
          <w:rFonts w:ascii="Times New Roman" w:hAnsi="Times New Roman" w:cs="Times New Roman"/>
          <w:bCs/>
          <w:szCs w:val="28"/>
        </w:rPr>
        <w:t>的目标值是2000</w:t>
      </w:r>
      <w:r>
        <w:rPr>
          <w:rFonts w:hint="eastAsia" w:ascii="Times New Roman" w:hAnsi="Times New Roman" w:cs="Times New Roman"/>
          <w:bCs/>
          <w:szCs w:val="28"/>
        </w:rPr>
        <w:t>平方米</w:t>
      </w:r>
      <w:r>
        <w:rPr>
          <w:rFonts w:ascii="Times New Roman" w:hAnsi="Times New Roman" w:cs="Times New Roman"/>
          <w:bCs/>
          <w:szCs w:val="28"/>
        </w:rPr>
        <w:t>，2022年度我单位实际完成2000</w:t>
      </w:r>
      <w:r>
        <w:rPr>
          <w:rFonts w:hint="eastAsia" w:ascii="Times New Roman" w:hAnsi="Times New Roman" w:cs="Times New Roman"/>
          <w:bCs/>
          <w:szCs w:val="28"/>
        </w:rPr>
        <w:t>平方米</w:t>
      </w:r>
      <w:r>
        <w:rPr>
          <w:rFonts w:ascii="Times New Roman" w:hAnsi="Times New Roman" w:cs="Times New Roman"/>
          <w:bCs/>
          <w:szCs w:val="28"/>
        </w:rPr>
        <w:t>。</w:t>
      </w:r>
    </w:p>
    <w:p>
      <w:pPr>
        <w:spacing w:line="360" w:lineRule="auto"/>
        <w:ind w:firstLine="560"/>
        <w:rPr>
          <w:rFonts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lang w:eastAsia="zh-CN"/>
        </w:rPr>
        <w:t>“</w:t>
      </w:r>
      <w:r>
        <w:rPr>
          <w:rFonts w:hint="eastAsia" w:ascii="Times New Roman" w:hAnsi="Times New Roman" w:cs="Times New Roman"/>
          <w:bCs/>
          <w:szCs w:val="28"/>
        </w:rPr>
        <w:t>食堂扩建面积</w:t>
      </w:r>
      <w:r>
        <w:rPr>
          <w:rFonts w:hint="eastAsia" w:ascii="Times New Roman" w:hAnsi="Times New Roman" w:cs="Times New Roman"/>
          <w:bCs/>
          <w:szCs w:val="28"/>
          <w:lang w:eastAsia="zh-CN"/>
        </w:rPr>
        <w:t>”</w:t>
      </w:r>
      <w:r>
        <w:rPr>
          <w:rFonts w:ascii="Times New Roman" w:hAnsi="Times New Roman" w:cs="Times New Roman"/>
          <w:bCs/>
          <w:szCs w:val="28"/>
        </w:rPr>
        <w:t>的目标值是500</w:t>
      </w:r>
      <w:r>
        <w:rPr>
          <w:rFonts w:hint="eastAsia" w:ascii="Times New Roman" w:hAnsi="Times New Roman" w:cs="Times New Roman"/>
          <w:bCs/>
          <w:szCs w:val="28"/>
        </w:rPr>
        <w:t>平方米</w:t>
      </w:r>
      <w:r>
        <w:rPr>
          <w:rFonts w:ascii="Times New Roman" w:hAnsi="Times New Roman" w:cs="Times New Roman"/>
          <w:bCs/>
          <w:szCs w:val="28"/>
        </w:rPr>
        <w:t>，2022年度我单位</w:t>
      </w:r>
      <w:r>
        <w:rPr>
          <w:rFonts w:hint="eastAsia" w:ascii="Times New Roman" w:hAnsi="Times New Roman" w:cs="Times New Roman"/>
          <w:bCs/>
          <w:szCs w:val="28"/>
        </w:rPr>
        <w:t>实际完成500平方米。</w:t>
      </w:r>
    </w:p>
    <w:p>
      <w:pPr>
        <w:spacing w:line="360" w:lineRule="auto"/>
        <w:ind w:firstLine="562"/>
        <w:rPr>
          <w:rFonts w:ascii="Times New Roman" w:hAnsi="Times New Roman" w:cs="Times New Roman"/>
          <w:szCs w:val="28"/>
        </w:rPr>
      </w:pPr>
      <w:r>
        <w:rPr>
          <w:rFonts w:ascii="Times New Roman" w:hAnsi="Times New Roman" w:cs="Times New Roman"/>
          <w:b/>
          <w:bCs/>
          <w:szCs w:val="28"/>
        </w:rPr>
        <w:t>实际完成率：</w:t>
      </w:r>
      <w:r>
        <w:rPr>
          <w:rFonts w:hint="eastAsia" w:ascii="Times New Roman" w:hAnsi="Times New Roman" w:cs="Times New Roman"/>
          <w:szCs w:val="28"/>
        </w:rPr>
        <w:t>本项目实际完成面积2500平方米，实际完成率100%</w:t>
      </w:r>
      <w:r>
        <w:rPr>
          <w:rFonts w:ascii="Times New Roman" w:hAnsi="Times New Roman" w:cs="Times New Roman"/>
          <w:szCs w:val="28"/>
        </w:rPr>
        <w:t>，故实际完成率得分为10分。</w:t>
      </w:r>
    </w:p>
    <w:p>
      <w:pPr>
        <w:pStyle w:val="2"/>
        <w:spacing w:before="0" w:after="0" w:line="360" w:lineRule="auto"/>
        <w:ind w:firstLine="643"/>
        <w:jc w:val="left"/>
        <w:rPr>
          <w:rFonts w:ascii="Times New Roman" w:hAnsi="Times New Roman" w:eastAsia="仿宋" w:cs="Times New Roman"/>
          <w:sz w:val="32"/>
          <w:szCs w:val="32"/>
          <w:lang w:bidi="en-US"/>
        </w:rPr>
      </w:pPr>
      <w:bookmarkStart w:id="44" w:name="_Toc100784609"/>
      <w:r>
        <w:rPr>
          <w:rFonts w:ascii="Times New Roman" w:hAnsi="Times New Roman" w:eastAsia="仿宋" w:cs="Times New Roman"/>
          <w:sz w:val="32"/>
          <w:szCs w:val="32"/>
          <w:lang w:bidi="en-US"/>
        </w:rPr>
        <w:t>2.产出质量</w:t>
      </w:r>
      <w:bookmarkEnd w:id="44"/>
    </w:p>
    <w:p>
      <w:pPr>
        <w:spacing w:line="360" w:lineRule="auto"/>
        <w:ind w:firstLine="562"/>
        <w:rPr>
          <w:rFonts w:hint="eastAsia" w:ascii="Times New Roman" w:hAnsi="Times New Roman" w:cs="Times New Roman"/>
          <w:szCs w:val="28"/>
        </w:rPr>
      </w:pPr>
      <w:r>
        <w:rPr>
          <w:rFonts w:hint="eastAsia" w:ascii="Times New Roman" w:hAnsi="Times New Roman" w:cs="Times New Roman"/>
          <w:b/>
          <w:bCs/>
          <w:szCs w:val="28"/>
        </w:rPr>
        <w:t>竣工</w:t>
      </w:r>
      <w:r>
        <w:rPr>
          <w:rFonts w:ascii="Times New Roman" w:hAnsi="Times New Roman" w:cs="Times New Roman"/>
          <w:b/>
          <w:bCs/>
          <w:szCs w:val="28"/>
        </w:rPr>
        <w:t>验收</w:t>
      </w:r>
      <w:r>
        <w:rPr>
          <w:rFonts w:hint="eastAsia" w:ascii="Times New Roman" w:hAnsi="Times New Roman" w:cs="Times New Roman"/>
          <w:b/>
          <w:bCs/>
          <w:szCs w:val="28"/>
        </w:rPr>
        <w:t>合格</w:t>
      </w:r>
      <w:r>
        <w:rPr>
          <w:rFonts w:ascii="Times New Roman" w:hAnsi="Times New Roman" w:cs="Times New Roman"/>
          <w:b/>
          <w:bCs/>
          <w:szCs w:val="28"/>
        </w:rPr>
        <w:t>率：</w:t>
      </w:r>
      <w:r>
        <w:rPr>
          <w:rFonts w:hint="eastAsia" w:ascii="Times New Roman" w:hAnsi="Times New Roman" w:cs="Times New Roman"/>
          <w:szCs w:val="28"/>
        </w:rPr>
        <w:t>竣工验收合格率为98%，我单位在项目完工后，及时进行竣工验收测评，验收合格率达到98%，质量达标率得分为10分。</w:t>
      </w:r>
    </w:p>
    <w:p>
      <w:pPr>
        <w:pStyle w:val="2"/>
        <w:spacing w:before="0" w:after="0" w:line="360" w:lineRule="auto"/>
        <w:ind w:firstLine="643"/>
        <w:jc w:val="left"/>
        <w:rPr>
          <w:rFonts w:ascii="Times New Roman" w:hAnsi="Times New Roman" w:eastAsia="仿宋" w:cs="Times New Roman"/>
          <w:sz w:val="32"/>
          <w:szCs w:val="32"/>
          <w:lang w:bidi="en-US"/>
        </w:rPr>
      </w:pPr>
      <w:bookmarkStart w:id="45" w:name="_Toc100784610"/>
      <w:r>
        <w:rPr>
          <w:rFonts w:ascii="Times New Roman" w:hAnsi="Times New Roman" w:eastAsia="仿宋" w:cs="Times New Roman"/>
          <w:sz w:val="32"/>
          <w:szCs w:val="32"/>
          <w:lang w:bidi="en-US"/>
        </w:rPr>
        <w:t>3.产出时效</w:t>
      </w:r>
      <w:bookmarkEnd w:id="45"/>
    </w:p>
    <w:p>
      <w:pPr>
        <w:spacing w:line="360" w:lineRule="auto"/>
        <w:ind w:firstLine="562"/>
        <w:rPr>
          <w:rFonts w:ascii="Times New Roman" w:hAnsi="Times New Roman" w:cs="Times New Roman"/>
          <w:b/>
          <w:bCs/>
          <w:szCs w:val="28"/>
        </w:rPr>
      </w:pPr>
      <w:r>
        <w:rPr>
          <w:rFonts w:ascii="Times New Roman" w:hAnsi="Times New Roman" w:cs="Times New Roman"/>
          <w:b/>
          <w:bCs/>
          <w:szCs w:val="28"/>
        </w:rPr>
        <w:t>完成及时性：</w:t>
      </w:r>
    </w:p>
    <w:p>
      <w:pPr>
        <w:spacing w:line="360" w:lineRule="auto"/>
        <w:ind w:firstLine="562"/>
        <w:rPr>
          <w:rFonts w:ascii="Times New Roman" w:hAnsi="Times New Roman" w:cs="Times New Roman"/>
          <w:szCs w:val="28"/>
        </w:rPr>
      </w:pPr>
      <w:r>
        <w:rPr>
          <w:rFonts w:hint="eastAsia" w:ascii="Times New Roman" w:hAnsi="Times New Roman" w:cs="Times New Roman"/>
          <w:szCs w:val="28"/>
          <w:lang w:val="en-US" w:eastAsia="zh-CN"/>
        </w:rPr>
        <w:t>我单位“项目按期完成率”目标值为98%，实际完成值为98%；“项目按计划完成率”目标值为98%，实际完成值为98%，</w:t>
      </w:r>
      <w:r>
        <w:rPr>
          <w:rFonts w:ascii="Times New Roman" w:hAnsi="Times New Roman" w:cs="Times New Roman"/>
          <w:szCs w:val="28"/>
        </w:rPr>
        <w:t>故完成及时性得分为10分。</w:t>
      </w:r>
    </w:p>
    <w:p>
      <w:pPr>
        <w:pStyle w:val="2"/>
        <w:spacing w:before="0" w:after="0" w:line="360" w:lineRule="auto"/>
        <w:ind w:firstLine="643"/>
        <w:jc w:val="left"/>
        <w:rPr>
          <w:rFonts w:ascii="Times New Roman" w:hAnsi="Times New Roman" w:eastAsia="仿宋" w:cs="Times New Roman"/>
          <w:sz w:val="32"/>
          <w:szCs w:val="32"/>
          <w:lang w:bidi="en-US"/>
        </w:rPr>
      </w:pPr>
      <w:bookmarkStart w:id="46" w:name="_Toc100784611"/>
      <w:r>
        <w:rPr>
          <w:rFonts w:ascii="Times New Roman" w:hAnsi="Times New Roman" w:eastAsia="仿宋" w:cs="Times New Roman"/>
          <w:sz w:val="32"/>
          <w:szCs w:val="32"/>
          <w:lang w:bidi="en-US"/>
        </w:rPr>
        <w:t>4.产出成本</w:t>
      </w:r>
      <w:bookmarkEnd w:id="46"/>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本项目外墙粉刷成本24.89万元，食堂扩建成本32.94万元，项目实际支出57.83万元，</w:t>
      </w:r>
      <w:r>
        <w:rPr>
          <w:rFonts w:hint="eastAsia" w:ascii="Times New Roman" w:hAnsi="Times New Roman" w:eastAsia="仿宋_GB2312" w:cs="Times New Roman"/>
          <w:kern w:val="2"/>
          <w:sz w:val="28"/>
          <w:szCs w:val="28"/>
          <w:lang w:val="en-US" w:eastAsia="zh-CN" w:bidi="ar-SA"/>
        </w:rPr>
        <w:t>本项目无超支情况</w:t>
      </w:r>
      <w:r>
        <w:rPr>
          <w:rFonts w:hint="eastAsia" w:ascii="Times New Roman" w:hAnsi="Times New Roman" w:cs="Times New Roman"/>
          <w:kern w:val="2"/>
          <w:sz w:val="28"/>
          <w:szCs w:val="28"/>
          <w:lang w:val="en-US" w:eastAsia="zh-CN" w:bidi="ar-SA"/>
        </w:rPr>
        <w:t>，</w:t>
      </w:r>
      <w:r>
        <w:rPr>
          <w:rFonts w:hint="eastAsia" w:ascii="Times New Roman" w:hAnsi="Times New Roman" w:cs="Times New Roman"/>
          <w:szCs w:val="28"/>
          <w:lang w:val="en-US" w:eastAsia="zh-CN"/>
        </w:rPr>
        <w:t>资金未支付完毕，与预算存在1.17万元差额。故得分为9.84分。</w:t>
      </w:r>
    </w:p>
    <w:p>
      <w:pPr>
        <w:autoSpaceDE w:val="0"/>
        <w:spacing w:line="600" w:lineRule="exact"/>
        <w:ind w:firstLine="562"/>
        <w:rPr>
          <w:rFonts w:hint="eastAsia" w:ascii="Times New Roman" w:hAnsi="Times New Roman" w:cs="Times New Roman"/>
          <w:b/>
          <w:kern w:val="0"/>
          <w:szCs w:val="28"/>
          <w:lang w:val="en-US" w:eastAsia="zh-CN"/>
        </w:rPr>
      </w:pPr>
      <w:r>
        <w:rPr>
          <w:rFonts w:hint="eastAsia" w:ascii="Times New Roman" w:hAnsi="Times New Roman" w:cs="Times New Roman"/>
          <w:b/>
          <w:kern w:val="0"/>
          <w:szCs w:val="28"/>
          <w:lang w:val="en-US" w:eastAsia="zh-CN"/>
        </w:rPr>
        <w:t>综上，该指标满分40分，得分39.84分。</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7" w:name="_Toc67911615"/>
      <w:bookmarkStart w:id="48" w:name="_Toc100784612"/>
      <w:r>
        <w:rPr>
          <w:rFonts w:ascii="Times New Roman" w:hAnsi="Times New Roman" w:eastAsia="仿宋" w:cs="Times New Roman"/>
          <w:sz w:val="32"/>
          <w:szCs w:val="32"/>
          <w:lang w:bidi="en-US"/>
        </w:rPr>
        <w:t>（四）项目效益情况</w:t>
      </w:r>
      <w:bookmarkEnd w:id="47"/>
      <w:bookmarkEnd w:id="48"/>
    </w:p>
    <w:p>
      <w:pPr>
        <w:spacing w:line="360" w:lineRule="auto"/>
        <w:ind w:firstLine="560"/>
        <w:rPr>
          <w:rFonts w:ascii="Times New Roman" w:hAnsi="Times New Roman" w:cs="Times New Roman"/>
          <w:szCs w:val="28"/>
        </w:rPr>
      </w:pPr>
      <w:r>
        <w:rPr>
          <w:rFonts w:ascii="Times New Roman" w:hAnsi="Times New Roman" w:cs="Times New Roman"/>
          <w:szCs w:val="28"/>
        </w:rPr>
        <w:t>项目效益指标由</w:t>
      </w:r>
      <w:r>
        <w:rPr>
          <w:rFonts w:hint="eastAsia" w:ascii="Times New Roman" w:hAnsi="Times New Roman" w:cs="Times New Roman"/>
          <w:szCs w:val="28"/>
        </w:rPr>
        <w:t>2</w:t>
      </w:r>
      <w:r>
        <w:rPr>
          <w:rFonts w:ascii="Times New Roman" w:hAnsi="Times New Roman" w:cs="Times New Roman"/>
          <w:szCs w:val="28"/>
        </w:rPr>
        <w:t>个二级指标和</w:t>
      </w:r>
      <w:r>
        <w:rPr>
          <w:rFonts w:hint="eastAsia" w:ascii="Times New Roman" w:hAnsi="Times New Roman" w:cs="Times New Roman"/>
          <w:szCs w:val="28"/>
        </w:rPr>
        <w:t>3</w:t>
      </w:r>
      <w:r>
        <w:rPr>
          <w:rFonts w:ascii="Times New Roman" w:hAnsi="Times New Roman" w:cs="Times New Roman"/>
          <w:szCs w:val="28"/>
        </w:rPr>
        <w:t>个三级指标构成，权重为20分，实际得分</w:t>
      </w:r>
      <w:r>
        <w:rPr>
          <w:rFonts w:hint="eastAsia" w:ascii="Times New Roman" w:hAnsi="Times New Roman" w:cs="Times New Roman"/>
          <w:szCs w:val="28"/>
        </w:rPr>
        <w:t>20</w:t>
      </w:r>
      <w:r>
        <w:rPr>
          <w:rFonts w:ascii="Times New Roman" w:hAnsi="Times New Roman" w:cs="Times New Roman"/>
          <w:szCs w:val="28"/>
        </w:rPr>
        <w:t xml:space="preserve">分。 </w:t>
      </w:r>
    </w:p>
    <w:p>
      <w:pPr>
        <w:pStyle w:val="4"/>
        <w:ind w:firstLine="643"/>
        <w:rPr>
          <w:rFonts w:ascii="Times New Roman" w:hAnsi="Times New Roman" w:cs="Times New Roman"/>
        </w:rPr>
      </w:pPr>
      <w:bookmarkStart w:id="49" w:name="_Toc100784613"/>
      <w:r>
        <w:rPr>
          <w:rFonts w:ascii="Times New Roman" w:hAnsi="Times New Roman" w:cs="Times New Roman"/>
        </w:rPr>
        <w:t>1.项目效益</w:t>
      </w:r>
      <w:bookmarkEnd w:id="49"/>
    </w:p>
    <w:p>
      <w:pPr>
        <w:spacing w:line="360" w:lineRule="auto"/>
        <w:ind w:firstLine="562"/>
        <w:rPr>
          <w:rFonts w:ascii="Times New Roman" w:hAnsi="Times New Roman" w:cs="Times New Roman"/>
          <w:b/>
          <w:bCs/>
          <w:szCs w:val="28"/>
        </w:rPr>
      </w:pPr>
      <w:r>
        <w:rPr>
          <w:rFonts w:ascii="Times New Roman" w:hAnsi="Times New Roman" w:cs="Times New Roman"/>
          <w:b/>
          <w:bCs/>
          <w:szCs w:val="28"/>
        </w:rPr>
        <w:t>（1）实施效益</w:t>
      </w:r>
    </w:p>
    <w:p>
      <w:pPr>
        <w:spacing w:line="360" w:lineRule="auto"/>
        <w:ind w:firstLine="562"/>
        <w:rPr>
          <w:rFonts w:ascii="Times New Roman" w:hAnsi="Times New Roman" w:cs="Times New Roman"/>
          <w:szCs w:val="28"/>
        </w:rPr>
      </w:pPr>
      <w:r>
        <w:rPr>
          <w:rFonts w:ascii="Times New Roman" w:hAnsi="Times New Roman" w:cs="Times New Roman"/>
          <w:b/>
          <w:bCs/>
          <w:szCs w:val="28"/>
        </w:rPr>
        <w:t>经济效益指标：</w:t>
      </w:r>
      <w:r>
        <w:rPr>
          <w:rFonts w:ascii="Times New Roman" w:hAnsi="Times New Roman" w:cs="Times New Roman"/>
          <w:szCs w:val="28"/>
        </w:rPr>
        <w:t xml:space="preserve">不适用。 </w:t>
      </w:r>
    </w:p>
    <w:p>
      <w:pPr>
        <w:spacing w:line="360" w:lineRule="auto"/>
        <w:ind w:firstLine="562"/>
        <w:rPr>
          <w:rFonts w:hint="eastAsia" w:ascii="Times New Roman" w:hAnsi="Times New Roman" w:cs="Times New Roman"/>
          <w:szCs w:val="28"/>
        </w:rPr>
      </w:pPr>
      <w:r>
        <w:rPr>
          <w:rFonts w:ascii="Times New Roman" w:hAnsi="Times New Roman" w:cs="Times New Roman"/>
          <w:b/>
          <w:bCs/>
          <w:szCs w:val="28"/>
        </w:rPr>
        <w:t>社会效益指标</w:t>
      </w:r>
      <w:r>
        <w:rPr>
          <w:rFonts w:ascii="Times New Roman" w:hAnsi="Times New Roman" w:cs="Times New Roman"/>
          <w:szCs w:val="28"/>
        </w:rPr>
        <w:t>：评价指标“</w:t>
      </w:r>
      <w:r>
        <w:rPr>
          <w:rFonts w:hint="eastAsia" w:ascii="Times New Roman" w:hAnsi="Times New Roman" w:cs="Times New Roman"/>
          <w:szCs w:val="28"/>
        </w:rPr>
        <w:t>落实教育惠民政策率</w:t>
      </w:r>
      <w:r>
        <w:rPr>
          <w:rFonts w:ascii="Times New Roman" w:hAnsi="Times New Roman" w:cs="Times New Roman"/>
          <w:szCs w:val="28"/>
        </w:rPr>
        <w:t>”，指标值：</w:t>
      </w:r>
      <w:r>
        <w:rPr>
          <w:rFonts w:hint="eastAsia" w:ascii="Times New Roman" w:hAnsi="Times New Roman" w:cs="Times New Roman"/>
          <w:szCs w:val="28"/>
        </w:rPr>
        <w:t>有效落实</w:t>
      </w:r>
      <w:r>
        <w:rPr>
          <w:rFonts w:ascii="Times New Roman" w:hAnsi="Times New Roman" w:cs="Times New Roman"/>
          <w:szCs w:val="28"/>
        </w:rPr>
        <w:t>，实际完成值：达成年度指标。本项目的实施</w:t>
      </w:r>
      <w:r>
        <w:rPr>
          <w:rFonts w:hint="eastAsia" w:ascii="Times New Roman" w:hAnsi="Times New Roman" w:cs="Times New Roman"/>
          <w:szCs w:val="28"/>
        </w:rPr>
        <w:t>有效落实了教育惠民政策，大大提高了惠民政策的实际意义。</w:t>
      </w:r>
    </w:p>
    <w:p>
      <w:pPr>
        <w:spacing w:line="360" w:lineRule="auto"/>
        <w:ind w:firstLine="560"/>
        <w:rPr>
          <w:rFonts w:ascii="Times New Roman" w:hAnsi="Times New Roman" w:cs="Times New Roman"/>
          <w:szCs w:val="28"/>
        </w:rPr>
      </w:pPr>
      <w:r>
        <w:rPr>
          <w:rFonts w:ascii="Times New Roman" w:hAnsi="Times New Roman" w:cs="Times New Roman"/>
          <w:szCs w:val="28"/>
        </w:rPr>
        <w:t>评价指标“</w:t>
      </w:r>
      <w:r>
        <w:rPr>
          <w:rFonts w:hint="eastAsia" w:ascii="Times New Roman" w:hAnsi="Times New Roman" w:cs="Times New Roman"/>
          <w:szCs w:val="28"/>
        </w:rPr>
        <w:t>项目受益人数</w:t>
      </w:r>
      <w:r>
        <w:rPr>
          <w:rFonts w:ascii="Times New Roman" w:hAnsi="Times New Roman" w:cs="Times New Roman"/>
          <w:szCs w:val="28"/>
        </w:rPr>
        <w:t>”，指标值：</w:t>
      </w:r>
      <w:r>
        <w:rPr>
          <w:rFonts w:hint="eastAsia" w:ascii="Times New Roman" w:hAnsi="Times New Roman" w:cs="Times New Roman"/>
          <w:szCs w:val="28"/>
        </w:rPr>
        <w:t>143人</w:t>
      </w:r>
      <w:r>
        <w:rPr>
          <w:rFonts w:ascii="Times New Roman" w:hAnsi="Times New Roman" w:cs="Times New Roman"/>
          <w:szCs w:val="28"/>
        </w:rPr>
        <w:t>，实际完成值：达成年度指标。本项目的实施</w:t>
      </w:r>
      <w:r>
        <w:rPr>
          <w:rFonts w:hint="eastAsia" w:ascii="Times New Roman" w:hAnsi="Times New Roman" w:cs="Times New Roman"/>
          <w:szCs w:val="28"/>
        </w:rPr>
        <w:t>有效将教育惠民政策落实到每名幼儿身上，大大提高了政策落实率。</w:t>
      </w:r>
    </w:p>
    <w:p>
      <w:pPr>
        <w:spacing w:line="360" w:lineRule="auto"/>
        <w:ind w:firstLine="562"/>
        <w:rPr>
          <w:rFonts w:ascii="Times New Roman" w:hAnsi="Times New Roman" w:cs="Times New Roman"/>
          <w:szCs w:val="28"/>
        </w:rPr>
      </w:pPr>
      <w:r>
        <w:rPr>
          <w:rFonts w:ascii="Times New Roman" w:hAnsi="Times New Roman" w:cs="Times New Roman"/>
          <w:b/>
          <w:bCs/>
          <w:szCs w:val="28"/>
        </w:rPr>
        <w:t>生态效益指标</w:t>
      </w:r>
      <w:r>
        <w:rPr>
          <w:rFonts w:ascii="Times New Roman" w:hAnsi="Times New Roman" w:cs="Times New Roman"/>
          <w:szCs w:val="28"/>
        </w:rPr>
        <w:t>：不适用。</w:t>
      </w:r>
    </w:p>
    <w:p>
      <w:pPr>
        <w:spacing w:line="360" w:lineRule="auto"/>
        <w:ind w:firstLine="562"/>
        <w:rPr>
          <w:rFonts w:ascii="Times New Roman" w:hAnsi="Times New Roman" w:cs="Times New Roman"/>
          <w:szCs w:val="28"/>
        </w:rPr>
      </w:pPr>
      <w:r>
        <w:rPr>
          <w:rFonts w:ascii="Times New Roman" w:hAnsi="Times New Roman" w:cs="Times New Roman"/>
          <w:b/>
          <w:bCs/>
          <w:szCs w:val="28"/>
        </w:rPr>
        <w:t>可持续影响指标：</w:t>
      </w:r>
      <w:r>
        <w:rPr>
          <w:rFonts w:ascii="Times New Roman" w:hAnsi="Times New Roman" w:cs="Times New Roman"/>
          <w:szCs w:val="28"/>
        </w:rPr>
        <w:t>评价指标“</w:t>
      </w:r>
      <w:r>
        <w:rPr>
          <w:rFonts w:hint="eastAsia" w:ascii="Times New Roman" w:hAnsi="Times New Roman" w:cs="Times New Roman"/>
          <w:szCs w:val="28"/>
        </w:rPr>
        <w:t>改善办学条件</w:t>
      </w:r>
      <w:r>
        <w:rPr>
          <w:rFonts w:ascii="Times New Roman" w:hAnsi="Times New Roman" w:cs="Times New Roman"/>
          <w:szCs w:val="28"/>
        </w:rPr>
        <w:t>”，指标值：</w:t>
      </w:r>
      <w:r>
        <w:rPr>
          <w:rFonts w:hint="eastAsia" w:ascii="Times New Roman" w:hAnsi="Times New Roman" w:cs="Times New Roman"/>
          <w:szCs w:val="28"/>
        </w:rPr>
        <w:t>持续改善</w:t>
      </w:r>
      <w:r>
        <w:rPr>
          <w:rFonts w:ascii="Times New Roman" w:hAnsi="Times New Roman" w:cs="Times New Roman"/>
          <w:szCs w:val="28"/>
        </w:rPr>
        <w:t>，实际完成值：达成年度指标。</w:t>
      </w:r>
      <w:r>
        <w:rPr>
          <w:rFonts w:hint="eastAsia" w:ascii="Times New Roman" w:hAnsi="Times New Roman" w:cs="Times New Roman"/>
          <w:szCs w:val="28"/>
        </w:rPr>
        <w:t>本项目持续有效地改善幼儿园办学条件，提高幼儿教育教学环境，提高食堂管理规范化，建设更加美丽的校园环境。</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w:t>
      </w:r>
      <w:r>
        <w:rPr>
          <w:rFonts w:hint="eastAsia" w:ascii="Times New Roman" w:hAnsi="Times New Roman" w:cs="Times New Roman"/>
          <w:b/>
          <w:kern w:val="0"/>
          <w:szCs w:val="28"/>
        </w:rPr>
        <w:t>5</w:t>
      </w:r>
      <w:r>
        <w:rPr>
          <w:rFonts w:ascii="Times New Roman" w:hAnsi="Times New Roman" w:cs="Times New Roman"/>
          <w:b/>
          <w:kern w:val="0"/>
          <w:szCs w:val="28"/>
        </w:rPr>
        <w:t>分，得分1</w:t>
      </w:r>
      <w:r>
        <w:rPr>
          <w:rFonts w:hint="eastAsia" w:ascii="Times New Roman" w:hAnsi="Times New Roman" w:cs="Times New Roman"/>
          <w:b/>
          <w:kern w:val="0"/>
          <w:szCs w:val="28"/>
        </w:rPr>
        <w:t>5</w:t>
      </w:r>
      <w:r>
        <w:rPr>
          <w:rFonts w:ascii="Times New Roman" w:hAnsi="Times New Roman" w:cs="Times New Roman"/>
          <w:b/>
          <w:kern w:val="0"/>
          <w:szCs w:val="28"/>
        </w:rPr>
        <w:t>分。</w:t>
      </w:r>
    </w:p>
    <w:p>
      <w:pPr>
        <w:pStyle w:val="4"/>
        <w:ind w:firstLine="643"/>
        <w:rPr>
          <w:rFonts w:ascii="Times New Roman" w:hAnsi="Times New Roman" w:cs="Times New Roman"/>
        </w:rPr>
      </w:pPr>
      <w:bookmarkStart w:id="50" w:name="_Toc100784614"/>
      <w:r>
        <w:rPr>
          <w:rFonts w:ascii="Times New Roman" w:hAnsi="Times New Roman" w:cs="Times New Roman"/>
        </w:rPr>
        <w:t>2. 满意度指标完成情况分析</w:t>
      </w:r>
      <w:bookmarkEnd w:id="50"/>
    </w:p>
    <w:p>
      <w:pPr>
        <w:spacing w:line="360" w:lineRule="auto"/>
        <w:ind w:firstLine="562"/>
        <w:rPr>
          <w:rFonts w:ascii="Times New Roman" w:hAnsi="Times New Roman" w:cs="Times New Roman"/>
          <w:b/>
          <w:bCs/>
          <w:szCs w:val="28"/>
        </w:rPr>
      </w:pPr>
      <w:r>
        <w:rPr>
          <w:rFonts w:ascii="Times New Roman" w:hAnsi="Times New Roman" w:cs="Times New Roman"/>
          <w:b/>
          <w:bCs/>
          <w:szCs w:val="28"/>
        </w:rPr>
        <w:t>（1）满意度指标</w:t>
      </w:r>
    </w:p>
    <w:p>
      <w:pPr>
        <w:spacing w:line="360" w:lineRule="auto"/>
        <w:ind w:firstLine="562"/>
        <w:rPr>
          <w:rFonts w:hint="eastAsia" w:ascii="Times New Roman" w:hAnsi="Times New Roman" w:cs="Times New Roman"/>
          <w:szCs w:val="28"/>
        </w:rPr>
      </w:pPr>
      <w:r>
        <w:rPr>
          <w:rFonts w:hint="eastAsia" w:ascii="Times New Roman" w:hAnsi="Times New Roman" w:cs="Times New Roman"/>
          <w:b/>
          <w:bCs/>
          <w:szCs w:val="28"/>
        </w:rPr>
        <w:t>学生家长</w:t>
      </w:r>
      <w:r>
        <w:rPr>
          <w:rFonts w:ascii="Times New Roman" w:hAnsi="Times New Roman" w:cs="Times New Roman"/>
          <w:b/>
          <w:bCs/>
          <w:szCs w:val="28"/>
        </w:rPr>
        <w:t>满意度：</w:t>
      </w:r>
      <w:r>
        <w:rPr>
          <w:rFonts w:ascii="Times New Roman" w:hAnsi="Times New Roman" w:cs="Times New Roman"/>
          <w:szCs w:val="28"/>
        </w:rPr>
        <w:t>评价指标“</w:t>
      </w:r>
      <w:r>
        <w:rPr>
          <w:rFonts w:hint="eastAsia" w:ascii="Times New Roman" w:hAnsi="Times New Roman" w:cs="Times New Roman"/>
          <w:szCs w:val="28"/>
        </w:rPr>
        <w:t>学生满意率</w:t>
      </w:r>
      <w:r>
        <w:rPr>
          <w:rFonts w:ascii="Times New Roman" w:hAnsi="Times New Roman" w:cs="Times New Roman"/>
          <w:szCs w:val="28"/>
        </w:rPr>
        <w:t>”</w:t>
      </w:r>
      <w:r>
        <w:rPr>
          <w:rFonts w:hint="eastAsia" w:ascii="Times New Roman" w:hAnsi="Times New Roman" w:cs="Times New Roman"/>
          <w:szCs w:val="28"/>
        </w:rPr>
        <w:t>,</w:t>
      </w:r>
      <w:r>
        <w:rPr>
          <w:rFonts w:ascii="Times New Roman" w:hAnsi="Times New Roman" w:cs="Times New Roman"/>
          <w:szCs w:val="28"/>
        </w:rPr>
        <w:t>指标值：</w:t>
      </w:r>
      <w:r>
        <w:rPr>
          <w:rFonts w:ascii="Times New Roman" w:hAnsi="Times New Roman" w:eastAsia="华文宋体" w:cs="Times New Roman"/>
          <w:szCs w:val="28"/>
        </w:rPr>
        <w:t>≥</w:t>
      </w:r>
      <w:r>
        <w:rPr>
          <w:rFonts w:ascii="Times New Roman" w:hAnsi="Times New Roman" w:cs="Times New Roman"/>
          <w:szCs w:val="28"/>
        </w:rPr>
        <w:t>90%，实际完成值：95%。通过设置问卷调查的方式进行考评评价，共计调查样本总量为10个样本，有效调查问卷10份。其中，统计“</w:t>
      </w:r>
      <w:r>
        <w:rPr>
          <w:rFonts w:hint="eastAsia" w:ascii="Times New Roman" w:hAnsi="Times New Roman" w:cs="Times New Roman"/>
          <w:szCs w:val="28"/>
        </w:rPr>
        <w:t>学生满意率</w:t>
      </w:r>
      <w:r>
        <w:rPr>
          <w:rFonts w:ascii="Times New Roman" w:hAnsi="Times New Roman" w:cs="Times New Roman"/>
          <w:szCs w:val="28"/>
        </w:rPr>
        <w:t>”的平均值为95%。故</w:t>
      </w:r>
      <w:r>
        <w:rPr>
          <w:rFonts w:hint="eastAsia" w:ascii="Times New Roman" w:hAnsi="Times New Roman" w:cs="Times New Roman"/>
          <w:szCs w:val="28"/>
        </w:rPr>
        <w:t>学生</w:t>
      </w:r>
      <w:r>
        <w:rPr>
          <w:rFonts w:ascii="Times New Roman" w:hAnsi="Times New Roman" w:cs="Times New Roman"/>
          <w:szCs w:val="28"/>
        </w:rPr>
        <w:t>满意度指标得分为</w:t>
      </w:r>
      <w:r>
        <w:rPr>
          <w:rFonts w:hint="eastAsia" w:ascii="Times New Roman" w:hAnsi="Times New Roman" w:cs="Times New Roman"/>
          <w:szCs w:val="28"/>
        </w:rPr>
        <w:t>3</w:t>
      </w:r>
      <w:r>
        <w:rPr>
          <w:rFonts w:ascii="Times New Roman" w:hAnsi="Times New Roman" w:cs="Times New Roman"/>
          <w:szCs w:val="28"/>
        </w:rPr>
        <w:t>分。</w:t>
      </w:r>
    </w:p>
    <w:p>
      <w:pPr>
        <w:spacing w:line="360" w:lineRule="auto"/>
        <w:ind w:firstLine="560"/>
        <w:rPr>
          <w:rFonts w:ascii="Times New Roman" w:hAnsi="Times New Roman" w:cs="Times New Roman"/>
          <w:szCs w:val="28"/>
        </w:rPr>
      </w:pPr>
      <w:r>
        <w:rPr>
          <w:rFonts w:ascii="Times New Roman" w:hAnsi="Times New Roman" w:cs="Times New Roman"/>
          <w:szCs w:val="28"/>
        </w:rPr>
        <w:t>评价指标“</w:t>
      </w:r>
      <w:r>
        <w:rPr>
          <w:rFonts w:hint="eastAsia" w:ascii="Times New Roman" w:hAnsi="Times New Roman" w:cs="Times New Roman"/>
          <w:szCs w:val="28"/>
        </w:rPr>
        <w:t>家长满意率</w:t>
      </w:r>
      <w:r>
        <w:rPr>
          <w:rFonts w:ascii="Times New Roman" w:hAnsi="Times New Roman" w:cs="Times New Roman"/>
          <w:szCs w:val="28"/>
        </w:rPr>
        <w:t>”</w:t>
      </w:r>
      <w:r>
        <w:rPr>
          <w:rFonts w:hint="eastAsia" w:ascii="Times New Roman" w:hAnsi="Times New Roman" w:cs="Times New Roman"/>
          <w:szCs w:val="28"/>
        </w:rPr>
        <w:t>,</w:t>
      </w:r>
      <w:r>
        <w:rPr>
          <w:rFonts w:ascii="Times New Roman" w:hAnsi="Times New Roman" w:cs="Times New Roman"/>
          <w:szCs w:val="28"/>
        </w:rPr>
        <w:t>指标值：</w:t>
      </w:r>
      <w:r>
        <w:rPr>
          <w:rFonts w:ascii="Times New Roman" w:hAnsi="Times New Roman" w:eastAsia="华文宋体" w:cs="Times New Roman"/>
          <w:szCs w:val="28"/>
        </w:rPr>
        <w:t>≥</w:t>
      </w:r>
      <w:r>
        <w:rPr>
          <w:rFonts w:ascii="Times New Roman" w:hAnsi="Times New Roman" w:cs="Times New Roman"/>
          <w:szCs w:val="28"/>
        </w:rPr>
        <w:t>90%，实际完成值：95%。通过设置问卷调查的方式进行考评评价，共计调查样本总量为10个样本，有效调查问卷10份。其中，统计“</w:t>
      </w:r>
      <w:r>
        <w:rPr>
          <w:rFonts w:hint="eastAsia" w:ascii="Times New Roman" w:hAnsi="Times New Roman" w:cs="Times New Roman"/>
          <w:szCs w:val="28"/>
        </w:rPr>
        <w:t>家长满意率</w:t>
      </w:r>
      <w:r>
        <w:rPr>
          <w:rFonts w:ascii="Times New Roman" w:hAnsi="Times New Roman" w:cs="Times New Roman"/>
          <w:szCs w:val="28"/>
        </w:rPr>
        <w:t>”的平均值为95%。故</w:t>
      </w:r>
      <w:r>
        <w:rPr>
          <w:rFonts w:hint="eastAsia" w:ascii="Times New Roman" w:hAnsi="Times New Roman" w:cs="Times New Roman"/>
          <w:szCs w:val="28"/>
        </w:rPr>
        <w:t>家长</w:t>
      </w:r>
      <w:r>
        <w:rPr>
          <w:rFonts w:ascii="Times New Roman" w:hAnsi="Times New Roman" w:cs="Times New Roman"/>
          <w:szCs w:val="28"/>
        </w:rPr>
        <w:t>满意度指标得分为</w:t>
      </w:r>
      <w:r>
        <w:rPr>
          <w:rFonts w:hint="eastAsia" w:ascii="Times New Roman" w:hAnsi="Times New Roman" w:cs="Times New Roman"/>
          <w:szCs w:val="28"/>
        </w:rPr>
        <w:t>2</w:t>
      </w:r>
      <w:r>
        <w:rPr>
          <w:rFonts w:ascii="Times New Roman" w:hAnsi="Times New Roman" w:cs="Times New Roman"/>
          <w:szCs w:val="28"/>
        </w:rPr>
        <w:t>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w:t>
      </w:r>
      <w:r>
        <w:rPr>
          <w:rFonts w:hint="eastAsia" w:ascii="Times New Roman" w:hAnsi="Times New Roman" w:cs="Times New Roman"/>
          <w:b/>
          <w:kern w:val="0"/>
          <w:szCs w:val="28"/>
        </w:rPr>
        <w:t>5</w:t>
      </w:r>
      <w:r>
        <w:rPr>
          <w:rFonts w:ascii="Times New Roman" w:hAnsi="Times New Roman" w:cs="Times New Roman"/>
          <w:b/>
          <w:kern w:val="0"/>
          <w:szCs w:val="28"/>
        </w:rPr>
        <w:t>分，得分</w:t>
      </w:r>
      <w:r>
        <w:rPr>
          <w:rFonts w:hint="eastAsia" w:ascii="Times New Roman" w:hAnsi="Times New Roman" w:cs="Times New Roman"/>
          <w:b/>
          <w:kern w:val="0"/>
          <w:szCs w:val="28"/>
        </w:rPr>
        <w:t>5</w:t>
      </w:r>
      <w:r>
        <w:rPr>
          <w:rFonts w:ascii="Times New Roman" w:hAnsi="Times New Roman" w:cs="Times New Roman"/>
          <w:b/>
          <w:kern w:val="0"/>
          <w:szCs w:val="28"/>
        </w:rPr>
        <w:t>分。</w:t>
      </w:r>
    </w:p>
    <w:p>
      <w:pPr>
        <w:autoSpaceDE w:val="0"/>
        <w:spacing w:line="600" w:lineRule="exact"/>
        <w:ind w:firstLine="562"/>
        <w:rPr>
          <w:rFonts w:ascii="Times New Roman" w:hAnsi="Times New Roman" w:cs="Times New Roman"/>
          <w:b/>
          <w:kern w:val="0"/>
          <w:szCs w:val="28"/>
        </w:rPr>
      </w:pP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51" w:name="_Toc67911616"/>
      <w:bookmarkStart w:id="52" w:name="_Toc100784615"/>
      <w:r>
        <w:rPr>
          <w:rFonts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ascii="Times New Roman" w:hAnsi="Times New Roman" w:cs="Times New Roman"/>
          <w:szCs w:val="28"/>
        </w:rPr>
      </w:pPr>
      <w:r>
        <w:rPr>
          <w:rFonts w:ascii="Times New Roman" w:hAnsi="Times New Roman" w:cs="Times New Roman"/>
          <w:szCs w:val="28"/>
        </w:rPr>
        <w:t>本项目预算执行率为</w:t>
      </w:r>
      <w:r>
        <w:rPr>
          <w:rFonts w:hint="eastAsia" w:ascii="Times New Roman" w:hAnsi="Times New Roman" w:cs="Times New Roman"/>
          <w:szCs w:val="28"/>
        </w:rPr>
        <w:t>98.02</w:t>
      </w:r>
      <w:r>
        <w:rPr>
          <w:rFonts w:ascii="Times New Roman" w:hAnsi="Times New Roman" w:cs="Times New Roman"/>
          <w:szCs w:val="28"/>
        </w:rPr>
        <w:t>%，指标总体完成率为</w:t>
      </w:r>
      <w:r>
        <w:rPr>
          <w:rFonts w:hint="eastAsia" w:ascii="Times New Roman" w:hAnsi="Times New Roman" w:cs="Times New Roman"/>
          <w:szCs w:val="28"/>
          <w:lang w:val="en-US" w:eastAsia="zh-CN"/>
        </w:rPr>
        <w:t>100</w:t>
      </w:r>
      <w:r>
        <w:rPr>
          <w:rFonts w:ascii="Times New Roman" w:hAnsi="Times New Roman" w:cs="Times New Roman"/>
          <w:szCs w:val="28"/>
        </w:rPr>
        <w:t>%，二者之间的偏差值为</w:t>
      </w:r>
      <w:r>
        <w:rPr>
          <w:rFonts w:hint="eastAsia" w:ascii="Times New Roman" w:hAnsi="Times New Roman" w:cs="Times New Roman"/>
          <w:szCs w:val="28"/>
          <w:lang w:val="en-US" w:eastAsia="zh-CN"/>
        </w:rPr>
        <w:t>3.98</w:t>
      </w:r>
      <w:r>
        <w:rPr>
          <w:rFonts w:ascii="Times New Roman" w:hAnsi="Times New Roman" w:cs="Times New Roman"/>
          <w:szCs w:val="28"/>
        </w:rPr>
        <w:t>%，小于20%。因此，本项目较好地完成了年度总体目标，财政资金使用效益和效率较高。</w:t>
      </w:r>
      <w:bookmarkStart w:id="53" w:name="_Toc67911617"/>
      <w:bookmarkStart w:id="54" w:name="_Toc100784616"/>
    </w:p>
    <w:p>
      <w:pPr>
        <w:spacing w:line="360" w:lineRule="auto"/>
        <w:ind w:firstLine="560"/>
        <w:rPr>
          <w:rFonts w:ascii="Times New Roman" w:hAnsi="Times New Roman" w:cs="Times New Roman"/>
          <w:szCs w:val="28"/>
        </w:rPr>
      </w:pPr>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六、主要经验及做法、存在的问题及原因分析</w:t>
      </w:r>
      <w:bookmarkEnd w:id="53"/>
      <w:bookmarkEnd w:id="54"/>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55" w:name="_Toc100784617"/>
      <w:bookmarkStart w:id="56" w:name="_Toc67911618"/>
      <w:r>
        <w:rPr>
          <w:rFonts w:ascii="Times New Roman" w:hAnsi="Times New Roman" w:eastAsia="仿宋" w:cs="Times New Roman"/>
          <w:sz w:val="32"/>
          <w:szCs w:val="32"/>
          <w:lang w:bidi="en-US"/>
        </w:rPr>
        <w:t>（一）主要经验及做法</w:t>
      </w:r>
      <w:bookmarkEnd w:id="55"/>
      <w:bookmarkEnd w:id="56"/>
    </w:p>
    <w:p>
      <w:pPr>
        <w:spacing w:line="360" w:lineRule="auto"/>
        <w:ind w:firstLine="560"/>
        <w:rPr>
          <w:rFonts w:ascii="Times New Roman" w:hAnsi="Times New Roman" w:cs="Times New Roman"/>
          <w:szCs w:val="28"/>
        </w:rPr>
      </w:pPr>
      <w:r>
        <w:rPr>
          <w:rFonts w:ascii="Times New Roman" w:hAnsi="Times New Roman" w:cs="Times New Roman"/>
          <w:szCs w:val="28"/>
        </w:rPr>
        <w:t>1.</w:t>
      </w:r>
      <w:r>
        <w:rPr>
          <w:rFonts w:hint="eastAsia" w:ascii="Times New Roman" w:hAnsi="Times New Roman" w:cs="Times New Roman"/>
          <w:szCs w:val="28"/>
        </w:rPr>
        <w:t xml:space="preserve"> 乌财科教【2021】102号关于提前下达2022年新疆西藏等地区教育特殊补助资金园舍维修资金项目按期完成验收竣工，有效落实教育惠民政策，提升幼儿园整体环境，持续改善幼儿园办学条件，学生以及家长满意度达到95%以上。</w:t>
      </w:r>
    </w:p>
    <w:p>
      <w:pPr>
        <w:spacing w:line="360" w:lineRule="auto"/>
        <w:ind w:firstLine="560"/>
        <w:rPr>
          <w:rFonts w:ascii="Times New Roman" w:hAnsi="Times New Roman" w:cs="Times New Roman"/>
          <w:szCs w:val="28"/>
        </w:rPr>
      </w:pPr>
      <w:r>
        <w:rPr>
          <w:rFonts w:ascii="Times New Roman" w:hAnsi="Times New Roman" w:cs="Times New Roman"/>
          <w:szCs w:val="28"/>
        </w:rPr>
        <w:t>2.</w:t>
      </w:r>
      <w:r>
        <w:rPr>
          <w:rFonts w:hint="eastAsia" w:ascii="Times New Roman" w:hAnsi="Times New Roman" w:cs="Times New Roman"/>
          <w:szCs w:val="28"/>
        </w:rPr>
        <w:t xml:space="preserve"> 项目按要求预决算公开，厉行节约，合理安排经费开支；合理保证幼儿的营养均衡，菜品的多样化，确保幼儿的伙食，使食堂管理更加规范；合理建设校园环境，提高幼儿园办学质量。</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57" w:name="_Toc100784618"/>
      <w:r>
        <w:rPr>
          <w:rFonts w:ascii="Times New Roman" w:hAnsi="Times New Roman" w:eastAsia="仿宋" w:cs="Times New Roman"/>
          <w:sz w:val="32"/>
          <w:szCs w:val="32"/>
          <w:lang w:bidi="en-US"/>
        </w:rPr>
        <w:t>（二）存在的问题及原因分析</w:t>
      </w:r>
      <w:bookmarkEnd w:id="57"/>
    </w:p>
    <w:p>
      <w:pPr>
        <w:spacing w:line="360" w:lineRule="auto"/>
        <w:ind w:firstLine="560"/>
        <w:rPr>
          <w:rFonts w:ascii="Times New Roman" w:hAnsi="Times New Roman" w:cs="Times New Roman"/>
          <w:szCs w:val="28"/>
        </w:rPr>
      </w:pPr>
      <w:r>
        <w:rPr>
          <w:rFonts w:hint="eastAsia" w:ascii="Times New Roman" w:hAnsi="Times New Roman" w:cs="Times New Roman"/>
          <w:szCs w:val="28"/>
        </w:rPr>
        <w:t>项目预算资金与实际支出资金还是存在一定偏差</w:t>
      </w:r>
      <w:bookmarkStart w:id="58" w:name="_Toc100784619"/>
      <w:bookmarkStart w:id="59" w:name="_Toc67911619"/>
      <w:r>
        <w:rPr>
          <w:rFonts w:hint="eastAsia" w:ascii="Times New Roman" w:hAnsi="Times New Roman" w:cs="Times New Roman"/>
          <w:szCs w:val="28"/>
        </w:rPr>
        <w:t>，原因是项目支出细节应更加具体化，资金分配应更加合理有效，确保资金能够充分利用，合理配置，避免资金剩余情况，从而提高预算资金执行率。</w:t>
      </w:r>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七、其他需要说明的问题</w:t>
      </w:r>
      <w:bookmarkEnd w:id="58"/>
      <w:bookmarkEnd w:id="59"/>
    </w:p>
    <w:p>
      <w:pPr>
        <w:spacing w:line="360" w:lineRule="auto"/>
        <w:ind w:firstLine="560"/>
        <w:rPr>
          <w:rFonts w:ascii="Times New Roman" w:hAnsi="Times New Roman" w:cs="Times New Roman"/>
          <w:szCs w:val="28"/>
        </w:rPr>
      </w:pPr>
      <w:r>
        <w:rPr>
          <w:rFonts w:ascii="Times New Roman" w:hAnsi="Times New Roman" w:cs="Times New Roman"/>
          <w:szCs w:val="28"/>
        </w:rPr>
        <w:t>1.项目支出政策和路径设计科学，符合实际需要；</w:t>
      </w:r>
    </w:p>
    <w:p>
      <w:pPr>
        <w:spacing w:line="360" w:lineRule="auto"/>
        <w:ind w:firstLine="560"/>
        <w:rPr>
          <w:rFonts w:ascii="Times New Roman" w:hAnsi="Times New Roman" w:cs="Times New Roman"/>
          <w:szCs w:val="28"/>
        </w:rPr>
      </w:pPr>
      <w:r>
        <w:rPr>
          <w:rFonts w:ascii="Times New Roman" w:hAnsi="Times New Roman" w:cs="Times New Roman"/>
          <w:szCs w:val="28"/>
        </w:rPr>
        <w:t>2.项目安排准确，未发现背离项目立项初衷的情况；</w:t>
      </w:r>
    </w:p>
    <w:p>
      <w:pPr>
        <w:spacing w:line="360" w:lineRule="auto"/>
        <w:ind w:firstLine="560"/>
        <w:rPr>
          <w:rFonts w:ascii="Times New Roman" w:hAnsi="Times New Roman" w:cs="Times New Roman"/>
          <w:szCs w:val="28"/>
        </w:rPr>
      </w:pPr>
      <w:r>
        <w:rPr>
          <w:rFonts w:ascii="Times New Roman" w:hAnsi="Times New Roman" w:cs="Times New Roman"/>
          <w:szCs w:val="28"/>
        </w:rPr>
        <w:t>3.项目的申报、审核机制完善；</w:t>
      </w:r>
    </w:p>
    <w:p>
      <w:pPr>
        <w:spacing w:line="360" w:lineRule="auto"/>
        <w:ind w:firstLine="560"/>
        <w:rPr>
          <w:rFonts w:ascii="Times New Roman" w:hAnsi="Times New Roman" w:cs="Times New Roman"/>
          <w:szCs w:val="28"/>
        </w:rPr>
      </w:pPr>
      <w:r>
        <w:rPr>
          <w:rFonts w:ascii="Times New Roman" w:hAnsi="Times New Roman" w:cs="Times New Roman"/>
          <w:szCs w:val="28"/>
        </w:rPr>
        <w:t>4.未发现虚假行为和骗取财政资金的问题。</w:t>
      </w:r>
    </w:p>
    <w:p>
      <w:pPr>
        <w:pStyle w:val="2"/>
        <w:ind w:firstLine="0" w:firstLineChars="0"/>
        <w:jc w:val="left"/>
        <w:rPr>
          <w:rFonts w:ascii="Times New Roman" w:hAnsi="Times New Roman" w:eastAsia="仿宋" w:cs="Times New Roman"/>
          <w:sz w:val="36"/>
          <w:szCs w:val="36"/>
          <w:lang w:bidi="en-US"/>
        </w:rPr>
      </w:pPr>
      <w:bookmarkStart w:id="60" w:name="_Toc67911620"/>
      <w:bookmarkStart w:id="61" w:name="_Toc100784620"/>
      <w:r>
        <w:rPr>
          <w:rFonts w:ascii="Times New Roman" w:hAnsi="Times New Roman" w:eastAsia="仿宋" w:cs="Times New Roman"/>
          <w:sz w:val="36"/>
          <w:szCs w:val="36"/>
          <w:lang w:bidi="en-US"/>
        </w:rPr>
        <w:t>八、有关建议</w:t>
      </w:r>
      <w:bookmarkEnd w:id="60"/>
      <w:bookmarkEnd w:id="61"/>
    </w:p>
    <w:p>
      <w:pPr>
        <w:snapToGrid w:val="0"/>
        <w:spacing w:line="540" w:lineRule="exact"/>
        <w:ind w:firstLine="596" w:firstLineChars="213"/>
        <w:rPr>
          <w:rFonts w:ascii="仿宋_GB2312"/>
          <w:szCs w:val="28"/>
        </w:rPr>
      </w:pPr>
      <w:r>
        <w:rPr>
          <w:rFonts w:hint="eastAsia" w:ascii="仿宋_GB2312"/>
          <w:szCs w:val="28"/>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360" w:lineRule="auto"/>
        <w:ind w:firstLine="560"/>
        <w:rPr>
          <w:rFonts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276182009"/>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9</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1691836155"/>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19</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0"/>
          <w:rFonts w:hint="eastAsia" w:ascii="仿宋_GB2312"/>
        </w:rPr>
        <w:footnoteRef/>
      </w:r>
      <w:r>
        <w:rPr>
          <w:rFonts w:ascii="仿宋_GB2312"/>
        </w:rPr>
        <w:t xml:space="preserve"> </w:t>
      </w:r>
      <w:r>
        <w:rPr>
          <w:rFonts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liOWM2MzNlZjk4NTNhNjlmZThmZjcxNGE1Y2Q0Zm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375FD"/>
    <w:rsid w:val="00147D9F"/>
    <w:rsid w:val="001544E6"/>
    <w:rsid w:val="001635DE"/>
    <w:rsid w:val="001645EB"/>
    <w:rsid w:val="001647D0"/>
    <w:rsid w:val="0016492F"/>
    <w:rsid w:val="00187B13"/>
    <w:rsid w:val="001A3189"/>
    <w:rsid w:val="001A79B9"/>
    <w:rsid w:val="001C305C"/>
    <w:rsid w:val="001C50BA"/>
    <w:rsid w:val="001D66B5"/>
    <w:rsid w:val="001E4B3E"/>
    <w:rsid w:val="001E754D"/>
    <w:rsid w:val="001E7E9F"/>
    <w:rsid w:val="00201C55"/>
    <w:rsid w:val="00213964"/>
    <w:rsid w:val="00220DC6"/>
    <w:rsid w:val="0022245F"/>
    <w:rsid w:val="0022294C"/>
    <w:rsid w:val="00225A82"/>
    <w:rsid w:val="00247354"/>
    <w:rsid w:val="00250131"/>
    <w:rsid w:val="00261F2F"/>
    <w:rsid w:val="00262B75"/>
    <w:rsid w:val="002810AA"/>
    <w:rsid w:val="00296DAD"/>
    <w:rsid w:val="002B7C09"/>
    <w:rsid w:val="002E1E67"/>
    <w:rsid w:val="002E608B"/>
    <w:rsid w:val="002F44EF"/>
    <w:rsid w:val="00302E15"/>
    <w:rsid w:val="0032183D"/>
    <w:rsid w:val="0032329D"/>
    <w:rsid w:val="00332C71"/>
    <w:rsid w:val="00333EA5"/>
    <w:rsid w:val="00340CED"/>
    <w:rsid w:val="00343485"/>
    <w:rsid w:val="00350839"/>
    <w:rsid w:val="003766AB"/>
    <w:rsid w:val="00377BA7"/>
    <w:rsid w:val="00386F81"/>
    <w:rsid w:val="003A37FF"/>
    <w:rsid w:val="003C24DB"/>
    <w:rsid w:val="003C30C1"/>
    <w:rsid w:val="003C4BD9"/>
    <w:rsid w:val="003D74DE"/>
    <w:rsid w:val="003F1FD1"/>
    <w:rsid w:val="00401448"/>
    <w:rsid w:val="00404C10"/>
    <w:rsid w:val="004249EE"/>
    <w:rsid w:val="00425C1F"/>
    <w:rsid w:val="00437C39"/>
    <w:rsid w:val="004925F6"/>
    <w:rsid w:val="004957B3"/>
    <w:rsid w:val="004B12BE"/>
    <w:rsid w:val="004B5A40"/>
    <w:rsid w:val="004D4759"/>
    <w:rsid w:val="004E0DF3"/>
    <w:rsid w:val="004E6B7C"/>
    <w:rsid w:val="004F17C9"/>
    <w:rsid w:val="004F66E9"/>
    <w:rsid w:val="005259EF"/>
    <w:rsid w:val="005345BF"/>
    <w:rsid w:val="00534DD6"/>
    <w:rsid w:val="005417D4"/>
    <w:rsid w:val="0054442E"/>
    <w:rsid w:val="00553F30"/>
    <w:rsid w:val="00560ABA"/>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6FA4"/>
    <w:rsid w:val="00607D5B"/>
    <w:rsid w:val="00611B95"/>
    <w:rsid w:val="00614CEC"/>
    <w:rsid w:val="00627F97"/>
    <w:rsid w:val="0065079B"/>
    <w:rsid w:val="00656DB7"/>
    <w:rsid w:val="00662C67"/>
    <w:rsid w:val="006B60FE"/>
    <w:rsid w:val="006C40AE"/>
    <w:rsid w:val="006E6431"/>
    <w:rsid w:val="006F3315"/>
    <w:rsid w:val="007027A1"/>
    <w:rsid w:val="00705854"/>
    <w:rsid w:val="00711070"/>
    <w:rsid w:val="00722A72"/>
    <w:rsid w:val="0073210F"/>
    <w:rsid w:val="00733402"/>
    <w:rsid w:val="0073417E"/>
    <w:rsid w:val="00743F96"/>
    <w:rsid w:val="0076734C"/>
    <w:rsid w:val="007675DB"/>
    <w:rsid w:val="00767936"/>
    <w:rsid w:val="00783118"/>
    <w:rsid w:val="007A6667"/>
    <w:rsid w:val="007A7AAB"/>
    <w:rsid w:val="007B29B8"/>
    <w:rsid w:val="007B5D1A"/>
    <w:rsid w:val="007C3F63"/>
    <w:rsid w:val="007C7AC1"/>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B6880"/>
    <w:rsid w:val="008C4803"/>
    <w:rsid w:val="008D3FFC"/>
    <w:rsid w:val="008D6D96"/>
    <w:rsid w:val="008E0DA9"/>
    <w:rsid w:val="008E3B4A"/>
    <w:rsid w:val="009068E0"/>
    <w:rsid w:val="00907B15"/>
    <w:rsid w:val="00917C57"/>
    <w:rsid w:val="009214DF"/>
    <w:rsid w:val="00923604"/>
    <w:rsid w:val="009258BD"/>
    <w:rsid w:val="00933961"/>
    <w:rsid w:val="00947A07"/>
    <w:rsid w:val="009546FE"/>
    <w:rsid w:val="0095473C"/>
    <w:rsid w:val="00954936"/>
    <w:rsid w:val="00963948"/>
    <w:rsid w:val="00981879"/>
    <w:rsid w:val="0098656D"/>
    <w:rsid w:val="00995079"/>
    <w:rsid w:val="00996B5B"/>
    <w:rsid w:val="009A33B6"/>
    <w:rsid w:val="009D4C5C"/>
    <w:rsid w:val="009F36B8"/>
    <w:rsid w:val="009F55B0"/>
    <w:rsid w:val="00A00443"/>
    <w:rsid w:val="00A106CE"/>
    <w:rsid w:val="00A2064E"/>
    <w:rsid w:val="00A22963"/>
    <w:rsid w:val="00A34337"/>
    <w:rsid w:val="00A425B1"/>
    <w:rsid w:val="00A43A0A"/>
    <w:rsid w:val="00A52E6C"/>
    <w:rsid w:val="00A52E72"/>
    <w:rsid w:val="00A72F94"/>
    <w:rsid w:val="00A764CB"/>
    <w:rsid w:val="00A92F9F"/>
    <w:rsid w:val="00AD5430"/>
    <w:rsid w:val="00AE1DCD"/>
    <w:rsid w:val="00AE6C31"/>
    <w:rsid w:val="00B22F6F"/>
    <w:rsid w:val="00B26689"/>
    <w:rsid w:val="00B4167E"/>
    <w:rsid w:val="00B50DF8"/>
    <w:rsid w:val="00B539CD"/>
    <w:rsid w:val="00B72218"/>
    <w:rsid w:val="00B90BA4"/>
    <w:rsid w:val="00B962E0"/>
    <w:rsid w:val="00BA0A35"/>
    <w:rsid w:val="00BA10B1"/>
    <w:rsid w:val="00BA13B7"/>
    <w:rsid w:val="00BA65B8"/>
    <w:rsid w:val="00BA76B5"/>
    <w:rsid w:val="00BB00EF"/>
    <w:rsid w:val="00BC5C63"/>
    <w:rsid w:val="00BF1766"/>
    <w:rsid w:val="00C00DA2"/>
    <w:rsid w:val="00C10C79"/>
    <w:rsid w:val="00C20C51"/>
    <w:rsid w:val="00C35E80"/>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3536"/>
    <w:rsid w:val="00D84293"/>
    <w:rsid w:val="00D9228E"/>
    <w:rsid w:val="00DA4BA7"/>
    <w:rsid w:val="00DB316E"/>
    <w:rsid w:val="00DC1EA8"/>
    <w:rsid w:val="00DD54BF"/>
    <w:rsid w:val="00DF643F"/>
    <w:rsid w:val="00E00B28"/>
    <w:rsid w:val="00E014DB"/>
    <w:rsid w:val="00E037DA"/>
    <w:rsid w:val="00E04EC2"/>
    <w:rsid w:val="00E10177"/>
    <w:rsid w:val="00E14FE5"/>
    <w:rsid w:val="00E24ACA"/>
    <w:rsid w:val="00E26770"/>
    <w:rsid w:val="00E30B1D"/>
    <w:rsid w:val="00E46C01"/>
    <w:rsid w:val="00E50729"/>
    <w:rsid w:val="00E526C7"/>
    <w:rsid w:val="00E73F9C"/>
    <w:rsid w:val="00E75E83"/>
    <w:rsid w:val="00EA63EF"/>
    <w:rsid w:val="00EA7E72"/>
    <w:rsid w:val="00EB0442"/>
    <w:rsid w:val="00EC5F03"/>
    <w:rsid w:val="00EF3B51"/>
    <w:rsid w:val="00F06D23"/>
    <w:rsid w:val="00F36E98"/>
    <w:rsid w:val="00F477AD"/>
    <w:rsid w:val="00F52C6D"/>
    <w:rsid w:val="00F55451"/>
    <w:rsid w:val="00F73710"/>
    <w:rsid w:val="00F872E7"/>
    <w:rsid w:val="00FA296E"/>
    <w:rsid w:val="00FA4373"/>
    <w:rsid w:val="00FB09C6"/>
    <w:rsid w:val="00FB21D5"/>
    <w:rsid w:val="00FB2BBD"/>
    <w:rsid w:val="00FD7A36"/>
    <w:rsid w:val="00FD7C5F"/>
    <w:rsid w:val="00FE193C"/>
    <w:rsid w:val="00FE7DCA"/>
    <w:rsid w:val="00FF0452"/>
    <w:rsid w:val="0C3525E9"/>
    <w:rsid w:val="128679E9"/>
    <w:rsid w:val="129E2D29"/>
    <w:rsid w:val="159C398E"/>
    <w:rsid w:val="1E9C27E7"/>
    <w:rsid w:val="23DA0A7B"/>
    <w:rsid w:val="26A06A62"/>
    <w:rsid w:val="3674794E"/>
    <w:rsid w:val="37CD7692"/>
    <w:rsid w:val="40B80445"/>
    <w:rsid w:val="42577B38"/>
    <w:rsid w:val="45727F0B"/>
    <w:rsid w:val="4FE438A2"/>
    <w:rsid w:val="55BF25B3"/>
    <w:rsid w:val="565459A5"/>
    <w:rsid w:val="5BBB3658"/>
    <w:rsid w:val="5EE305B8"/>
    <w:rsid w:val="5EE329F1"/>
    <w:rsid w:val="5EF157B7"/>
    <w:rsid w:val="6A5A3AE2"/>
    <w:rsid w:val="73680E97"/>
    <w:rsid w:val="78DE0B22"/>
    <w:rsid w:val="7C75633B"/>
    <w:rsid w:val="7EF673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1EFA6-4AD2-46B2-B0A8-9220DE162810}">
  <ds:schemaRefs/>
</ds:datastoreItem>
</file>

<file path=docProps/app.xml><?xml version="1.0" encoding="utf-8"?>
<Properties xmlns="http://schemas.openxmlformats.org/officeDocument/2006/extended-properties" xmlns:vt="http://schemas.openxmlformats.org/officeDocument/2006/docPropsVTypes">
  <Template>Normal</Template>
  <Pages>23</Pages>
  <Words>1952</Words>
  <Characters>11129</Characters>
  <Lines>92</Lines>
  <Paragraphs>26</Paragraphs>
  <TotalTime>0</TotalTime>
  <ScaleCrop>false</ScaleCrop>
  <LinksUpToDate>false</LinksUpToDate>
  <CharactersWithSpaces>13055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逐内（鬼子）</cp:lastModifiedBy>
  <cp:lastPrinted>2023-04-11T02:57:00Z</cp:lastPrinted>
  <dcterms:modified xsi:type="dcterms:W3CDTF">2023-04-20T04:41:51Z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C72CFD68021D41D8BC351CC4CC9D8637_12</vt:lpwstr>
  </property>
</Properties>
</file>