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360" w:lineRule="auto"/>
        <w:ind w:firstLine="640" w:firstLineChars="200"/>
        <w:jc w:val="both"/>
        <w:rPr>
          <w:rFonts w:hint="default" w:ascii="Times New Roman" w:hAnsi="Times New Roman" w:cs="Times New Roman"/>
          <w:kern w:val="0"/>
          <w:sz w:val="32"/>
          <w:szCs w:val="32"/>
          <w:lang w:bidi="en-US"/>
        </w:rPr>
      </w:pPr>
    </w:p>
    <w:p>
      <w:pPr>
        <w:spacing w:line="360" w:lineRule="auto"/>
        <w:ind w:firstLine="640" w:firstLineChars="200"/>
        <w:jc w:val="both"/>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bidi="en-US"/>
        </w:rPr>
        <w:t>项目名称：</w:t>
      </w:r>
      <w:r>
        <w:rPr>
          <w:rFonts w:hint="default" w:ascii="Times New Roman" w:hAnsi="Times New Roman" w:eastAsia="仿宋_GB2312" w:cs="Times New Roman"/>
          <w:kern w:val="0"/>
          <w:sz w:val="32"/>
          <w:szCs w:val="32"/>
        </w:rPr>
        <w:t>乌鲁木齐县幼儿园</w:t>
      </w:r>
      <w:r>
        <w:rPr>
          <w:rFonts w:hint="eastAsia" w:ascii="Times New Roman" w:hAnsi="Times New Roman" w:cs="Times New Roman"/>
          <w:kern w:val="0"/>
          <w:sz w:val="32"/>
          <w:szCs w:val="32"/>
          <w:lang w:eastAsia="zh-CN"/>
        </w:rPr>
        <w:t>学前教育</w:t>
      </w:r>
      <w:r>
        <w:rPr>
          <w:rFonts w:hint="default" w:ascii="Times New Roman" w:hAnsi="Times New Roman" w:eastAsia="仿宋_GB2312" w:cs="Times New Roman"/>
          <w:kern w:val="0"/>
          <w:sz w:val="32"/>
          <w:szCs w:val="32"/>
        </w:rPr>
        <w:t>保障机制经费</w:t>
      </w:r>
    </w:p>
    <w:p>
      <w:pPr>
        <w:spacing w:line="480" w:lineRule="auto"/>
        <w:ind w:left="0" w:leftChars="0" w:firstLine="640" w:firstLineChars="200"/>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乌鲁木齐县幼儿园</w:t>
      </w:r>
    </w:p>
    <w:p>
      <w:pPr>
        <w:spacing w:line="480" w:lineRule="auto"/>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zh-CN"/>
              <w14:textFill>
                <w14:solidFill>
                  <w14:schemeClr w14:val="tx1"/>
                </w14:solidFill>
              </w14:textFill>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2"/>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2"/>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w:t>
      </w:r>
      <w:bookmarkEnd w:id="2"/>
      <w:bookmarkEnd w:id="3"/>
      <w:r>
        <w:rPr>
          <w:rFonts w:hint="eastAsia" w:ascii="Times New Roman" w:hAnsi="Times New Roman" w:eastAsia="仿宋" w:cs="Times New Roman"/>
          <w:sz w:val="32"/>
          <w:szCs w:val="32"/>
          <w:lang w:val="en-US" w:eastAsia="zh-CN" w:bidi="en-US"/>
        </w:rPr>
        <w:t>概况</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rPr>
        <w:t>根据</w:t>
      </w:r>
      <w:r>
        <w:rPr>
          <w:rFonts w:hint="eastAsia" w:ascii="Times New Roman" w:hAnsi="Times New Roman" w:cs="Times New Roman"/>
          <w:szCs w:val="28"/>
          <w:lang w:eastAsia="zh-CN"/>
        </w:rPr>
        <w:t>乌财教</w:t>
      </w:r>
      <w:r>
        <w:rPr>
          <w:rFonts w:hint="eastAsia" w:ascii="Times New Roman" w:hAnsi="Times New Roman" w:cs="Times New Roman"/>
          <w:szCs w:val="28"/>
        </w:rPr>
        <w:t>《</w:t>
      </w:r>
      <w:r>
        <w:rPr>
          <w:rFonts w:hint="eastAsia" w:ascii="Times New Roman" w:hAnsi="Times New Roman" w:cs="Times New Roman"/>
          <w:szCs w:val="28"/>
          <w:lang w:val="en-US" w:eastAsia="zh-CN"/>
        </w:rPr>
        <w:t>2017</w:t>
      </w:r>
      <w:r>
        <w:rPr>
          <w:rFonts w:hint="eastAsia" w:ascii="Times New Roman" w:hAnsi="Times New Roman" w:cs="Times New Roman"/>
          <w:szCs w:val="28"/>
        </w:rPr>
        <w:t>》（</w:t>
      </w:r>
      <w:r>
        <w:rPr>
          <w:rFonts w:hint="eastAsia" w:ascii="Times New Roman" w:hAnsi="Times New Roman" w:cs="Times New Roman"/>
          <w:szCs w:val="28"/>
          <w:lang w:val="en-US" w:eastAsia="zh-CN"/>
        </w:rPr>
        <w:t>117</w:t>
      </w:r>
      <w:r>
        <w:rPr>
          <w:rFonts w:hint="eastAsia" w:ascii="Times New Roman" w:hAnsi="Times New Roman" w:cs="Times New Roman"/>
          <w:szCs w:val="28"/>
        </w:rPr>
        <w:t>号）文件，</w:t>
      </w:r>
      <w:r>
        <w:rPr>
          <w:rFonts w:hint="eastAsia" w:ascii="Times New Roman" w:hAnsi="Times New Roman" w:cs="Times New Roman"/>
          <w:szCs w:val="28"/>
          <w:lang w:eastAsia="zh-CN"/>
        </w:rPr>
        <w:t>乌鲁木齐县幼儿园学前教育保障机制经费</w:t>
      </w:r>
      <w:r>
        <w:rPr>
          <w:rFonts w:hint="eastAsia" w:ascii="Times New Roman" w:hAnsi="Times New Roman" w:cs="Times New Roman"/>
          <w:szCs w:val="28"/>
        </w:rPr>
        <w:t>项目</w:t>
      </w:r>
      <w:r>
        <w:rPr>
          <w:rFonts w:hint="eastAsia" w:ascii="Times New Roman" w:hAnsi="Times New Roman" w:cs="Times New Roman"/>
          <w:szCs w:val="28"/>
          <w:lang w:val="en-US" w:eastAsia="zh-CN"/>
        </w:rPr>
        <w:t xml:space="preserve"> </w:t>
      </w:r>
      <w:r>
        <w:rPr>
          <w:rFonts w:hint="eastAsia" w:ascii="Times New Roman" w:hAnsi="Times New Roman" w:cs="Times New Roman"/>
          <w:szCs w:val="28"/>
        </w:rPr>
        <w:t>该项目经费保障我辖区适龄幼儿免费接受学前三年教育，其细分为学前三年免费教育保障机制公用经费和学前三年免费教育幼儿园伙食费。年度预期</w:t>
      </w:r>
      <w:r>
        <w:rPr>
          <w:rFonts w:hint="eastAsia" w:ascii="Times New Roman" w:hAnsi="Times New Roman" w:cs="Times New Roman"/>
          <w:szCs w:val="28"/>
          <w:lang w:eastAsia="zh-CN"/>
        </w:rPr>
        <w:t>目</w:t>
      </w:r>
      <w:r>
        <w:rPr>
          <w:rFonts w:hint="eastAsia" w:ascii="Times New Roman" w:hAnsi="Times New Roman" w:cs="Times New Roman"/>
          <w:szCs w:val="28"/>
        </w:rPr>
        <w:t>标全面普及农村学前三年免费教育，保障幼儿园正常运转，具体开支范围：1、伙食费开支：购买符合国家食品安全卫生达标的瓜果蔬菜、米面油、肉蛋奶等伙食材料，保证二餐二点。2、幼儿读本费开支范围：幼儿读本款师用书、教学挂图、教学图片、教学资料包及教学光盘。3、保教费开支范围：水电暖费、交通差旅费、邮电费、图书资制费、园含仪器设备的日常维护费、购买低值易耗品、教师培训，学前三免费教育保障机制经费及幼儿园伙食费下达标准按在幼儿数5</w:t>
      </w:r>
      <w:r>
        <w:rPr>
          <w:rFonts w:hint="eastAsia" w:ascii="Times New Roman" w:hAnsi="Times New Roman" w:cs="Times New Roman"/>
          <w:szCs w:val="28"/>
          <w:lang w:val="en-US" w:eastAsia="zh-CN"/>
        </w:rPr>
        <w:t>650</w:t>
      </w:r>
      <w:r>
        <w:rPr>
          <w:rFonts w:hint="eastAsia" w:ascii="Times New Roman" w:hAnsi="Times New Roman" w:cs="Times New Roman"/>
          <w:szCs w:val="28"/>
        </w:rPr>
        <w:t>元/生/年。</w:t>
      </w:r>
    </w:p>
    <w:p>
      <w:pPr>
        <w:spacing w:line="360" w:lineRule="auto"/>
        <w:ind w:firstLine="560"/>
        <w:rPr>
          <w:rFonts w:hint="eastAsia" w:ascii="Times New Roman" w:hAnsi="Times New Roman" w:cs="Times New Roman"/>
          <w:szCs w:val="28"/>
        </w:rPr>
      </w:pPr>
      <w:r>
        <w:rPr>
          <w:rFonts w:hint="eastAsia" w:ascii="Times New Roman" w:hAnsi="Times New Roman" w:cs="Times New Roman"/>
          <w:szCs w:val="28"/>
        </w:rPr>
        <w:t>经</w:t>
      </w:r>
      <w:r>
        <w:rPr>
          <w:rFonts w:hint="eastAsia" w:ascii="Times New Roman" w:hAnsi="Times New Roman" w:cs="Times New Roman"/>
          <w:szCs w:val="28"/>
          <w:lang w:eastAsia="zh-CN"/>
        </w:rPr>
        <w:t>乌财教【</w:t>
      </w:r>
      <w:r>
        <w:rPr>
          <w:rFonts w:hint="eastAsia" w:ascii="Times New Roman" w:hAnsi="Times New Roman" w:cs="Times New Roman"/>
          <w:szCs w:val="28"/>
          <w:lang w:val="en-US" w:eastAsia="zh-CN"/>
        </w:rPr>
        <w:t>2017</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117</w:t>
      </w:r>
      <w:r>
        <w:rPr>
          <w:rFonts w:hint="eastAsia" w:ascii="Times New Roman" w:hAnsi="Times New Roman" w:cs="Times New Roman"/>
          <w:szCs w:val="28"/>
        </w:rPr>
        <w:t>号文件批准</w:t>
      </w:r>
      <w:r>
        <w:rPr>
          <w:rFonts w:hint="eastAsia" w:ascii="Times New Roman" w:hAnsi="Times New Roman" w:cs="Times New Roman"/>
          <w:szCs w:val="28"/>
          <w:lang w:eastAsia="zh-CN"/>
        </w:rPr>
        <w:t>项目</w:t>
      </w:r>
      <w:r>
        <w:rPr>
          <w:rFonts w:hint="eastAsia" w:ascii="Times New Roman" w:hAnsi="Times New Roman" w:cs="Times New Roman"/>
          <w:szCs w:val="28"/>
        </w:rPr>
        <w:t>目系2022年自治区资金，共安排预算</w:t>
      </w:r>
      <w:r>
        <w:rPr>
          <w:rFonts w:hint="eastAsia" w:ascii="Times New Roman" w:hAnsi="Times New Roman" w:cs="Times New Roman"/>
          <w:szCs w:val="28"/>
          <w:lang w:val="en-US" w:eastAsia="zh-CN"/>
        </w:rPr>
        <w:t>98.52</w:t>
      </w:r>
      <w:r>
        <w:rPr>
          <w:rFonts w:hint="eastAsia" w:ascii="Times New Roman" w:hAnsi="Times New Roman" w:cs="Times New Roman"/>
          <w:szCs w:val="28"/>
        </w:rPr>
        <w:t>万元</w:t>
      </w:r>
      <w:r>
        <w:rPr>
          <w:rFonts w:hint="eastAsia" w:ascii="Times New Roman" w:hAnsi="Times New Roman" w:cs="Times New Roman"/>
          <w:szCs w:val="28"/>
          <w:lang w:eastAsia="zh-CN"/>
        </w:rPr>
        <w:t>，关于</w:t>
      </w:r>
      <w:r>
        <w:rPr>
          <w:rFonts w:hint="eastAsia" w:ascii="Times New Roman" w:hAnsi="Times New Roman" w:cs="Times New Roman"/>
          <w:szCs w:val="28"/>
        </w:rPr>
        <w:t>于印发《乌鲁木齐市实施15年免费教育资金管理暂行办法的通知》乌财教【2017】117号，文件规定幼儿园保教费</w:t>
      </w:r>
      <w:r>
        <w:rPr>
          <w:rFonts w:hint="eastAsia" w:ascii="Times New Roman" w:hAnsi="Times New Roman" w:cs="Times New Roman"/>
          <w:szCs w:val="28"/>
          <w:lang w:val="en-US" w:eastAsia="zh-CN"/>
        </w:rPr>
        <w:t>2624元/生/年、</w:t>
      </w:r>
      <w:r>
        <w:rPr>
          <w:rFonts w:hint="eastAsia" w:ascii="Times New Roman" w:hAnsi="Times New Roman" w:cs="Times New Roman"/>
          <w:szCs w:val="28"/>
        </w:rPr>
        <w:t>伙食费</w:t>
      </w:r>
      <w:r>
        <w:rPr>
          <w:rFonts w:hint="eastAsia" w:ascii="Times New Roman" w:hAnsi="Times New Roman" w:cs="Times New Roman"/>
          <w:szCs w:val="28"/>
          <w:lang w:val="en-US" w:eastAsia="zh-CN"/>
        </w:rPr>
        <w:t>220</w:t>
      </w:r>
      <w:r>
        <w:rPr>
          <w:rFonts w:hint="eastAsia" w:ascii="Times New Roman" w:hAnsi="Times New Roman" w:cs="Times New Roman"/>
          <w:szCs w:val="28"/>
        </w:rPr>
        <w:t>元/生/月，按照9个月计算，年报数据为</w:t>
      </w:r>
      <w:r>
        <w:rPr>
          <w:rFonts w:hint="eastAsia" w:ascii="Times New Roman" w:hAnsi="Times New Roman" w:cs="Times New Roman"/>
          <w:szCs w:val="28"/>
          <w:lang w:val="en-US" w:eastAsia="zh-CN"/>
        </w:rPr>
        <w:t>214人。助学金</w:t>
      </w:r>
      <w:r>
        <w:rPr>
          <w:rFonts w:hint="eastAsia" w:ascii="Times New Roman" w:hAnsi="Times New Roman" w:cs="Times New Roman"/>
          <w:szCs w:val="28"/>
        </w:rPr>
        <w:t>（21</w:t>
      </w:r>
      <w:r>
        <w:rPr>
          <w:rFonts w:hint="eastAsia" w:ascii="Times New Roman" w:hAnsi="Times New Roman" w:cs="Times New Roman"/>
          <w:szCs w:val="28"/>
          <w:lang w:val="en-US" w:eastAsia="zh-CN"/>
        </w:rPr>
        <w:t>4</w:t>
      </w:r>
      <w:r>
        <w:rPr>
          <w:rFonts w:hint="eastAsia" w:ascii="Times New Roman" w:hAnsi="Times New Roman" w:cs="Times New Roman"/>
          <w:szCs w:val="28"/>
        </w:rPr>
        <w:t>人*</w:t>
      </w:r>
      <w:r>
        <w:rPr>
          <w:rFonts w:hint="eastAsia" w:ascii="Times New Roman" w:hAnsi="Times New Roman" w:cs="Times New Roman"/>
          <w:szCs w:val="28"/>
          <w:lang w:val="en-US" w:eastAsia="zh-CN"/>
        </w:rPr>
        <w:t>220</w:t>
      </w:r>
      <w:r>
        <w:rPr>
          <w:rFonts w:hint="eastAsia" w:ascii="Times New Roman" w:hAnsi="Times New Roman" w:cs="Times New Roman"/>
          <w:szCs w:val="28"/>
        </w:rPr>
        <w:t>月*9月</w:t>
      </w:r>
      <w:r>
        <w:rPr>
          <w:rFonts w:hint="eastAsia" w:ascii="Times New Roman" w:hAnsi="Times New Roman" w:cs="Times New Roman"/>
          <w:szCs w:val="28"/>
          <w:lang w:val="en-US" w:eastAsia="zh-CN"/>
        </w:rPr>
        <w:t>=42.37万元</w:t>
      </w:r>
      <w:r>
        <w:rPr>
          <w:rFonts w:hint="eastAsia" w:ascii="Times New Roman" w:hAnsi="Times New Roman" w:cs="Times New Roman"/>
          <w:szCs w:val="28"/>
        </w:rPr>
        <w:t>）</w:t>
      </w:r>
      <w:r>
        <w:rPr>
          <w:rFonts w:hint="eastAsia" w:ascii="Times New Roman" w:hAnsi="Times New Roman" w:cs="Times New Roman"/>
          <w:szCs w:val="28"/>
          <w:lang w:eastAsia="zh-CN"/>
        </w:rPr>
        <w:t>公用经费（</w:t>
      </w:r>
      <w:r>
        <w:rPr>
          <w:rFonts w:hint="eastAsia" w:ascii="Times New Roman" w:hAnsi="Times New Roman" w:cs="Times New Roman"/>
          <w:szCs w:val="28"/>
          <w:lang w:val="en-US" w:eastAsia="zh-CN"/>
        </w:rPr>
        <w:t>214*2624=56.15万元</w:t>
      </w:r>
      <w:r>
        <w:rPr>
          <w:rFonts w:hint="eastAsia" w:ascii="Times New Roman" w:hAnsi="Times New Roman" w:cs="Times New Roman"/>
          <w:szCs w:val="28"/>
          <w:lang w:eastAsia="zh-CN"/>
        </w:rPr>
        <w:t>）合计</w:t>
      </w:r>
      <w:r>
        <w:rPr>
          <w:rFonts w:hint="eastAsia" w:ascii="Times New Roman" w:hAnsi="Times New Roman" w:cs="Times New Roman"/>
          <w:szCs w:val="28"/>
          <w:lang w:val="en-US" w:eastAsia="zh-CN"/>
        </w:rPr>
        <w:t>98.52万元</w:t>
      </w:r>
      <w:r>
        <w:rPr>
          <w:rFonts w:hint="eastAsia" w:ascii="Times New Roman" w:hAnsi="Times New Roman" w:cs="Times New Roman"/>
          <w:szCs w:val="28"/>
        </w:rPr>
        <w:t>。</w:t>
      </w:r>
    </w:p>
    <w:p>
      <w:pPr>
        <w:spacing w:line="360" w:lineRule="auto"/>
        <w:ind w:firstLine="560"/>
        <w:rPr>
          <w:rFonts w:hint="eastAsia" w:ascii="仿宋_GB2312" w:hAnsi="仿宋_GB2312" w:eastAsia="仿宋_GB2312" w:cs="仿宋_GB2312"/>
          <w:sz w:val="28"/>
          <w:szCs w:val="28"/>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w:t>
      </w:r>
      <w:bookmarkEnd w:id="4"/>
      <w:bookmarkEnd w:id="5"/>
      <w:r>
        <w:rPr>
          <w:rFonts w:hint="eastAsia" w:ascii="Times New Roman" w:hAnsi="Times New Roman" w:eastAsia="仿宋" w:cs="Times New Roman"/>
          <w:sz w:val="32"/>
          <w:szCs w:val="32"/>
          <w:lang w:val="en-US" w:eastAsia="zh-CN" w:bidi="en-US"/>
        </w:rPr>
        <w:t>标</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项目</w:t>
      </w:r>
      <w:r>
        <w:rPr>
          <w:rFonts w:hint="eastAsia" w:ascii="Times New Roman" w:hAnsi="Times New Roman" w:cs="Times New Roman"/>
          <w:szCs w:val="28"/>
          <w:lang w:eastAsia="zh-CN"/>
        </w:rPr>
        <w:t>接受学前三年免费教育惠及幼儿人数</w:t>
      </w:r>
      <w:r>
        <w:rPr>
          <w:rFonts w:hint="eastAsia" w:ascii="Times New Roman" w:hAnsi="Times New Roman" w:cs="Times New Roman"/>
          <w:szCs w:val="28"/>
          <w:lang w:val="en-US" w:eastAsia="zh-CN"/>
        </w:rPr>
        <w:t>214人，农村学前三年免费教育幼儿园入园率98%，国家通用语言覆盖率98%。通过学前教育发展保障机制经费支出，保障了我县幼儿园正常运转，做到了适龄幼儿应入尽入，学前经费应保尽保，规范并优化了幼儿园办园环境，提升了办园品质，促进幼儿园向内函发展，为幼儿的健康发展营造了一个有力量的，可以互动的环境。受到幼儿家长的一致好评。</w:t>
      </w:r>
    </w:p>
    <w:p>
      <w:pPr>
        <w:pStyle w:val="2"/>
        <w:rPr>
          <w:rFonts w:hint="eastAsia"/>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67911604"/>
      <w:bookmarkStart w:id="8" w:name="_Toc100784586"/>
      <w:r>
        <w:rPr>
          <w:rFonts w:hint="default" w:ascii="Times New Roman" w:hAnsi="Times New Roman" w:eastAsia="仿宋" w:cs="Times New Roman"/>
          <w:sz w:val="36"/>
          <w:szCs w:val="36"/>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w:t>
      </w:r>
      <w:bookmarkEnd w:id="9"/>
      <w:bookmarkEnd w:id="10"/>
      <w:r>
        <w:rPr>
          <w:rFonts w:hint="eastAsia" w:ascii="Times New Roman" w:hAnsi="Times New Roman" w:eastAsia="仿宋" w:cs="Times New Roman"/>
          <w:sz w:val="32"/>
          <w:szCs w:val="32"/>
          <w:lang w:val="en-US" w:eastAsia="zh-CN" w:bidi="en-US"/>
        </w:rPr>
        <w:t>范围</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cs="Times New Roman"/>
        </w:rPr>
      </w:pPr>
      <w:r>
        <w:rPr>
          <w:rFonts w:hint="default" w:ascii="Times New Roman" w:hAnsi="Times New Roman" w:cs="Times New Roman"/>
        </w:rPr>
        <w:t>（1）绩效评价的</w:t>
      </w:r>
      <w:r>
        <w:rPr>
          <w:rFonts w:hint="eastAsia" w:ascii="Times New Roman" w:hAnsi="Times New Roman" w:cs="Times New Roman"/>
          <w:lang w:eastAsia="zh-CN"/>
        </w:rPr>
        <w:t>对象：</w:t>
      </w:r>
      <w:r>
        <w:rPr>
          <w:rFonts w:hint="default" w:ascii="Times New Roman" w:hAnsi="Times New Roman" w:eastAsia="仿宋_GB2312" w:cs="Times New Roman"/>
          <w:kern w:val="0"/>
          <w:sz w:val="28"/>
          <w:szCs w:val="28"/>
        </w:rPr>
        <w:t>乌鲁木齐县幼儿园</w:t>
      </w:r>
      <w:r>
        <w:rPr>
          <w:rFonts w:hint="eastAsia" w:ascii="Times New Roman" w:hAnsi="Times New Roman" w:cs="Times New Roman"/>
          <w:kern w:val="0"/>
          <w:sz w:val="28"/>
          <w:szCs w:val="28"/>
          <w:lang w:eastAsia="zh-CN"/>
        </w:rPr>
        <w:t>学前教育</w:t>
      </w:r>
      <w:r>
        <w:rPr>
          <w:rFonts w:hint="default" w:ascii="Times New Roman" w:hAnsi="Times New Roman" w:eastAsia="仿宋_GB2312" w:cs="Times New Roman"/>
          <w:kern w:val="0"/>
          <w:sz w:val="28"/>
          <w:szCs w:val="28"/>
        </w:rPr>
        <w:t>保障机制经费</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eastAsia" w:ascii="Times New Roman" w:hAnsi="Times New Roman" w:eastAsia="仿宋_GB2312" w:cs="Times New Roman"/>
          <w:szCs w:val="28"/>
          <w:lang w:eastAsia="zh-CN"/>
        </w:rPr>
      </w:pPr>
      <w:r>
        <w:rPr>
          <w:rFonts w:hint="default" w:ascii="Times New Roman" w:hAnsi="Times New Roman" w:cs="Times New Roman"/>
          <w:szCs w:val="28"/>
        </w:rPr>
        <w:t>1.项目范围：乌鲁木齐县幼儿园</w:t>
      </w:r>
      <w:r>
        <w:rPr>
          <w:rFonts w:hint="eastAsia" w:ascii="Times New Roman" w:hAnsi="Times New Roman" w:cs="Times New Roman"/>
          <w:szCs w:val="28"/>
          <w:lang w:eastAsia="zh-CN"/>
        </w:rPr>
        <w:t>学前教育</w:t>
      </w:r>
      <w:r>
        <w:rPr>
          <w:rFonts w:hint="default" w:ascii="Times New Roman" w:hAnsi="Times New Roman" w:cs="Times New Roman"/>
          <w:szCs w:val="28"/>
        </w:rPr>
        <w:t>保障机制经费</w:t>
      </w:r>
      <w:r>
        <w:rPr>
          <w:rFonts w:hint="default" w:ascii="Times New Roman" w:hAnsi="Times New Roman" w:cs="Times New Roman"/>
        </w:rPr>
        <w:t>的完成情况、资金投入的运行情况、项目实施后产生的绩效及影响效果</w:t>
      </w:r>
      <w:r>
        <w:rPr>
          <w:rFonts w:hint="eastAsia" w:ascii="Times New Roman" w:hAnsi="Times New Roman" w:cs="Times New Roman"/>
          <w:lang w:eastAsia="zh-CN"/>
        </w:rPr>
        <w:t>。</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w:t>
      </w:r>
      <w:bookmarkEnd w:id="13"/>
      <w:bookmarkEnd w:id="14"/>
      <w:r>
        <w:rPr>
          <w:rFonts w:hint="eastAsia" w:ascii="Times New Roman" w:hAnsi="Times New Roman" w:eastAsia="仿宋" w:cs="Times New Roman"/>
          <w:sz w:val="32"/>
          <w:szCs w:val="32"/>
          <w:lang w:val="en-US" w:eastAsia="zh-CN" w:bidi="en-US"/>
        </w:rPr>
        <w:t>准</w:t>
      </w:r>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spacing w:line="0" w:lineRule="atLeast"/>
              <w:ind w:left="0" w:leftChars="0" w:firstLine="0" w:firstLineChars="0"/>
              <w:jc w:val="both"/>
              <w:rPr>
                <w:rFonts w:hint="default" w:ascii="Calibri" w:hAnsi="Calibri" w:eastAsia="方正仿宋_GBK" w:cs="黑体"/>
                <w:color w:val="000000"/>
                <w:kern w:val="0"/>
                <w:sz w:val="28"/>
                <w:szCs w:val="21"/>
                <w:lang w:val="en-US" w:eastAsia="zh-CN" w:bidi="ar-SA"/>
              </w:rPr>
            </w:pPr>
            <w:r>
              <w:rPr>
                <w:rFonts w:hint="eastAsia" w:ascii="宋体" w:hAnsi="宋体" w:eastAsia="宋体" w:cs="宋体"/>
                <w:color w:val="000000"/>
                <w:kern w:val="0"/>
                <w:sz w:val="22"/>
                <w:szCs w:val="22"/>
              </w:rPr>
              <w:t>接受学前三年免费教育惠及幼儿人数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eastAsia="zh-CN"/>
              </w:rPr>
            </w:pPr>
            <w:r>
              <w:rPr>
                <w:rFonts w:hint="eastAsia" w:ascii="宋体" w:hAnsi="宋体" w:eastAsia="宋体" w:cs="宋体"/>
                <w:color w:val="000000"/>
                <w:kern w:val="0"/>
                <w:sz w:val="22"/>
                <w:szCs w:val="22"/>
              </w:rPr>
              <w:t>享受学前教育</w:t>
            </w:r>
            <w:r>
              <w:rPr>
                <w:rFonts w:hint="eastAsia" w:ascii="宋体" w:hAnsi="宋体" w:eastAsia="宋体" w:cs="宋体"/>
                <w:color w:val="000000"/>
                <w:kern w:val="0"/>
                <w:sz w:val="22"/>
                <w:szCs w:val="22"/>
                <w:lang w:eastAsia="zh-CN"/>
              </w:rPr>
              <w:t>学校数量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yellow"/>
              </w:rPr>
            </w:pPr>
            <w:r>
              <w:rPr>
                <w:rFonts w:hint="eastAsia" w:ascii="宋体" w:hAnsi="宋体" w:eastAsia="宋体" w:cs="宋体"/>
                <w:color w:val="000000"/>
                <w:kern w:val="0"/>
                <w:sz w:val="22"/>
                <w:szCs w:val="22"/>
                <w:lang w:eastAsia="zh-CN"/>
              </w:rPr>
              <w:t>农村三年免费教育幼儿入园率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国家通用语言覆盖</w:t>
            </w:r>
            <w:r>
              <w:rPr>
                <w:rFonts w:hint="eastAsia" w:ascii="宋体" w:hAnsi="宋体" w:eastAsia="宋体" w:cs="宋体"/>
                <w:color w:val="000000"/>
                <w:kern w:val="0"/>
                <w:sz w:val="22"/>
                <w:szCs w:val="22"/>
              </w:rPr>
              <w:t>率</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szCs w:val="22"/>
                <w:lang w:eastAsia="zh-CN"/>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szCs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宋体" w:hAnsi="宋体" w:eastAsia="宋体" w:cs="宋体"/>
                <w:color w:val="000000"/>
                <w:kern w:val="0"/>
                <w:sz w:val="22"/>
                <w:szCs w:val="22"/>
                <w:highlight w:val="none"/>
              </w:rPr>
              <w:t>项目</w:t>
            </w:r>
            <w:r>
              <w:rPr>
                <w:rFonts w:hint="eastAsia" w:ascii="宋体" w:hAnsi="宋体" w:eastAsia="宋体" w:cs="宋体"/>
                <w:color w:val="000000"/>
                <w:kern w:val="0"/>
                <w:sz w:val="22"/>
                <w:szCs w:val="22"/>
                <w:highlight w:val="none"/>
                <w:lang w:eastAsia="zh-CN"/>
              </w:rPr>
              <w:t>完</w:t>
            </w:r>
            <w:r>
              <w:rPr>
                <w:rFonts w:hint="eastAsia" w:ascii="宋体" w:hAnsi="宋体" w:eastAsia="宋体" w:cs="宋体"/>
                <w:color w:val="000000"/>
                <w:kern w:val="0"/>
                <w:sz w:val="22"/>
                <w:szCs w:val="22"/>
                <w:highlight w:val="none"/>
              </w:rPr>
              <w:t>成</w:t>
            </w:r>
            <w:r>
              <w:rPr>
                <w:rFonts w:hint="eastAsia" w:ascii="宋体" w:hAnsi="宋体" w:eastAsia="宋体" w:cs="宋体"/>
                <w:color w:val="000000"/>
                <w:kern w:val="0"/>
                <w:sz w:val="22"/>
                <w:szCs w:val="22"/>
                <w:highlight w:val="none"/>
                <w:lang w:eastAsia="zh-CN"/>
              </w:rPr>
              <w:t>及时</w:t>
            </w:r>
            <w:r>
              <w:rPr>
                <w:rFonts w:hint="eastAsia" w:ascii="宋体" w:hAnsi="宋体" w:eastAsia="宋体" w:cs="宋体"/>
                <w:color w:val="000000"/>
                <w:kern w:val="0"/>
                <w:sz w:val="22"/>
                <w:szCs w:val="22"/>
                <w:highlight w:val="none"/>
              </w:rPr>
              <w:t>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宋体" w:hAnsi="宋体" w:eastAsia="宋体" w:cs="宋体"/>
                <w:color w:val="000000"/>
                <w:kern w:val="0"/>
                <w:sz w:val="22"/>
                <w:szCs w:val="22"/>
                <w:lang w:eastAsia="zh-CN"/>
              </w:rPr>
              <w:t>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减轻农牧民家庭负担</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szCs w:val="22"/>
                <w:lang w:val="en-US"/>
              </w:rPr>
            </w:pPr>
            <w:r>
              <w:rPr>
                <w:rFonts w:hint="eastAsia" w:ascii="宋体" w:hAnsi="宋体" w:eastAsia="宋体" w:cs="宋体"/>
                <w:color w:val="000000"/>
                <w:kern w:val="0"/>
                <w:sz w:val="22"/>
                <w:szCs w:val="22"/>
                <w:lang w:eastAsia="zh-CN"/>
              </w:rPr>
              <w:t>落实教育惠民政策</w:t>
            </w:r>
            <w:r>
              <w:rPr>
                <w:rFonts w:hint="eastAsia" w:ascii="宋体" w:hAnsi="宋体" w:eastAsia="宋体" w:cs="宋体"/>
                <w:color w:val="000000"/>
                <w:kern w:val="0"/>
                <w:sz w:val="22"/>
                <w:szCs w:val="22"/>
                <w:lang w:val="en-US" w:eastAsia="zh-CN"/>
              </w:rPr>
              <w:t>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rPr>
              <w:t>家长满意率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w:t>
      </w:r>
      <w:bookmarkStart w:id="63" w:name="_GoBack"/>
      <w:bookmarkEnd w:id="63"/>
      <w:r>
        <w:rPr>
          <w:rFonts w:hint="default" w:ascii="Times New Roman" w:hAnsi="Times New Roman" w:cs="Times New Roman"/>
        </w:rPr>
        <w:t>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lang w:val="en-US" w:eastAsia="zh-CN"/>
        </w:rPr>
      </w:pPr>
      <w:r>
        <w:rPr>
          <w:rFonts w:hint="default" w:ascii="Times New Roman" w:hAnsi="Times New Roman" w:cs="Times New Roman"/>
          <w:highlight w:val="none"/>
        </w:rPr>
        <w:t>根据本项目乌鲁木齐县幼儿园</w:t>
      </w:r>
      <w:r>
        <w:rPr>
          <w:rFonts w:hint="eastAsia" w:ascii="Times New Roman" w:hAnsi="Times New Roman" w:cs="Times New Roman"/>
          <w:highlight w:val="none"/>
          <w:lang w:eastAsia="zh-CN"/>
        </w:rPr>
        <w:t>学前教育</w:t>
      </w:r>
      <w:r>
        <w:rPr>
          <w:rFonts w:hint="default" w:ascii="Times New Roman" w:hAnsi="Times New Roman" w:cs="Times New Roman"/>
          <w:highlight w:val="none"/>
        </w:rPr>
        <w:t>保障机制经</w:t>
      </w:r>
      <w:r>
        <w:rPr>
          <w:rFonts w:hint="eastAsia" w:ascii="Times New Roman" w:hAnsi="Times New Roman" w:cs="Times New Roman"/>
          <w:highlight w:val="none"/>
          <w:lang w:eastAsia="zh-CN"/>
        </w:rPr>
        <w:t>费的特点</w:t>
      </w:r>
      <w:r>
        <w:rPr>
          <w:rFonts w:hint="default" w:ascii="Times New Roman" w:hAnsi="Times New Roman" w:cs="Times New Roman"/>
          <w:highlight w:val="none"/>
        </w:rPr>
        <w:t>，本次评价主要采用比较法，</w:t>
      </w:r>
      <w:r>
        <w:rPr>
          <w:rFonts w:hint="eastAsia" w:ascii="Times New Roman" w:hAnsi="Times New Roman" w:cs="Times New Roman"/>
          <w:highlight w:val="none"/>
        </w:rPr>
        <w:t>2021</w:t>
      </w:r>
      <w:r>
        <w:rPr>
          <w:rFonts w:hint="eastAsia" w:ascii="Times New Roman" w:hAnsi="Times New Roman" w:cs="Times New Roman"/>
          <w:highlight w:val="none"/>
          <w:lang w:eastAsia="zh-CN"/>
        </w:rPr>
        <w:t>乌鲁木齐县幼儿园保障机制经费</w:t>
      </w:r>
      <w:r>
        <w:rPr>
          <w:rFonts w:hint="eastAsia" w:ascii="Times New Roman" w:hAnsi="Times New Roman" w:cs="Times New Roman"/>
          <w:highlight w:val="none"/>
        </w:rPr>
        <w:t>项目申请预算资金</w:t>
      </w:r>
      <w:r>
        <w:rPr>
          <w:rFonts w:hint="eastAsia" w:ascii="Times New Roman" w:hAnsi="Times New Roman" w:cs="Times New Roman"/>
          <w:highlight w:val="none"/>
          <w:lang w:val="en-US" w:eastAsia="zh-CN"/>
        </w:rPr>
        <w:t>121.48</w:t>
      </w:r>
      <w:r>
        <w:rPr>
          <w:rFonts w:hint="eastAsia" w:ascii="Times New Roman" w:hAnsi="Times New Roman" w:cs="Times New Roman"/>
          <w:highlight w:val="none"/>
        </w:rPr>
        <w:t>万元，财政下拨</w:t>
      </w:r>
      <w:r>
        <w:rPr>
          <w:rFonts w:hint="eastAsia" w:ascii="Times New Roman" w:hAnsi="Times New Roman" w:cs="Times New Roman"/>
          <w:highlight w:val="none"/>
          <w:lang w:val="en-US" w:eastAsia="zh-CN"/>
        </w:rPr>
        <w:t>121.48</w:t>
      </w:r>
      <w:r>
        <w:rPr>
          <w:rFonts w:hint="eastAsia" w:ascii="Times New Roman" w:hAnsi="Times New Roman" w:cs="Times New Roman"/>
          <w:highlight w:val="none"/>
        </w:rPr>
        <w:t>万元，资金到位率100%。截止2021年12月31日共支出</w:t>
      </w:r>
      <w:r>
        <w:rPr>
          <w:rFonts w:hint="eastAsia" w:ascii="Times New Roman" w:hAnsi="Times New Roman" w:cs="Times New Roman"/>
          <w:highlight w:val="none"/>
          <w:lang w:val="en-US" w:eastAsia="zh-CN"/>
        </w:rPr>
        <w:t>116.64</w:t>
      </w:r>
      <w:r>
        <w:rPr>
          <w:rFonts w:hint="eastAsia" w:ascii="Times New Roman" w:hAnsi="Times New Roman" w:cs="Times New Roman"/>
          <w:highlight w:val="none"/>
        </w:rPr>
        <w:t>万元，预算执行率为</w:t>
      </w:r>
      <w:r>
        <w:rPr>
          <w:rFonts w:hint="eastAsia" w:ascii="Times New Roman" w:hAnsi="Times New Roman" w:cs="Times New Roman"/>
          <w:highlight w:val="none"/>
          <w:lang w:val="en-US" w:eastAsia="zh-CN"/>
        </w:rPr>
        <w:t>96.01</w:t>
      </w:r>
      <w:r>
        <w:rPr>
          <w:rFonts w:hint="eastAsia" w:ascii="Times New Roman" w:hAnsi="Times New Roman" w:cs="Times New Roman"/>
          <w:highlight w:val="none"/>
        </w:rPr>
        <w:t>%。其中公用经费</w:t>
      </w:r>
      <w:r>
        <w:rPr>
          <w:rFonts w:hint="eastAsia" w:ascii="Times New Roman" w:hAnsi="Times New Roman" w:cs="Times New Roman"/>
          <w:highlight w:val="none"/>
          <w:lang w:val="en-US" w:eastAsia="zh-CN"/>
        </w:rPr>
        <w:t>78.64</w:t>
      </w:r>
      <w:r>
        <w:rPr>
          <w:rFonts w:hint="eastAsia" w:ascii="Times New Roman" w:hAnsi="Times New Roman" w:cs="Times New Roman"/>
          <w:highlight w:val="none"/>
        </w:rPr>
        <w:t>万元全部支出，幼儿伙食费支出</w:t>
      </w:r>
      <w:r>
        <w:rPr>
          <w:rFonts w:hint="eastAsia" w:ascii="Times New Roman" w:hAnsi="Times New Roman" w:cs="Times New Roman"/>
          <w:highlight w:val="none"/>
          <w:lang w:val="en-US" w:eastAsia="zh-CN"/>
        </w:rPr>
        <w:t>38</w:t>
      </w:r>
      <w:r>
        <w:rPr>
          <w:rFonts w:hint="eastAsia" w:ascii="Times New Roman" w:hAnsi="Times New Roman" w:cs="Times New Roman"/>
          <w:highlight w:val="none"/>
        </w:rPr>
        <w:t>万元，</w:t>
      </w:r>
      <w:r>
        <w:rPr>
          <w:rFonts w:hint="eastAsia" w:ascii="Times New Roman" w:hAnsi="Times New Roman" w:cs="Times New Roman"/>
          <w:highlight w:val="none"/>
          <w:lang w:val="en-US" w:eastAsia="zh-CN"/>
        </w:rPr>
        <w:t>2022年乌鲁木齐县幼儿园学前保障机制经费，</w:t>
      </w:r>
      <w:r>
        <w:rPr>
          <w:rFonts w:hint="eastAsia" w:ascii="Times New Roman" w:hAnsi="Times New Roman" w:cs="Times New Roman"/>
          <w:highlight w:val="none"/>
          <w:lang w:eastAsia="zh-CN"/>
        </w:rPr>
        <w:t>乌财教【</w:t>
      </w:r>
      <w:r>
        <w:rPr>
          <w:rFonts w:hint="eastAsia" w:ascii="Times New Roman" w:hAnsi="Times New Roman" w:cs="Times New Roman"/>
          <w:highlight w:val="none"/>
          <w:lang w:val="en-US" w:eastAsia="zh-CN"/>
        </w:rPr>
        <w:t>2017</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117</w:t>
      </w:r>
      <w:r>
        <w:rPr>
          <w:rFonts w:hint="eastAsia" w:ascii="Times New Roman" w:hAnsi="Times New Roman" w:cs="Times New Roman"/>
          <w:highlight w:val="none"/>
        </w:rPr>
        <w:t>号文件</w:t>
      </w:r>
      <w:r>
        <w:rPr>
          <w:rFonts w:hint="eastAsia" w:ascii="Times New Roman" w:hAnsi="Times New Roman" w:cs="Times New Roman"/>
          <w:highlight w:val="none"/>
          <w:lang w:eastAsia="zh-CN"/>
        </w:rPr>
        <w:t>，关于</w:t>
      </w:r>
      <w:r>
        <w:rPr>
          <w:rFonts w:hint="eastAsia" w:ascii="Times New Roman" w:hAnsi="Times New Roman" w:cs="Times New Roman"/>
          <w:highlight w:val="none"/>
        </w:rPr>
        <w:t>于印发《乌鲁木齐市实施15年免费教育资金管理暂行办法的通知》，文件规定幼儿园保教费</w:t>
      </w:r>
      <w:r>
        <w:rPr>
          <w:rFonts w:hint="eastAsia" w:ascii="Times New Roman" w:hAnsi="Times New Roman" w:cs="Times New Roman"/>
          <w:highlight w:val="none"/>
          <w:lang w:val="en-US" w:eastAsia="zh-CN"/>
        </w:rPr>
        <w:t>2624元/生/年、</w:t>
      </w:r>
      <w:r>
        <w:rPr>
          <w:rFonts w:hint="eastAsia" w:ascii="Times New Roman" w:hAnsi="Times New Roman" w:cs="Times New Roman"/>
          <w:highlight w:val="none"/>
        </w:rPr>
        <w:t>伙食费</w:t>
      </w:r>
      <w:r>
        <w:rPr>
          <w:rFonts w:hint="eastAsia" w:ascii="Times New Roman" w:hAnsi="Times New Roman" w:cs="Times New Roman"/>
          <w:highlight w:val="none"/>
          <w:lang w:val="en-US" w:eastAsia="zh-CN"/>
        </w:rPr>
        <w:t>220</w:t>
      </w:r>
      <w:r>
        <w:rPr>
          <w:rFonts w:hint="eastAsia" w:ascii="Times New Roman" w:hAnsi="Times New Roman" w:cs="Times New Roman"/>
          <w:highlight w:val="none"/>
        </w:rPr>
        <w:t>元/生/月，按照9个月计算，年报数据为</w:t>
      </w:r>
      <w:r>
        <w:rPr>
          <w:rFonts w:hint="eastAsia" w:ascii="Times New Roman" w:hAnsi="Times New Roman" w:cs="Times New Roman"/>
          <w:highlight w:val="none"/>
          <w:lang w:val="en-US" w:eastAsia="zh-CN"/>
        </w:rPr>
        <w:t>214人，助学金</w:t>
      </w:r>
      <w:r>
        <w:rPr>
          <w:rFonts w:hint="eastAsia" w:ascii="Times New Roman" w:hAnsi="Times New Roman" w:cs="Times New Roman"/>
          <w:highlight w:val="none"/>
        </w:rPr>
        <w:t>（21</w:t>
      </w:r>
      <w:r>
        <w:rPr>
          <w:rFonts w:hint="eastAsia" w:ascii="Times New Roman" w:hAnsi="Times New Roman" w:cs="Times New Roman"/>
          <w:highlight w:val="none"/>
          <w:lang w:val="en-US" w:eastAsia="zh-CN"/>
        </w:rPr>
        <w:t>4</w:t>
      </w:r>
      <w:r>
        <w:rPr>
          <w:rFonts w:hint="eastAsia" w:ascii="Times New Roman" w:hAnsi="Times New Roman" w:cs="Times New Roman"/>
          <w:highlight w:val="none"/>
        </w:rPr>
        <w:t>人*</w:t>
      </w:r>
      <w:r>
        <w:rPr>
          <w:rFonts w:hint="eastAsia" w:ascii="Times New Roman" w:hAnsi="Times New Roman" w:cs="Times New Roman"/>
          <w:highlight w:val="none"/>
          <w:lang w:val="en-US" w:eastAsia="zh-CN"/>
        </w:rPr>
        <w:t>220</w:t>
      </w:r>
      <w:r>
        <w:rPr>
          <w:rFonts w:hint="eastAsia" w:ascii="Times New Roman" w:hAnsi="Times New Roman" w:cs="Times New Roman"/>
          <w:highlight w:val="none"/>
        </w:rPr>
        <w:t>月*9月</w:t>
      </w:r>
      <w:r>
        <w:rPr>
          <w:rFonts w:hint="eastAsia" w:ascii="Times New Roman" w:hAnsi="Times New Roman" w:cs="Times New Roman"/>
          <w:highlight w:val="none"/>
          <w:lang w:val="en-US" w:eastAsia="zh-CN"/>
        </w:rPr>
        <w:t>=42.37万元</w:t>
      </w:r>
      <w:r>
        <w:rPr>
          <w:rFonts w:hint="eastAsia" w:ascii="Times New Roman" w:hAnsi="Times New Roman" w:cs="Times New Roman"/>
          <w:highlight w:val="none"/>
        </w:rPr>
        <w:t>）</w:t>
      </w:r>
      <w:r>
        <w:rPr>
          <w:rFonts w:hint="eastAsia" w:ascii="Times New Roman" w:hAnsi="Times New Roman" w:cs="Times New Roman"/>
          <w:highlight w:val="none"/>
          <w:lang w:eastAsia="zh-CN"/>
        </w:rPr>
        <w:t>公用经费（</w:t>
      </w:r>
      <w:r>
        <w:rPr>
          <w:rFonts w:hint="eastAsia" w:ascii="Times New Roman" w:hAnsi="Times New Roman" w:cs="Times New Roman"/>
          <w:highlight w:val="none"/>
          <w:lang w:val="en-US" w:eastAsia="zh-CN"/>
        </w:rPr>
        <w:t>214*2624=56.15万元</w:t>
      </w:r>
      <w:r>
        <w:rPr>
          <w:rFonts w:hint="eastAsia" w:ascii="Times New Roman" w:hAnsi="Times New Roman" w:cs="Times New Roman"/>
          <w:highlight w:val="none"/>
          <w:lang w:eastAsia="zh-CN"/>
        </w:rPr>
        <w:t>）合计</w:t>
      </w:r>
      <w:r>
        <w:rPr>
          <w:rFonts w:hint="eastAsia" w:ascii="Times New Roman" w:hAnsi="Times New Roman" w:cs="Times New Roman"/>
          <w:highlight w:val="none"/>
          <w:lang w:val="en-US" w:eastAsia="zh-CN"/>
        </w:rPr>
        <w:t>98.52万元</w:t>
      </w:r>
      <w:r>
        <w:rPr>
          <w:rFonts w:hint="eastAsia" w:ascii="Times New Roman" w:hAnsi="Times New Roman" w:cs="Times New Roman"/>
          <w:highlight w:val="none"/>
        </w:rPr>
        <w:t>。</w:t>
      </w:r>
      <w:r>
        <w:rPr>
          <w:rFonts w:hint="eastAsia" w:ascii="Times New Roman" w:hAnsi="Times New Roman" w:cs="Times New Roman"/>
          <w:highlight w:val="none"/>
          <w:lang w:eastAsia="zh-CN"/>
        </w:rPr>
        <w:t>该项目截止</w:t>
      </w:r>
      <w:r>
        <w:rPr>
          <w:rFonts w:hint="eastAsia" w:ascii="Times New Roman" w:hAnsi="Times New Roman" w:cs="Times New Roman"/>
          <w:highlight w:val="none"/>
          <w:lang w:val="en-US" w:eastAsia="zh-CN"/>
        </w:rPr>
        <w:t>2022年12月31日，</w:t>
      </w:r>
      <w:r>
        <w:rPr>
          <w:rFonts w:hint="eastAsia" w:ascii="Times New Roman" w:hAnsi="Times New Roman" w:cs="Times New Roman"/>
          <w:szCs w:val="28"/>
          <w:lang w:val="en-US" w:eastAsia="zh-CN"/>
        </w:rPr>
        <w:t>因疫情影响原因（8月份封控，12月全市逐步解封），</w:t>
      </w:r>
      <w:r>
        <w:rPr>
          <w:rFonts w:hint="eastAsia" w:ascii="Times New Roman" w:hAnsi="Times New Roman" w:cs="Times New Roman"/>
          <w:highlight w:val="none"/>
          <w:lang w:val="en-US" w:eastAsia="zh-CN"/>
        </w:rPr>
        <w:t>公用经费支出23.18万元，助学金支出16.71万元，共计39.89万元，全年预算执行率40.49%，基本达到预期效果。</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rPr>
      </w:pPr>
      <w:r>
        <w:rPr>
          <w:rFonts w:hint="default" w:ascii="Times New Roman" w:hAnsi="Times New Roman" w:cs="Times New Roman"/>
        </w:rPr>
        <w:t>结合项目特点，制定符合项目实际的绩效评价指标体系及评分标准，通过数据采集、问卷调查及访谈等形式，对2022年</w:t>
      </w:r>
      <w:r>
        <w:rPr>
          <w:rFonts w:hint="eastAsia" w:ascii="Times New Roman" w:hAnsi="Times New Roman" w:cs="Times New Roman"/>
        </w:rPr>
        <w:t>乌鲁木齐县</w:t>
      </w:r>
      <w:r>
        <w:rPr>
          <w:rFonts w:hint="eastAsia" w:ascii="Times New Roman" w:hAnsi="Times New Roman" w:cs="Times New Roman"/>
          <w:lang w:eastAsia="zh-CN"/>
        </w:rPr>
        <w:t>学前教育</w:t>
      </w:r>
      <w:r>
        <w:rPr>
          <w:rFonts w:hint="eastAsia" w:ascii="Times New Roman" w:hAnsi="Times New Roman" w:cs="Times New Roman"/>
        </w:rPr>
        <w:t>保障机制经费</w:t>
      </w:r>
      <w:r>
        <w:rPr>
          <w:rFonts w:hint="default" w:ascii="Times New Roman" w:hAnsi="Times New Roman" w:cs="Times New Roman"/>
        </w:rPr>
        <w:t>进行客观评价，最终评分结果为：总分为</w:t>
      </w:r>
      <w:r>
        <w:rPr>
          <w:rFonts w:hint="eastAsia" w:ascii="Times New Roman" w:hAnsi="Times New Roman" w:cs="Times New Roman"/>
          <w:lang w:val="en-US" w:eastAsia="zh-CN"/>
        </w:rPr>
        <w:t>97.02</w:t>
      </w:r>
      <w:r>
        <w:rPr>
          <w:rFonts w:hint="default" w:ascii="Times New Roman" w:hAnsi="Times New Roman" w:cs="Times New Roman"/>
        </w:rPr>
        <w:t>分，绩效评级为“</w:t>
      </w:r>
      <w:r>
        <w:rPr>
          <w:rFonts w:hint="eastAsia" w:ascii="Times New Roman" w:hAnsi="Times New Roman" w:cs="Times New Roman"/>
          <w:lang w:eastAsia="zh-CN"/>
        </w:rPr>
        <w:t>优秀</w:t>
      </w:r>
      <w:r>
        <w:rPr>
          <w:rFonts w:hint="default" w:ascii="Times New Roman" w:hAnsi="Times New Roman" w:cs="Times New Roman"/>
        </w:rPr>
        <w:t>”</w:t>
      </w:r>
      <w:r>
        <w:rPr>
          <w:rFonts w:hint="default" w:ascii="Times New Roman" w:hAnsi="Times New Roman" w:cs="Times New Roman"/>
        </w:rPr>
        <w:footnoteReference w:id="1"/>
      </w:r>
      <w:r>
        <w:rPr>
          <w:rFonts w:hint="default" w:ascii="Times New Roman" w:hAnsi="Times New Roman" w:cs="Times New Roman"/>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highlight w:val="none"/>
        </w:rPr>
        <w:t>项目各部分权重和绩效分值如附表所示：</w:t>
      </w:r>
    </w:p>
    <w:p>
      <w:pPr>
        <w:spacing w:line="360" w:lineRule="auto"/>
        <w:ind w:firstLine="0" w:firstLineChars="0"/>
        <w:jc w:val="center"/>
        <w:rPr>
          <w:rFonts w:hint="eastAsia" w:ascii="Times New Roman" w:hAnsi="Times New Roman" w:eastAsia="仿宋_GB2312" w:cs="Times New Roman"/>
          <w:b/>
          <w:bCs/>
          <w:szCs w:val="28"/>
          <w:lang w:eastAsia="zh-CN"/>
        </w:rPr>
      </w:pPr>
      <w:r>
        <w:rPr>
          <w:rFonts w:hint="default" w:ascii="Times New Roman" w:hAnsi="Times New Roman" w:cs="Times New Roman"/>
          <w:b/>
          <w:bCs/>
          <w:szCs w:val="28"/>
        </w:rPr>
        <w:t xml:space="preserve">  项目各部分权重和绩效分</w:t>
      </w:r>
      <w:r>
        <w:rPr>
          <w:rFonts w:hint="eastAsia" w:ascii="Times New Roman" w:hAnsi="Times New Roman" w:cs="Times New Roman"/>
          <w:b/>
          <w:bCs/>
          <w:szCs w:val="28"/>
          <w:lang w:eastAsia="zh-CN"/>
        </w:rPr>
        <w:t>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2.02</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40.5%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eastAsia" w:ascii="仿宋_GB2312" w:hAnsi="仿宋_GB2312" w:eastAsia="仿宋_GB2312" w:cs="仿宋_GB2312"/>
                <w:kern w:val="0"/>
                <w:sz w:val="22"/>
                <w:szCs w:val="22"/>
                <w:highlight w:val="none"/>
                <w:lang w:eastAsia="zh-CN"/>
              </w:rPr>
            </w:pPr>
            <w:r>
              <w:rPr>
                <w:rFonts w:hint="eastAsia" w:ascii="仿宋_GB2312" w:hAnsi="仿宋_GB2312" w:eastAsia="仿宋_GB2312" w:cs="仿宋_GB2312"/>
                <w:kern w:val="0"/>
                <w:sz w:val="22"/>
                <w:szCs w:val="22"/>
                <w:highlight w:val="none"/>
                <w:lang w:eastAsia="zh-CN"/>
              </w:rPr>
              <w:t>接收学前三年教育惠及幼儿人数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eastAsia" w:ascii="仿宋_GB2312" w:hAnsi="仿宋_GB2312" w:eastAsia="仿宋_GB2312" w:cs="仿宋_GB2312"/>
                <w:kern w:val="0"/>
                <w:sz w:val="22"/>
                <w:szCs w:val="22"/>
                <w:lang w:eastAsia="zh-CN"/>
              </w:rPr>
            </w:pPr>
            <w:r>
              <w:rPr>
                <w:rFonts w:hint="eastAsia" w:ascii="仿宋_GB2312" w:hAnsi="仿宋_GB2312" w:eastAsia="仿宋_GB2312" w:cs="仿宋_GB2312"/>
                <w:color w:val="000000"/>
                <w:kern w:val="0"/>
                <w:sz w:val="22"/>
                <w:szCs w:val="22"/>
                <w:lang w:eastAsia="zh-CN"/>
              </w:rPr>
              <w:t>享受学前教育学校数量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highlight w:val="none"/>
              </w:rPr>
            </w:pPr>
            <w:r>
              <w:rPr>
                <w:rFonts w:hint="eastAsia" w:ascii="仿宋_GB2312" w:hAnsi="仿宋_GB2312" w:eastAsia="仿宋_GB2312" w:cs="仿宋_GB2312"/>
                <w:color w:val="000000"/>
                <w:kern w:val="0"/>
                <w:sz w:val="22"/>
                <w:szCs w:val="22"/>
                <w:highlight w:val="none"/>
                <w:lang w:eastAsia="zh-CN"/>
              </w:rPr>
              <w:t>国家通用语言覆盖率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color w:val="000000"/>
                <w:kern w:val="0"/>
                <w:sz w:val="22"/>
                <w:szCs w:val="22"/>
                <w:highlight w:val="none"/>
                <w:lang w:eastAsia="zh-CN"/>
              </w:rPr>
            </w:pPr>
            <w:r>
              <w:rPr>
                <w:rFonts w:hint="eastAsia" w:ascii="仿宋_GB2312" w:hAnsi="仿宋_GB2312" w:eastAsia="仿宋_GB2312" w:cs="仿宋_GB2312"/>
                <w:color w:val="000000"/>
                <w:kern w:val="0"/>
                <w:sz w:val="22"/>
                <w:szCs w:val="22"/>
                <w:highlight w:val="none"/>
                <w:lang w:eastAsia="zh-CN"/>
              </w:rPr>
              <w:t>农村学前三年免费教育幼儿园入园率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highlight w:val="none"/>
              </w:rPr>
            </w:pPr>
            <w:r>
              <w:rPr>
                <w:rFonts w:hint="eastAsia" w:ascii="仿宋_GB2312" w:hAnsi="仿宋_GB2312" w:eastAsia="仿宋_GB2312" w:cs="仿宋_GB2312"/>
                <w:color w:val="000000"/>
                <w:kern w:val="0"/>
                <w:sz w:val="22"/>
                <w:szCs w:val="22"/>
                <w:highlight w:val="none"/>
                <w:lang w:eastAsia="zh-CN"/>
              </w:rPr>
              <w:t>项目完成</w:t>
            </w:r>
            <w:r>
              <w:rPr>
                <w:rFonts w:hint="eastAsia" w:ascii="仿宋_GB2312" w:hAnsi="仿宋_GB2312" w:eastAsia="仿宋_GB2312" w:cs="仿宋_GB2312"/>
                <w:color w:val="000000"/>
                <w:kern w:val="0"/>
                <w:sz w:val="22"/>
                <w:szCs w:val="22"/>
                <w:highlight w:val="none"/>
              </w:rPr>
              <w:t>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rPr>
            </w:pPr>
            <w:r>
              <w:rPr>
                <w:rFonts w:hint="eastAsia" w:ascii="仿宋_GB2312" w:hAnsi="仿宋_GB2312" w:eastAsia="仿宋_GB2312" w:cs="仿宋_GB2312"/>
                <w:color w:val="000000"/>
                <w:kern w:val="0"/>
                <w:sz w:val="22"/>
                <w:szCs w:val="22"/>
                <w:lang w:eastAsia="zh-CN"/>
              </w:rPr>
              <w:t>成本</w:t>
            </w:r>
            <w:r>
              <w:rPr>
                <w:rFonts w:hint="eastAsia" w:ascii="仿宋_GB2312" w:hAnsi="仿宋_GB2312" w:eastAsia="仿宋_GB2312" w:cs="仿宋_GB2312"/>
                <w:color w:val="000000"/>
                <w:kern w:val="0"/>
                <w:sz w:val="22"/>
                <w:szCs w:val="22"/>
              </w:rPr>
              <w:t>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社会</w:t>
            </w:r>
            <w:r>
              <w:rPr>
                <w:rFonts w:hint="default" w:ascii="Times New Roman" w:hAnsi="Times New Roman" w:cs="Times New Roman"/>
                <w:kern w:val="0"/>
                <w:sz w:val="24"/>
                <w:szCs w:val="24"/>
                <w:highlight w:val="none"/>
              </w:rPr>
              <w:t>效益</w:t>
            </w:r>
            <w:r>
              <w:rPr>
                <w:rFonts w:hint="eastAsia" w:ascii="Times New Roman" w:hAnsi="Times New Roman" w:cs="Times New Roman"/>
                <w:kern w:val="0"/>
                <w:sz w:val="24"/>
                <w:szCs w:val="24"/>
                <w:highlight w:val="none"/>
                <w:lang w:val="en-US" w:eastAsia="zh-CN"/>
              </w:rPr>
              <w:t>指标</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highlight w:val="none"/>
                <w:lang w:eastAsia="zh-CN"/>
              </w:rPr>
            </w:pPr>
            <w:r>
              <w:rPr>
                <w:rFonts w:hint="eastAsia" w:ascii="仿宋_GB2312" w:hAnsi="仿宋_GB2312" w:eastAsia="仿宋_GB2312" w:cs="仿宋_GB2312"/>
                <w:color w:val="000000"/>
                <w:kern w:val="0"/>
                <w:sz w:val="22"/>
                <w:szCs w:val="22"/>
                <w:highlight w:val="none"/>
                <w:lang w:eastAsia="zh-CN"/>
              </w:rPr>
              <w:t>落实教育惠民政策率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lang w:eastAsia="zh-CN"/>
              </w:rPr>
            </w:pPr>
            <w:r>
              <w:rPr>
                <w:rFonts w:hint="eastAsia" w:ascii="仿宋_GB2312" w:hAnsi="仿宋_GB2312" w:eastAsia="仿宋_GB2312" w:cs="仿宋_GB2312"/>
                <w:color w:val="000000"/>
                <w:kern w:val="0"/>
                <w:sz w:val="22"/>
                <w:szCs w:val="22"/>
                <w:lang w:eastAsia="zh-CN"/>
              </w:rPr>
              <w:t>减轻我县农牧民家庭经济负担</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eastAsia="zh-CN"/>
              </w:rPr>
              <w:t>家长</w:t>
            </w:r>
            <w:r>
              <w:rPr>
                <w:rFonts w:hint="eastAsia" w:ascii="仿宋_GB2312" w:hAnsi="仿宋_GB2312" w:eastAsia="仿宋_GB2312" w:cs="仿宋_GB2312"/>
                <w:color w:val="000000"/>
                <w:kern w:val="0"/>
                <w:sz w:val="22"/>
                <w:szCs w:val="22"/>
              </w:rPr>
              <w:t>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97.02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97.02%</w:t>
            </w:r>
          </w:p>
        </w:tc>
      </w:tr>
    </w:tbl>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w:t>
      </w:r>
      <w:bookmarkEnd w:id="27"/>
      <w:bookmarkEnd w:id="28"/>
      <w:r>
        <w:rPr>
          <w:rFonts w:hint="default" w:ascii="Times New Roman" w:hAnsi="Times New Roman" w:eastAsia="仿宋" w:cs="Times New Roman"/>
          <w:sz w:val="32"/>
          <w:szCs w:val="32"/>
          <w:lang w:val="en-US" w:eastAsia="zh-CN" w:bidi="en-US"/>
        </w:rPr>
        <w:t>绩效</w:t>
      </w:r>
    </w:p>
    <w:p>
      <w:pPr>
        <w:spacing w:line="360" w:lineRule="auto"/>
        <w:ind w:firstLine="560" w:firstLineChars="0"/>
        <w:rPr>
          <w:rFonts w:hint="eastAsia" w:ascii="Times New Roman" w:hAnsi="Times New Roman" w:cs="Times New Roman"/>
        </w:rPr>
      </w:pPr>
      <w:r>
        <w:rPr>
          <w:rFonts w:hint="eastAsia" w:ascii="Times New Roman" w:hAnsi="Times New Roman" w:cs="Times New Roman"/>
        </w:rPr>
        <w:t>该项目资金区财政及时拨付，全面普及农村学前三年免费教育，保障了我县幼儿园各项工作正常运转，做到了适龄幼儿应入尽入，学前经费应保尽保，规范并优化了幼儿园办园环境，提升了办园品质，促进幼儿园向内函发展，为幼儿的健康发展营造了一个有力量的，可以互动的环境。受到幼儿家长的一致好评。202</w:t>
      </w:r>
      <w:r>
        <w:rPr>
          <w:rFonts w:hint="eastAsia" w:ascii="Times New Roman" w:hAnsi="Times New Roman" w:cs="Times New Roman"/>
          <w:lang w:val="en-US" w:eastAsia="zh-CN"/>
        </w:rPr>
        <w:t>2</w:t>
      </w:r>
      <w:r>
        <w:rPr>
          <w:rFonts w:hint="eastAsia" w:ascii="Times New Roman" w:hAnsi="Times New Roman" w:cs="Times New Roman"/>
        </w:rPr>
        <w:t>年乌鲁木齐县幼儿园保障机制经费财政下拨</w:t>
      </w:r>
      <w:r>
        <w:rPr>
          <w:rFonts w:hint="eastAsia" w:ascii="Times New Roman" w:hAnsi="Times New Roman" w:cs="Times New Roman"/>
          <w:lang w:val="en-US" w:eastAsia="zh-CN"/>
        </w:rPr>
        <w:t>98.52</w:t>
      </w:r>
      <w:r>
        <w:rPr>
          <w:rFonts w:hint="eastAsia" w:ascii="Times New Roman" w:hAnsi="Times New Roman" w:cs="Times New Roman"/>
        </w:rPr>
        <w:t>万元，（其中学前教育保障机制幼儿伙食费</w:t>
      </w:r>
      <w:r>
        <w:rPr>
          <w:rFonts w:hint="eastAsia" w:ascii="Times New Roman" w:hAnsi="Times New Roman" w:cs="Times New Roman"/>
          <w:lang w:val="en-US" w:eastAsia="zh-CN"/>
        </w:rPr>
        <w:t>42.37</w:t>
      </w:r>
      <w:r>
        <w:rPr>
          <w:rFonts w:hint="eastAsia" w:ascii="Times New Roman" w:hAnsi="Times New Roman" w:cs="Times New Roman"/>
        </w:rPr>
        <w:t>万元，学前教育保障机制公用经费</w:t>
      </w:r>
      <w:r>
        <w:rPr>
          <w:rFonts w:hint="eastAsia" w:ascii="Times New Roman" w:hAnsi="Times New Roman" w:cs="Times New Roman"/>
          <w:lang w:val="en-US" w:eastAsia="zh-CN"/>
        </w:rPr>
        <w:t>56.15</w:t>
      </w:r>
      <w:r>
        <w:rPr>
          <w:rFonts w:hint="eastAsia" w:ascii="Times New Roman" w:hAnsi="Times New Roman" w:cs="Times New Roman"/>
        </w:rPr>
        <w:t>万元），截至202</w:t>
      </w:r>
      <w:r>
        <w:rPr>
          <w:rFonts w:hint="eastAsia" w:ascii="Times New Roman" w:hAnsi="Times New Roman" w:cs="Times New Roman"/>
          <w:lang w:val="en-US" w:eastAsia="zh-CN"/>
        </w:rPr>
        <w:t>2</w:t>
      </w:r>
      <w:r>
        <w:rPr>
          <w:rFonts w:hint="eastAsia" w:ascii="Times New Roman" w:hAnsi="Times New Roman" w:cs="Times New Roman"/>
        </w:rPr>
        <w:t>年12月31日，学前教育保障机制经费共支出</w:t>
      </w:r>
      <w:r>
        <w:rPr>
          <w:rFonts w:hint="eastAsia" w:ascii="Times New Roman" w:hAnsi="Times New Roman" w:cs="Times New Roman"/>
          <w:lang w:val="en-US" w:eastAsia="zh-CN"/>
        </w:rPr>
        <w:t>39.89</w:t>
      </w:r>
      <w:r>
        <w:rPr>
          <w:rFonts w:hint="eastAsia" w:ascii="Times New Roman" w:hAnsi="Times New Roman" w:cs="Times New Roman"/>
        </w:rPr>
        <w:t>万元</w:t>
      </w:r>
      <w:r>
        <w:rPr>
          <w:rFonts w:hint="eastAsia" w:ascii="Times New Roman" w:hAnsi="Times New Roman" w:cs="Times New Roman"/>
          <w:lang w:eastAsia="zh-CN"/>
        </w:rPr>
        <w:t>，</w:t>
      </w:r>
      <w:r>
        <w:rPr>
          <w:rFonts w:hint="eastAsia" w:ascii="Times New Roman" w:hAnsi="Times New Roman" w:cs="Times New Roman"/>
        </w:rPr>
        <w:t>执行率为</w:t>
      </w:r>
      <w:r>
        <w:rPr>
          <w:rFonts w:hint="eastAsia" w:ascii="Times New Roman" w:hAnsi="Times New Roman" w:cs="Times New Roman"/>
          <w:lang w:val="en-US" w:eastAsia="zh-CN"/>
        </w:rPr>
        <w:t>40.49</w:t>
      </w:r>
      <w:r>
        <w:rPr>
          <w:rFonts w:hint="eastAsia" w:ascii="Times New Roman" w:hAnsi="Times New Roman" w:cs="Times New Roman"/>
        </w:rPr>
        <w:t>%。具体开支范围：1、伙食费开支：购买符合国家食品安全卫生达标的瓜果蔬菜、米面油、肉蛋奶等伙食材料，保证二餐二点。2、幼儿读本费开支范围：幼儿读本、教师用书、教学挂图、教学图片、教学资料包及教学光盘。3、保教费开支范围：水电暖费、交通差旅费、邮电费、图书资料费、园舍仪器设备的日常维护费及更新、炊具更新、购买低值易耗品、教师培训等。</w:t>
      </w:r>
    </w:p>
    <w:p>
      <w:pPr>
        <w:pStyle w:val="2"/>
        <w:rPr>
          <w:rFonts w:hint="eastAsia"/>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r>
        <w:rPr>
          <w:rFonts w:hint="default" w:ascii="Times New Roman" w:hAnsi="Times New Roman" w:eastAsia="仿宋" w:cs="Times New Roman"/>
          <w:sz w:val="36"/>
          <w:szCs w:val="36"/>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w:t>
      </w:r>
      <w:bookmarkEnd w:id="33"/>
      <w:r>
        <w:rPr>
          <w:rFonts w:hint="default" w:ascii="Times New Roman" w:hAnsi="Times New Roman" w:eastAsia="仿宋" w:cs="Times New Roman"/>
          <w:sz w:val="32"/>
          <w:szCs w:val="32"/>
          <w:lang w:bidi="en-US"/>
        </w:rPr>
        <w:t>立项</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w:t>
      </w:r>
      <w:bookmarkEnd w:id="34"/>
      <w:r>
        <w:rPr>
          <w:rFonts w:hint="default" w:ascii="Times New Roman" w:hAnsi="Times New Roman" w:eastAsia="仿宋" w:cs="Times New Roman"/>
          <w:sz w:val="32"/>
          <w:szCs w:val="32"/>
          <w:lang w:bidi="en-US"/>
        </w:rPr>
        <w:t>目标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2" w:firstLineChars="200"/>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Fonts w:hint="eastAsia" w:ascii="仿宋_GB2312" w:hAnsi="仿宋_GB2312" w:eastAsia="仿宋_GB2312" w:cs="仿宋_GB2312"/>
          <w:sz w:val="28"/>
          <w:szCs w:val="28"/>
        </w:rPr>
        <w:t>本单位年初编制《绩效目标申报表》，依据充分，项目的总体绩效目标为通过学前教育发展保障机制经费支出，保障了我县幼儿园正常运转，做到了适龄幼儿应入尽入，学前经费应保尽保，规范并优化了幼儿园办园环境，提升了办园品质。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spacing w:line="540" w:lineRule="exact"/>
        <w:ind w:firstLine="567"/>
        <w:rPr>
          <w:rFonts w:hint="eastAsia" w:ascii="Times New Roman" w:hAnsi="Times New Roman" w:cs="Times New Roman"/>
          <w:szCs w:val="28"/>
        </w:rPr>
      </w:pPr>
      <w:r>
        <w:rPr>
          <w:rFonts w:hint="default" w:ascii="Times New Roman" w:hAnsi="Times New Roman" w:cs="Times New Roman"/>
          <w:b/>
          <w:kern w:val="0"/>
          <w:szCs w:val="28"/>
        </w:rPr>
        <w:t>预算编</w:t>
      </w:r>
      <w:r>
        <w:rPr>
          <w:rFonts w:hint="default" w:ascii="Times New Roman" w:hAnsi="Times New Roman" w:cs="Times New Roman"/>
          <w:szCs w:val="28"/>
        </w:rPr>
        <w:t>制科学性：</w:t>
      </w:r>
      <w:r>
        <w:rPr>
          <w:rFonts w:hint="eastAsia" w:ascii="Times New Roman" w:hAnsi="Times New Roman" w:cs="Times New Roman"/>
          <w:szCs w:val="28"/>
        </w:rPr>
        <w:t>项目预算编制有明确的标准，资金与年度目标相适应，我</w:t>
      </w:r>
      <w:r>
        <w:rPr>
          <w:rFonts w:hint="eastAsia" w:ascii="Times New Roman" w:hAnsi="Times New Roman" w:cs="Times New Roman"/>
          <w:szCs w:val="28"/>
          <w:lang w:eastAsia="zh-CN"/>
        </w:rPr>
        <w:t>园</w:t>
      </w:r>
      <w:r>
        <w:rPr>
          <w:rFonts w:hint="eastAsia" w:ascii="Times New Roman" w:hAnsi="Times New Roman" w:cs="Times New Roman"/>
          <w:szCs w:val="28"/>
        </w:rPr>
        <w:t>严格按照关于印发《乌鲁木齐市实施15年免费教育资金管理暂行办法的通知》乌财教【2017】117号，文件规定幼儿园保教费</w:t>
      </w:r>
      <w:r>
        <w:rPr>
          <w:rFonts w:hint="eastAsia" w:ascii="Times New Roman" w:hAnsi="Times New Roman" w:cs="Times New Roman"/>
          <w:szCs w:val="28"/>
          <w:lang w:val="en-US" w:eastAsia="zh-CN"/>
        </w:rPr>
        <w:t>2624元</w:t>
      </w:r>
      <w:r>
        <w:rPr>
          <w:rFonts w:hint="eastAsia" w:ascii="Times New Roman" w:hAnsi="Times New Roman" w:cs="Times New Roman"/>
          <w:szCs w:val="28"/>
          <w:lang w:val="en-US" w:eastAsia="zh-CN"/>
        </w:rPr>
        <w:tab/>
      </w:r>
      <w:r>
        <w:rPr>
          <w:rFonts w:hint="eastAsia" w:ascii="Times New Roman" w:hAnsi="Times New Roman" w:cs="Times New Roman"/>
          <w:szCs w:val="28"/>
          <w:lang w:val="en-US" w:eastAsia="zh-CN"/>
        </w:rPr>
        <w:t>/生/年、</w:t>
      </w:r>
      <w:r>
        <w:rPr>
          <w:rFonts w:hint="eastAsia" w:ascii="Times New Roman" w:hAnsi="Times New Roman" w:cs="Times New Roman"/>
          <w:szCs w:val="28"/>
        </w:rPr>
        <w:t>伙食费</w:t>
      </w:r>
      <w:r>
        <w:rPr>
          <w:rFonts w:hint="eastAsia" w:ascii="Times New Roman" w:hAnsi="Times New Roman" w:cs="Times New Roman"/>
          <w:szCs w:val="28"/>
          <w:lang w:val="en-US" w:eastAsia="zh-CN"/>
        </w:rPr>
        <w:t>220</w:t>
      </w:r>
      <w:r>
        <w:rPr>
          <w:rFonts w:hint="eastAsia" w:ascii="Times New Roman" w:hAnsi="Times New Roman" w:cs="Times New Roman"/>
          <w:szCs w:val="28"/>
        </w:rPr>
        <w:t>元/生/月，按照9个月计算，年报数据为</w:t>
      </w:r>
      <w:r>
        <w:rPr>
          <w:rFonts w:hint="eastAsia" w:ascii="Times New Roman" w:hAnsi="Times New Roman" w:cs="Times New Roman"/>
          <w:szCs w:val="28"/>
          <w:lang w:val="en-US" w:eastAsia="zh-CN"/>
        </w:rPr>
        <w:t>214人。助学金</w:t>
      </w:r>
      <w:r>
        <w:rPr>
          <w:rFonts w:hint="eastAsia" w:ascii="Times New Roman" w:hAnsi="Times New Roman" w:cs="Times New Roman"/>
          <w:szCs w:val="28"/>
        </w:rPr>
        <w:t>（21</w:t>
      </w:r>
      <w:r>
        <w:rPr>
          <w:rFonts w:hint="eastAsia" w:ascii="Times New Roman" w:hAnsi="Times New Roman" w:cs="Times New Roman"/>
          <w:szCs w:val="28"/>
          <w:lang w:val="en-US" w:eastAsia="zh-CN"/>
        </w:rPr>
        <w:t>4</w:t>
      </w:r>
      <w:r>
        <w:rPr>
          <w:rFonts w:hint="eastAsia" w:ascii="Times New Roman" w:hAnsi="Times New Roman" w:cs="Times New Roman"/>
          <w:szCs w:val="28"/>
        </w:rPr>
        <w:t>人*</w:t>
      </w:r>
      <w:r>
        <w:rPr>
          <w:rFonts w:hint="eastAsia" w:ascii="Times New Roman" w:hAnsi="Times New Roman" w:cs="Times New Roman"/>
          <w:szCs w:val="28"/>
          <w:lang w:val="en-US" w:eastAsia="zh-CN"/>
        </w:rPr>
        <w:t>220</w:t>
      </w:r>
      <w:r>
        <w:rPr>
          <w:rFonts w:hint="eastAsia" w:ascii="Times New Roman" w:hAnsi="Times New Roman" w:cs="Times New Roman"/>
          <w:szCs w:val="28"/>
        </w:rPr>
        <w:t>月*9月</w:t>
      </w:r>
      <w:r>
        <w:rPr>
          <w:rFonts w:hint="eastAsia" w:ascii="Times New Roman" w:hAnsi="Times New Roman" w:cs="Times New Roman"/>
          <w:szCs w:val="28"/>
          <w:lang w:val="en-US" w:eastAsia="zh-CN"/>
        </w:rPr>
        <w:t>=42.37万元</w:t>
      </w:r>
      <w:r>
        <w:rPr>
          <w:rFonts w:hint="eastAsia" w:ascii="Times New Roman" w:hAnsi="Times New Roman" w:cs="Times New Roman"/>
          <w:szCs w:val="28"/>
        </w:rPr>
        <w:t>）</w:t>
      </w:r>
      <w:r>
        <w:rPr>
          <w:rFonts w:hint="eastAsia" w:ascii="Times New Roman" w:hAnsi="Times New Roman" w:cs="Times New Roman"/>
          <w:szCs w:val="28"/>
          <w:lang w:eastAsia="zh-CN"/>
        </w:rPr>
        <w:t>公用经费（</w:t>
      </w:r>
      <w:r>
        <w:rPr>
          <w:rFonts w:hint="eastAsia" w:ascii="Times New Roman" w:hAnsi="Times New Roman" w:cs="Times New Roman"/>
          <w:szCs w:val="28"/>
          <w:lang w:val="en-US" w:eastAsia="zh-CN"/>
        </w:rPr>
        <w:t>214*2624=56.15万元</w:t>
      </w:r>
      <w:r>
        <w:rPr>
          <w:rFonts w:hint="eastAsia" w:ascii="Times New Roman" w:hAnsi="Times New Roman" w:cs="Times New Roman"/>
          <w:szCs w:val="28"/>
          <w:lang w:eastAsia="zh-CN"/>
        </w:rPr>
        <w:t>）合计</w:t>
      </w:r>
      <w:r>
        <w:rPr>
          <w:rFonts w:hint="eastAsia" w:ascii="Times New Roman" w:hAnsi="Times New Roman" w:cs="Times New Roman"/>
          <w:szCs w:val="28"/>
          <w:lang w:val="en-US" w:eastAsia="zh-CN"/>
        </w:rPr>
        <w:t>98.52万元，</w:t>
      </w:r>
      <w:r>
        <w:rPr>
          <w:rFonts w:hint="eastAsia" w:ascii="Times New Roman" w:hAnsi="Times New Roman" w:cs="Times New Roman"/>
          <w:szCs w:val="28"/>
        </w:rPr>
        <w:t>故预算编制科学性指标得分3分。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cs="Times New Roman"/>
          <w:szCs w:val="28"/>
          <w:lang w:val="en-US" w:eastAsia="zh-CN"/>
        </w:rPr>
      </w:pPr>
      <w:r>
        <w:rPr>
          <w:rFonts w:hint="default" w:ascii="Times New Roman" w:hAnsi="Times New Roman" w:cs="Times New Roman"/>
          <w:b/>
          <w:bCs/>
        </w:rPr>
        <w:t>资金分配</w:t>
      </w:r>
      <w:r>
        <w:rPr>
          <w:rFonts w:hint="eastAsia" w:ascii="Times New Roman" w:hAnsi="Times New Roman" w:cs="Times New Roman"/>
          <w:b/>
          <w:bCs/>
          <w:lang w:eastAsia="zh-CN"/>
        </w:rPr>
        <w:t>合理性：</w:t>
      </w:r>
      <w:r>
        <w:rPr>
          <w:rFonts w:hint="eastAsia" w:ascii="Times New Roman" w:hAnsi="Times New Roman" w:cs="Times New Roman"/>
          <w:szCs w:val="28"/>
          <w:lang w:val="en-US" w:eastAsia="zh-CN"/>
        </w:rPr>
        <w:t>我单位项目预算资金有详细的测算依据，与单位实际相适应，2022年乌鲁木齐县幼儿园学前教育保障机制经费项目申请预算资金98.52万元，财政下拨98.52万元，拨付率100%。（其中学前教育保障机制幼儿伙食费42.37万元， 学前教育保障机制公用经费56.15万元），截至2022年12月31日，乌鲁木齐县幼儿园学前教育保障机制经费共支出39.89万元，执行率为40.49%。故资金分配合理性指标得分3分。</w:t>
      </w:r>
    </w:p>
    <w:p>
      <w:pPr>
        <w:autoSpaceDE w:val="0"/>
        <w:spacing w:line="600" w:lineRule="exact"/>
        <w:ind w:left="0" w:leftChars="0" w:firstLine="562" w:firstLineChars="200"/>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17.02</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资金到位</w:t>
      </w:r>
      <w:r>
        <w:rPr>
          <w:rFonts w:hint="eastAsia" w:ascii="Times New Roman" w:hAnsi="Times New Roman" w:cs="Times New Roman"/>
          <w:b/>
          <w:bCs/>
          <w:szCs w:val="28"/>
          <w:lang w:eastAsia="zh-CN"/>
        </w:rPr>
        <w:t>率：</w:t>
      </w:r>
      <w:r>
        <w:rPr>
          <w:rFonts w:hint="eastAsia" w:ascii="Times New Roman" w:hAnsi="Times New Roman" w:cs="Times New Roman"/>
          <w:szCs w:val="28"/>
        </w:rPr>
        <w:t>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eastAsia="zh-CN"/>
        </w:rPr>
        <w:t>乌鲁木齐县幼儿园学前教育保障机制经费</w:t>
      </w:r>
      <w:r>
        <w:rPr>
          <w:rFonts w:hint="eastAsia" w:ascii="Times New Roman" w:hAnsi="Times New Roman" w:cs="Times New Roman"/>
          <w:szCs w:val="28"/>
        </w:rPr>
        <w:t>项目申请预算资金</w:t>
      </w:r>
      <w:r>
        <w:rPr>
          <w:rFonts w:hint="eastAsia" w:ascii="Times New Roman" w:hAnsi="Times New Roman" w:cs="Times New Roman"/>
          <w:szCs w:val="28"/>
          <w:lang w:val="en-US" w:eastAsia="zh-CN"/>
        </w:rPr>
        <w:t>98.52</w:t>
      </w:r>
      <w:r>
        <w:rPr>
          <w:rFonts w:hint="eastAsia" w:ascii="Times New Roman" w:hAnsi="Times New Roman" w:cs="Times New Roman"/>
          <w:szCs w:val="28"/>
        </w:rPr>
        <w:t>万元，</w:t>
      </w:r>
      <w:r>
        <w:rPr>
          <w:rFonts w:hint="eastAsia" w:ascii="Times New Roman" w:hAnsi="Times New Roman" w:cs="Times New Roman"/>
          <w:szCs w:val="28"/>
          <w:lang w:val="en-US" w:eastAsia="zh-CN"/>
        </w:rPr>
        <w:t>2022年1月份</w:t>
      </w:r>
      <w:r>
        <w:rPr>
          <w:rFonts w:hint="eastAsia" w:ascii="Times New Roman" w:hAnsi="Times New Roman" w:cs="Times New Roman"/>
          <w:szCs w:val="28"/>
        </w:rPr>
        <w:t>财政下拨</w:t>
      </w:r>
      <w:r>
        <w:rPr>
          <w:rFonts w:hint="eastAsia" w:ascii="Times New Roman" w:hAnsi="Times New Roman" w:cs="Times New Roman"/>
          <w:szCs w:val="28"/>
          <w:lang w:val="en-US" w:eastAsia="zh-CN"/>
        </w:rPr>
        <w:t>98.52</w:t>
      </w:r>
      <w:r>
        <w:rPr>
          <w:rFonts w:hint="eastAsia" w:ascii="Times New Roman" w:hAnsi="Times New Roman" w:cs="Times New Roman"/>
          <w:szCs w:val="28"/>
        </w:rPr>
        <w:t>万元，资金到位率100%。。故资金到位率指标得分</w:t>
      </w:r>
      <w:r>
        <w:rPr>
          <w:rFonts w:hint="eastAsia" w:ascii="Times New Roman" w:hAnsi="Times New Roman" w:cs="Times New Roman"/>
          <w:szCs w:val="28"/>
          <w:lang w:val="en-US" w:eastAsia="zh-CN"/>
        </w:rPr>
        <w:t>5</w:t>
      </w:r>
      <w:r>
        <w:rPr>
          <w:rFonts w:hint="eastAsia" w:ascii="Times New Roman" w:hAnsi="Times New Roman" w:cs="Times New Roman"/>
          <w:szCs w:val="28"/>
        </w:rPr>
        <w:t>分。</w:t>
      </w:r>
    </w:p>
    <w:p>
      <w:pPr>
        <w:spacing w:line="360" w:lineRule="auto"/>
        <w:ind w:firstLine="562" w:firstLineChars="200"/>
        <w:rPr>
          <w:rFonts w:hint="eastAsia" w:ascii="Times New Roman" w:hAnsi="Times New Roman" w:cs="Times New Roman"/>
          <w:szCs w:val="28"/>
          <w:lang w:val="en-US" w:eastAsia="zh-CN"/>
        </w:rPr>
      </w:pPr>
      <w:r>
        <w:rPr>
          <w:rFonts w:hint="default" w:ascii="Times New Roman" w:hAnsi="Times New Roman" w:cs="Times New Roman"/>
          <w:b/>
          <w:bCs/>
          <w:szCs w:val="28"/>
        </w:rPr>
        <w:t>预算执行</w:t>
      </w:r>
      <w:r>
        <w:rPr>
          <w:rFonts w:hint="eastAsia" w:ascii="Times New Roman" w:hAnsi="Times New Roman" w:cs="Times New Roman"/>
          <w:b/>
          <w:bCs/>
          <w:szCs w:val="28"/>
          <w:lang w:eastAsia="zh-CN"/>
        </w:rPr>
        <w:t>率：</w:t>
      </w:r>
      <w:r>
        <w:rPr>
          <w:rFonts w:hint="eastAsia" w:ascii="Times New Roman" w:hAnsi="Times New Roman" w:cs="Times New Roman"/>
          <w:szCs w:val="28"/>
          <w:lang w:val="en-US" w:eastAsia="zh-CN"/>
        </w:rPr>
        <w:t>2022乌鲁木齐县幼儿园学前教育保障机制经费项目申请预算资金98.52万元，财政下拨98.52万元，资金到位率100%。截止2022年12月31日共支出39.89万元，预算执行率为40.49%。故预算执行率得分为2.03分。</w:t>
      </w:r>
    </w:p>
    <w:p>
      <w:pPr>
        <w:spacing w:line="360" w:lineRule="auto"/>
        <w:ind w:firstLine="560" w:firstLineChars="20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乌鲁木齐县幼儿园保障机制经费幼儿伙食费共计支出16.71万元，用于支付幼儿园2022年1-12月幼儿伙食费。购买符合国家食品安全卫生达标的瓜果蔬菜、米面油、肉蛋奶等伙食材料，保证二餐二点。</w:t>
      </w:r>
    </w:p>
    <w:p>
      <w:pPr>
        <w:spacing w:line="360" w:lineRule="auto"/>
        <w:ind w:firstLine="560" w:firstLineChars="200"/>
        <w:rPr>
          <w:rFonts w:hint="default" w:ascii="Times New Roman" w:hAnsi="Times New Roman" w:cs="Times New Roman"/>
          <w:b/>
          <w:bCs/>
          <w:szCs w:val="28"/>
        </w:rPr>
      </w:pPr>
      <w:r>
        <w:rPr>
          <w:rFonts w:hint="eastAsia" w:ascii="Times New Roman" w:hAnsi="Times New Roman" w:cs="Times New Roman"/>
          <w:szCs w:val="28"/>
          <w:lang w:val="en-US" w:eastAsia="zh-CN"/>
        </w:rPr>
        <w:t>学前教育保障机制公用经费共支出23.18万元，用于购置办公用品，玩具器材，支付水电费、电话费、维修费、培训费等。</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w:t>
      </w:r>
      <w:r>
        <w:rPr>
          <w:rFonts w:hint="eastAsia" w:ascii="Times New Roman" w:hAnsi="Times New Roman" w:cs="Times New Roman"/>
          <w:b/>
          <w:bCs/>
          <w:szCs w:val="28"/>
          <w:lang w:eastAsia="zh-CN"/>
        </w:rPr>
        <w:t>性：</w:t>
      </w:r>
      <w:r>
        <w:rPr>
          <w:rFonts w:hint="default" w:ascii="Times New Roman" w:hAnsi="Times New Roman" w:cs="Times New Roman"/>
          <w:szCs w:val="28"/>
        </w:rPr>
        <w:t>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10.02</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仿宋_GB2312" w:hAnsi="仿宋_GB2312" w:eastAsia="仿宋_GB2312" w:cs="仿宋_GB2312"/>
          <w:b w:val="0"/>
          <w:bCs w:val="0"/>
          <w:sz w:val="28"/>
          <w:szCs w:val="28"/>
          <w:highlight w:val="none"/>
          <w:lang w:eastAsia="zh-CN"/>
        </w:rPr>
        <w:t>乌鲁木齐县幼儿园</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仿宋_GB2312" w:hAnsi="仿宋_GB2312" w:eastAsia="仿宋_GB2312" w:cs="仿宋_GB2312"/>
          <w:b w:val="0"/>
          <w:bCs w:val="0"/>
          <w:sz w:val="28"/>
          <w:szCs w:val="28"/>
          <w:highlight w:val="none"/>
          <w:lang w:eastAsia="zh-CN"/>
        </w:rPr>
        <w:t>乌鲁木齐县幼儿园</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w:t>
      </w:r>
      <w:r>
        <w:rPr>
          <w:rFonts w:hint="eastAsia" w:ascii="Times New Roman" w:hAnsi="Times New Roman" w:cs="Times New Roman"/>
          <w:szCs w:val="28"/>
          <w:lang w:eastAsia="zh-CN"/>
        </w:rPr>
        <w:t>档</w:t>
      </w:r>
      <w:r>
        <w:rPr>
          <w:rFonts w:hint="default" w:ascii="Times New Roman" w:hAnsi="Times New Roman" w:cs="Times New Roman"/>
          <w:szCs w:val="28"/>
        </w:rPr>
        <w:t>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szCs w:val="28"/>
          <w:lang w:eastAsia="zh-CN"/>
        </w:rPr>
      </w:pPr>
      <w:bookmarkStart w:id="44" w:name="_Toc29718"/>
      <w:r>
        <w:rPr>
          <w:rFonts w:hint="eastAsia" w:ascii="Times New Roman" w:hAnsi="Times New Roman" w:cs="Times New Roman"/>
          <w:szCs w:val="28"/>
        </w:rPr>
        <w:t>数量指标“接受学前三年免费教育幼儿人数</w:t>
      </w:r>
      <w:r>
        <w:rPr>
          <w:rFonts w:hint="eastAsia" w:ascii="Times New Roman" w:hAnsi="Times New Roman" w:cs="Times New Roman"/>
          <w:szCs w:val="28"/>
          <w:lang w:val="en-US" w:eastAsia="zh-CN"/>
        </w:rPr>
        <w:t>214</w:t>
      </w:r>
      <w:r>
        <w:rPr>
          <w:rFonts w:hint="eastAsia" w:ascii="Times New Roman" w:hAnsi="Times New Roman" w:cs="Times New Roman"/>
          <w:szCs w:val="28"/>
        </w:rPr>
        <w:t>人”，202</w:t>
      </w:r>
      <w:r>
        <w:rPr>
          <w:rFonts w:hint="eastAsia" w:ascii="Times New Roman" w:hAnsi="Times New Roman" w:cs="Times New Roman"/>
          <w:szCs w:val="28"/>
          <w:lang w:val="en-US" w:eastAsia="zh-CN"/>
        </w:rPr>
        <w:t>2</w:t>
      </w:r>
      <w:r>
        <w:rPr>
          <w:rFonts w:hint="eastAsia" w:ascii="Times New Roman" w:hAnsi="Times New Roman" w:cs="Times New Roman"/>
          <w:szCs w:val="28"/>
        </w:rPr>
        <w:t>年我单位实际接受幼儿人数</w:t>
      </w:r>
      <w:r>
        <w:rPr>
          <w:rFonts w:hint="eastAsia" w:ascii="Times New Roman" w:hAnsi="Times New Roman" w:cs="Times New Roman"/>
          <w:szCs w:val="28"/>
          <w:lang w:val="en-US" w:eastAsia="zh-CN"/>
        </w:rPr>
        <w:t>214</w:t>
      </w:r>
      <w:r>
        <w:rPr>
          <w:rFonts w:hint="eastAsia" w:ascii="Times New Roman" w:hAnsi="Times New Roman" w:cs="Times New Roman"/>
          <w:szCs w:val="28"/>
        </w:rPr>
        <w:t>人</w:t>
      </w:r>
      <w:r>
        <w:rPr>
          <w:rFonts w:hint="eastAsia" w:ascii="Times New Roman" w:hAnsi="Times New Roman" w:cs="Times New Roman"/>
          <w:szCs w:val="28"/>
          <w:lang w:eastAsia="zh-CN"/>
        </w:rPr>
        <w:t>；</w:t>
      </w:r>
    </w:p>
    <w:bookmarkEnd w:id="44"/>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数量指标“</w:t>
      </w:r>
      <w:r>
        <w:rPr>
          <w:rFonts w:hint="eastAsia" w:ascii="Times New Roman" w:hAnsi="Times New Roman" w:cs="Times New Roman"/>
          <w:szCs w:val="28"/>
          <w:lang w:eastAsia="zh-CN"/>
        </w:rPr>
        <w:t>享受学前教育学校数量</w:t>
      </w:r>
      <w:r>
        <w:rPr>
          <w:rFonts w:hint="eastAsia" w:ascii="Times New Roman" w:hAnsi="Times New Roman" w:cs="Times New Roman"/>
          <w:szCs w:val="28"/>
        </w:rPr>
        <w:t>”的目标值是</w:t>
      </w:r>
      <w:r>
        <w:rPr>
          <w:rFonts w:hint="eastAsia" w:ascii="Times New Roman" w:hAnsi="Times New Roman" w:cs="Times New Roman"/>
          <w:szCs w:val="28"/>
          <w:lang w:val="en-US" w:eastAsia="zh-CN"/>
        </w:rPr>
        <w:t>1所</w:t>
      </w:r>
      <w:r>
        <w:rPr>
          <w:rFonts w:hint="eastAsia" w:ascii="Times New Roman" w:hAnsi="Times New Roman" w:cs="Times New Roman"/>
          <w:szCs w:val="28"/>
        </w:rPr>
        <w:t>，2022年度我单位</w:t>
      </w:r>
      <w:r>
        <w:rPr>
          <w:rFonts w:hint="eastAsia" w:ascii="Times New Roman" w:hAnsi="Times New Roman" w:cs="Times New Roman"/>
          <w:szCs w:val="28"/>
          <w:lang w:eastAsia="zh-CN"/>
        </w:rPr>
        <w:t>享受学前教育学校数量</w:t>
      </w:r>
      <w:r>
        <w:rPr>
          <w:rFonts w:hint="eastAsia" w:ascii="Times New Roman" w:hAnsi="Times New Roman" w:cs="Times New Roman"/>
          <w:szCs w:val="28"/>
          <w:lang w:val="en-US" w:eastAsia="zh-CN"/>
        </w:rPr>
        <w:t>1所，</w:t>
      </w:r>
    </w:p>
    <w:p>
      <w:pPr>
        <w:spacing w:line="360" w:lineRule="auto"/>
        <w:ind w:firstLine="560"/>
        <w:rPr>
          <w:rFonts w:hint="default" w:ascii="Times New Roman" w:hAnsi="Times New Roman" w:cs="Times New Roman"/>
          <w:bCs/>
          <w:szCs w:val="28"/>
          <w:lang w:val="en-US"/>
        </w:rPr>
      </w:pPr>
      <w:r>
        <w:rPr>
          <w:rFonts w:hint="eastAsia" w:ascii="仿宋_GB2312" w:hAnsi="仿宋_GB2312" w:eastAsia="仿宋_GB2312" w:cs="仿宋_GB2312"/>
          <w:b/>
          <w:bCs/>
          <w:sz w:val="28"/>
          <w:szCs w:val="28"/>
        </w:rPr>
        <w:t>实际完成率：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09"/>
      <w:r>
        <w:rPr>
          <w:rFonts w:hint="default" w:ascii="Times New Roman" w:hAnsi="Times New Roman" w:eastAsia="仿宋" w:cs="Times New Roman"/>
          <w:sz w:val="32"/>
          <w:szCs w:val="32"/>
          <w:lang w:bidi="en-US"/>
        </w:rPr>
        <w:t>2.产出质量</w:t>
      </w:r>
      <w:bookmarkEnd w:id="45"/>
    </w:p>
    <w:p>
      <w:pPr>
        <w:spacing w:line="360" w:lineRule="auto"/>
        <w:ind w:firstLine="560"/>
        <w:rPr>
          <w:rFonts w:hint="eastAsia" w:ascii="Times New Roman" w:hAnsi="Times New Roman" w:cs="Times New Roman"/>
          <w:szCs w:val="28"/>
          <w:lang w:eastAsia="zh-CN"/>
        </w:rPr>
      </w:pPr>
      <w:bookmarkStart w:id="46" w:name="_Toc100784610"/>
      <w:r>
        <w:rPr>
          <w:rFonts w:hint="eastAsia" w:ascii="Times New Roman" w:hAnsi="Times New Roman" w:cs="Times New Roman"/>
          <w:szCs w:val="28"/>
        </w:rPr>
        <w:t>质量指标“农村学前三年免费教育幼儿园入园率”的目标值为</w:t>
      </w:r>
      <w:r>
        <w:rPr>
          <w:rFonts w:hint="eastAsia" w:ascii="Times New Roman" w:hAnsi="Times New Roman" w:cs="Times New Roman"/>
          <w:szCs w:val="28"/>
          <w:lang w:val="en-US" w:eastAsia="zh-CN"/>
        </w:rPr>
        <w:t>98</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年实际幼儿入园率为</w:t>
      </w:r>
      <w:r>
        <w:rPr>
          <w:rFonts w:hint="eastAsia" w:ascii="Times New Roman" w:hAnsi="Times New Roman" w:cs="Times New Roman"/>
          <w:szCs w:val="28"/>
          <w:lang w:val="en-US" w:eastAsia="zh-CN"/>
        </w:rPr>
        <w:t>98</w:t>
      </w:r>
      <w:r>
        <w:rPr>
          <w:rFonts w:hint="eastAsia" w:ascii="Times New Roman" w:hAnsi="Times New Roman" w:cs="Times New Roman"/>
          <w:szCs w:val="28"/>
        </w:rPr>
        <w:t>%</w:t>
      </w:r>
      <w:r>
        <w:rPr>
          <w:rFonts w:hint="eastAsia" w:ascii="Times New Roman" w:hAnsi="Times New Roman" w:cs="Times New Roman"/>
          <w:szCs w:val="28"/>
          <w:lang w:eastAsia="zh-CN"/>
        </w:rPr>
        <w:t>；</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质量指标</w:t>
      </w:r>
      <w:r>
        <w:rPr>
          <w:rFonts w:hint="eastAsia" w:ascii="Times New Roman" w:hAnsi="Times New Roman" w:cs="Times New Roman"/>
          <w:szCs w:val="28"/>
          <w:lang w:eastAsia="zh-CN"/>
        </w:rPr>
        <w:t>“国家通用语言覆盖率”目标值</w:t>
      </w:r>
      <w:r>
        <w:rPr>
          <w:rFonts w:hint="eastAsia" w:ascii="Times New Roman" w:hAnsi="Times New Roman" w:cs="Times New Roman"/>
          <w:szCs w:val="28"/>
          <w:lang w:val="en-US" w:eastAsia="zh-CN"/>
        </w:rPr>
        <w:t>98%，</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实际完成值98%；</w:t>
      </w:r>
    </w:p>
    <w:p>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3.产出时效</w:t>
      </w:r>
      <w:bookmarkEnd w:id="46"/>
    </w:p>
    <w:p>
      <w:pPr>
        <w:spacing w:line="360" w:lineRule="auto"/>
        <w:ind w:firstLine="560"/>
        <w:rPr>
          <w:rFonts w:hint="eastAsia" w:ascii="Times New Roman" w:hAnsi="Times New Roman" w:cs="Times New Roman"/>
          <w:szCs w:val="28"/>
          <w:lang w:val="en-US" w:eastAsia="zh-CN"/>
        </w:rPr>
      </w:pPr>
      <w:bookmarkStart w:id="47" w:name="_Toc100784611"/>
      <w:r>
        <w:rPr>
          <w:rFonts w:hint="eastAsia" w:ascii="仿宋_GB2312" w:hAnsi="仿宋_GB2312" w:eastAsia="仿宋_GB2312" w:cs="仿宋_GB2312"/>
          <w:b/>
          <w:bCs/>
          <w:sz w:val="28"/>
          <w:szCs w:val="28"/>
          <w:highlight w:val="none"/>
          <w:lang w:eastAsia="zh-CN"/>
        </w:rPr>
        <w:t>完成及时性</w:t>
      </w:r>
      <w:r>
        <w:rPr>
          <w:rFonts w:hint="eastAsia" w:ascii="仿宋_GB2312" w:hAnsi="仿宋_GB2312" w:eastAsia="仿宋_GB2312" w:cs="仿宋_GB2312"/>
          <w:b w:val="0"/>
          <w:bCs w:val="0"/>
          <w:sz w:val="28"/>
          <w:szCs w:val="28"/>
          <w:highlight w:val="none"/>
          <w:lang w:eastAsia="zh-CN"/>
        </w:rPr>
        <w:t>：</w:t>
      </w:r>
      <w:r>
        <w:rPr>
          <w:rFonts w:hint="eastAsia" w:ascii="Times New Roman" w:hAnsi="Times New Roman" w:cs="Times New Roman"/>
          <w:szCs w:val="28"/>
          <w:lang w:val="en-US" w:eastAsia="zh-CN"/>
        </w:rPr>
        <w:t>本项目按照年初计划，已在规定的时间（2022年1月1日至2022年12月31日）完成。时效指标“项目完成及时率”的目标值为98%，完成率98%，财政下拨项目经费98.52万元，因疫情影响原因（8月份封控，12月全市逐步解封），实际完成率39.89万元。在幼儿园正常开园的时间内，我单位严格按照预算计划实施项目，剩余58.63万元未能及时支出，剩余资金年底财政收回。</w:t>
      </w:r>
    </w:p>
    <w:p>
      <w:pPr>
        <w:spacing w:line="360" w:lineRule="auto"/>
        <w:ind w:firstLine="560"/>
        <w:rPr>
          <w:rFonts w:hint="eastAsia" w:ascii="Times New Roman" w:hAnsi="Times New Roman" w:eastAsia="仿宋" w:cs="Times New Roman"/>
          <w:b w:val="0"/>
          <w:bCs w:val="0"/>
          <w:sz w:val="30"/>
          <w:szCs w:val="30"/>
          <w:highlight w:val="none"/>
          <w:lang w:eastAsia="zh-CN"/>
        </w:rPr>
      </w:pPr>
      <w:r>
        <w:rPr>
          <w:rFonts w:hint="default" w:ascii="Times New Roman" w:hAnsi="Times New Roman" w:cs="Times New Roman"/>
          <w:szCs w:val="28"/>
          <w:lang w:eastAsia="zh-CN"/>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r>
        <w:rPr>
          <w:rFonts w:hint="eastAsia" w:ascii="仿宋_GB2312" w:hAnsi="仿宋_GB2312" w:eastAsia="仿宋_GB2312" w:cs="仿宋_GB2312"/>
          <w:b w:val="0"/>
          <w:bCs w:val="0"/>
          <w:sz w:val="28"/>
          <w:szCs w:val="28"/>
          <w:highlight w:val="none"/>
          <w:lang w:eastAsia="zh-CN"/>
        </w:rPr>
        <w:t>。</w:t>
      </w:r>
    </w:p>
    <w:p>
      <w:pPr>
        <w:pStyle w:val="5"/>
        <w:keepNext/>
        <w:keepLines/>
        <w:pageBreakBefore w:val="0"/>
        <w:widowControl w:val="0"/>
        <w:numPr>
          <w:ilvl w:val="0"/>
          <w:numId w:val="1"/>
        </w:numPr>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产出成本</w:t>
      </w:r>
      <w:bookmarkEnd w:id="47"/>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指标“成本控制率”的目标值为&lt;=3%，我单位2022年实际完成2%；成本节约率：我园严格控制教育经费支出，大兴勤俭节约之风，充分发挥教育经费的使用效益促进学校持续发展。乌鲁木齐县幼儿园保障机制经费98.52万元，资金到位及时。项目（1月-7月）正常开展，（8月份因疫情原因，项目经费未能及时支付）截止2022年12月31日共计支出经费39.89万元，项目无超支情况，故成本节约率得分为分10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8" w:name="_Toc100784612"/>
      <w:bookmarkStart w:id="49" w:name="_Toc67911615"/>
      <w:r>
        <w:rPr>
          <w:rFonts w:hint="default" w:ascii="Times New Roman" w:hAnsi="Times New Roman" w:eastAsia="仿宋" w:cs="Times New Roman"/>
          <w:sz w:val="32"/>
          <w:szCs w:val="32"/>
          <w:lang w:bidi="en-US"/>
        </w:rPr>
        <w:t>（四）项目效益情况</w:t>
      </w:r>
      <w:bookmarkEnd w:id="48"/>
      <w:bookmarkEnd w:id="4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7"/>
        <w:ind w:firstLine="643"/>
        <w:rPr>
          <w:rFonts w:hint="default" w:ascii="Times New Roman" w:hAnsi="Times New Roman" w:cs="Times New Roman"/>
        </w:rPr>
      </w:pPr>
      <w:bookmarkStart w:id="50" w:name="_Toc100784613"/>
      <w:r>
        <w:rPr>
          <w:rFonts w:hint="default" w:ascii="Times New Roman" w:hAnsi="Times New Roman" w:cs="Times New Roman"/>
        </w:rPr>
        <w:t>1.项目效益</w:t>
      </w:r>
      <w:bookmarkEnd w:id="50"/>
    </w:p>
    <w:p>
      <w:pPr>
        <w:spacing w:line="360" w:lineRule="auto"/>
        <w:ind w:firstLine="562"/>
        <w:rPr>
          <w:rFonts w:hint="eastAsia" w:ascii="Times New Roman" w:hAnsi="Times New Roman" w:cs="Times New Roman"/>
          <w:b/>
          <w:bCs/>
          <w:szCs w:val="28"/>
          <w:lang w:eastAsia="zh-CN"/>
        </w:rPr>
      </w:pPr>
      <w:r>
        <w:rPr>
          <w:rFonts w:hint="default" w:ascii="Times New Roman" w:hAnsi="Times New Roman" w:cs="Times New Roman"/>
          <w:b/>
          <w:bCs/>
          <w:szCs w:val="28"/>
        </w:rPr>
        <w:t>（1）实施</w:t>
      </w:r>
      <w:r>
        <w:rPr>
          <w:rFonts w:hint="eastAsia" w:ascii="Times New Roman" w:hAnsi="Times New Roman" w:cs="Times New Roman"/>
          <w:b/>
          <w:bCs/>
          <w:szCs w:val="28"/>
          <w:lang w:eastAsia="zh-CN"/>
        </w:rPr>
        <w:t>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lang w:val="en-US" w:eastAsia="zh-CN"/>
        </w:rPr>
        <w:t>评价指标“落实教育惠民政策率”，指标值：“&gt;=95%”，实际完成值：95%。评价指标“减轻农牧民家庭负担”，指标值：有效减轻，实际完成值：达成年度指标。本项目的实施障我辖区适龄幼儿免费接受学前三年教育，其细分为学前三年免费教育保障机制公用经费和学前三年免费教育幼儿园伙食费。年度预期目标全面普及农村学前三年免费教育，保障幼儿园各项工作正常运转，伙食费部分购买符合国家食品安全卫生达标的瓜果蔬菜、米面油、肉蛋奶等食材，保证二餐二点。公用经费主要支付水电暖费、维修费，培训费、购买办公用品、后勤材料、教学仪器设备等。学前三免费教育保障机制经费及幼儿园伙食费下达标准按在幼儿数5650/生/年。幼儿学前三年免费接受教育，大大减轻了农牧民家庭的经济负担，基本达到预期效果，指标完成率100%；深受广大农牧区欢迎，创造了良好的社会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不适用</w:t>
      </w:r>
      <w:r>
        <w:rPr>
          <w:rFonts w:hint="eastAsia" w:ascii="仿宋_GB2312" w:hAnsi="仿宋_GB2312" w:eastAsia="仿宋_GB2312" w:cs="仿宋_GB2312"/>
          <w:color w:val="auto"/>
          <w:sz w:val="28"/>
          <w:szCs w:val="28"/>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7"/>
        <w:ind w:firstLine="643"/>
        <w:rPr>
          <w:rFonts w:hint="default" w:ascii="Times New Roman" w:hAnsi="Times New Roman" w:cs="Times New Roman"/>
        </w:rPr>
      </w:pPr>
      <w:bookmarkStart w:id="51" w:name="_Toc100784614"/>
      <w:r>
        <w:rPr>
          <w:rFonts w:hint="default" w:ascii="Times New Roman" w:hAnsi="Times New Roman" w:cs="Times New Roman"/>
        </w:rPr>
        <w:t>2. 满意度指标完成情况分析</w:t>
      </w:r>
      <w:bookmarkEnd w:id="51"/>
    </w:p>
    <w:p>
      <w:pPr>
        <w:spacing w:line="360" w:lineRule="auto"/>
        <w:ind w:firstLine="562"/>
        <w:rPr>
          <w:rFonts w:hint="eastAsia" w:ascii="Times New Roman" w:hAnsi="Times New Roman" w:cs="Times New Roman"/>
          <w:b/>
          <w:bCs/>
          <w:szCs w:val="28"/>
          <w:lang w:eastAsia="zh-CN"/>
        </w:rPr>
      </w:pPr>
      <w:r>
        <w:rPr>
          <w:rFonts w:hint="default" w:ascii="Times New Roman" w:hAnsi="Times New Roman" w:cs="Times New Roman"/>
          <w:b/>
          <w:bCs/>
          <w:szCs w:val="28"/>
        </w:rPr>
        <w:t>（1）满意度指</w:t>
      </w:r>
      <w:r>
        <w:rPr>
          <w:rFonts w:hint="eastAsia" w:ascii="Times New Roman" w:hAnsi="Times New Roman" w:cs="Times New Roman"/>
          <w:b/>
          <w:bCs/>
          <w:szCs w:val="28"/>
          <w:lang w:eastAsia="zh-CN"/>
        </w:rPr>
        <w:t>标</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eastAsia="仿宋" w:cs="Times New Roman"/>
          <w:b/>
          <w:bCs/>
          <w:sz w:val="30"/>
          <w:szCs w:val="30"/>
          <w:highlight w:val="none"/>
          <w:lang w:eastAsia="zh-CN"/>
        </w:rPr>
        <w:t>服务对象满意度指标：</w:t>
      </w:r>
      <w:r>
        <w:rPr>
          <w:rFonts w:hint="eastAsia" w:ascii="Times New Roman" w:hAnsi="Times New Roman" w:cs="Times New Roman"/>
          <w:szCs w:val="28"/>
          <w:lang w:val="en-US" w:eastAsia="zh-CN"/>
        </w:rPr>
        <w:t>评价指标“家长满意度”，指标值：≥90%，实际完成值：完全达到预期效果。通过设置问卷调查的方式进行考评评价，共计调查样本总量为214个样本，有效调查问卷214份。其中，统计“满意度”的平均值为95%。故满意度指标得分为5分。</w:t>
      </w:r>
    </w:p>
    <w:p>
      <w:pPr>
        <w:autoSpaceDE w:val="0"/>
        <w:spacing w:line="600" w:lineRule="exact"/>
        <w:ind w:firstLine="562"/>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综上，该指标满分</w:t>
      </w:r>
      <w:r>
        <w:rPr>
          <w:rFonts w:hint="eastAsia" w:ascii="仿宋_GB2312" w:hAnsi="仿宋_GB2312" w:cs="仿宋_GB2312"/>
          <w:b/>
          <w:kern w:val="0"/>
          <w:sz w:val="28"/>
          <w:szCs w:val="28"/>
          <w:lang w:val="en-US" w:eastAsia="zh-CN"/>
        </w:rPr>
        <w:t>5</w:t>
      </w:r>
      <w:r>
        <w:rPr>
          <w:rFonts w:hint="eastAsia" w:ascii="仿宋_GB2312" w:hAnsi="仿宋_GB2312" w:eastAsia="仿宋_GB2312" w:cs="仿宋_GB2312"/>
          <w:b/>
          <w:kern w:val="0"/>
          <w:sz w:val="28"/>
          <w:szCs w:val="28"/>
        </w:rPr>
        <w:t>分，得分</w:t>
      </w:r>
      <w:r>
        <w:rPr>
          <w:rFonts w:hint="eastAsia" w:ascii="仿宋_GB2312" w:hAnsi="仿宋_GB2312" w:cs="仿宋_GB2312"/>
          <w:b/>
          <w:kern w:val="0"/>
          <w:sz w:val="28"/>
          <w:szCs w:val="28"/>
          <w:lang w:val="en-US" w:eastAsia="zh-CN"/>
        </w:rPr>
        <w:t>5</w:t>
      </w:r>
      <w:r>
        <w:rPr>
          <w:rFonts w:hint="eastAsia" w:ascii="仿宋_GB2312" w:hAnsi="仿宋_GB2312" w:eastAsia="仿宋_GB2312" w:cs="仿宋_GB2312"/>
          <w:b/>
          <w:kern w:val="0"/>
          <w:sz w:val="28"/>
          <w:szCs w:val="28"/>
        </w:rPr>
        <w:t>分。</w:t>
      </w:r>
    </w:p>
    <w:p>
      <w:pPr>
        <w:pStyle w:val="2"/>
        <w:rPr>
          <w:rFonts w:hint="eastAsia"/>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Times New Roman" w:hAnsi="Times New Roman" w:eastAsia="仿宋" w:cs="Times New Roman"/>
          <w:sz w:val="36"/>
          <w:szCs w:val="36"/>
          <w:lang w:eastAsia="zh-CN" w:bidi="en-US"/>
        </w:rPr>
      </w:pPr>
      <w:bookmarkStart w:id="52" w:name="_Toc67911616"/>
      <w:bookmarkStart w:id="53" w:name="_Toc100784615"/>
      <w:r>
        <w:rPr>
          <w:rFonts w:hint="default" w:ascii="Times New Roman" w:hAnsi="Times New Roman" w:eastAsia="仿宋" w:cs="Times New Roman"/>
          <w:sz w:val="36"/>
          <w:szCs w:val="36"/>
          <w:lang w:bidi="en-US"/>
        </w:rPr>
        <w:t>五、预算执行进度与绩效指标偏</w:t>
      </w:r>
      <w:bookmarkEnd w:id="52"/>
      <w:bookmarkEnd w:id="53"/>
      <w:r>
        <w:rPr>
          <w:rFonts w:hint="eastAsia" w:ascii="Times New Roman" w:hAnsi="Times New Roman" w:eastAsia="仿宋" w:cs="Times New Roman"/>
          <w:sz w:val="36"/>
          <w:szCs w:val="36"/>
          <w:lang w:eastAsia="zh-CN" w:bidi="en-US"/>
        </w:rPr>
        <w:t>差</w:t>
      </w:r>
    </w:p>
    <w:p>
      <w:pPr>
        <w:spacing w:line="360" w:lineRule="auto"/>
        <w:ind w:firstLine="562"/>
        <w:rPr>
          <w:rFonts w:hint="default" w:ascii="Times New Roman" w:hAnsi="Times New Roman" w:cs="Times New Roman"/>
          <w:szCs w:val="28"/>
          <w:lang w:val="en-US" w:eastAsia="zh-CN"/>
        </w:rPr>
      </w:pPr>
      <w:bookmarkStart w:id="54" w:name="_Toc100784616"/>
      <w:bookmarkStart w:id="55" w:name="_Toc67911617"/>
      <w:r>
        <w:rPr>
          <w:rFonts w:hint="eastAsia" w:ascii="Times New Roman" w:hAnsi="Times New Roman" w:cs="Times New Roman"/>
          <w:szCs w:val="28"/>
          <w:lang w:val="en-US" w:eastAsia="zh-CN"/>
        </w:rPr>
        <w:t>本项目预算执行率为40.49%，指标总体完成率为100%，二者之间的偏差值为59.5%，大于20%。此项目活动上半年正常开展，由于疫情严重，2022年8月全城封控管制，全体师生居家隔离， 12初才逐步解封，又因财政资金紧缺，该项目资金支出进度缓慢。在幼儿园正常开园期间，本项目仍较好地完成了年度总体目标，财政资金使用效益和效率较高。</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4"/>
      <w:bookmarkEnd w:id="55"/>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6" w:name="_Toc67911618"/>
      <w:bookmarkStart w:id="57" w:name="_Toc100784617"/>
      <w:r>
        <w:rPr>
          <w:rFonts w:hint="default" w:ascii="Times New Roman" w:hAnsi="Times New Roman" w:eastAsia="仿宋" w:cs="Times New Roman"/>
          <w:sz w:val="32"/>
          <w:szCs w:val="32"/>
          <w:lang w:bidi="en-US"/>
        </w:rPr>
        <w:t>（一）主要经验及做法</w:t>
      </w:r>
      <w:bookmarkEnd w:id="56"/>
      <w:bookmarkEnd w:id="57"/>
    </w:p>
    <w:p>
      <w:pPr>
        <w:spacing w:line="360" w:lineRule="auto"/>
        <w:ind w:firstLine="562"/>
        <w:rPr>
          <w:rFonts w:hint="eastAsia" w:ascii="Times New Roman" w:hAnsi="Times New Roman" w:cs="Times New Roman"/>
          <w:szCs w:val="28"/>
          <w:lang w:val="en-US" w:eastAsia="zh-CN"/>
        </w:rPr>
      </w:pPr>
      <w:bookmarkStart w:id="58" w:name="_Toc100784618"/>
      <w:r>
        <w:rPr>
          <w:rFonts w:hint="eastAsia" w:ascii="Times New Roman" w:hAnsi="Times New Roman" w:cs="Times New Roman"/>
          <w:szCs w:val="28"/>
          <w:lang w:val="en-US" w:eastAsia="zh-CN"/>
        </w:rPr>
        <w:t>1、及时做好2022年项目计划制定可行性方案并及时申报项目资金，做好项目的动态监管，切时做到专款专用，改善办学完条件。</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2.积极参加财务培训，提高专业技能。</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3.加强督导，提升保教质量。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8"/>
    </w:p>
    <w:p>
      <w:pPr>
        <w:spacing w:line="360" w:lineRule="auto"/>
        <w:ind w:firstLine="562"/>
        <w:rPr>
          <w:rFonts w:hint="eastAsia" w:ascii="Times New Roman" w:hAnsi="Times New Roman" w:cs="Times New Roman"/>
          <w:szCs w:val="28"/>
          <w:lang w:val="en-US" w:eastAsia="zh-CN"/>
        </w:rPr>
      </w:pPr>
      <w:bookmarkStart w:id="59" w:name="_Toc67911619"/>
      <w:bookmarkStart w:id="60" w:name="_Toc100784619"/>
      <w:r>
        <w:rPr>
          <w:rFonts w:hint="eastAsia" w:ascii="Times New Roman" w:hAnsi="Times New Roman" w:cs="Times New Roman"/>
          <w:szCs w:val="28"/>
          <w:lang w:val="en-US" w:eastAsia="zh-CN"/>
        </w:rPr>
        <w:t xml:space="preserve">1、部门职能不明确，个别工作分工不清晰，且人员培训和绩效考核制度不够完善。 </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2、部门资金支出进度普遍较低，对资金支出的控制力度不足。</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3、工程手续办理慢，影响了工程进度。建议简化工程手续；加大资金投入，全面改善学前教育办学条件。</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仿宋_GB2312" w:hAnsi="仿宋_GB2312" w:eastAsia="仿宋_GB2312" w:cs="仿宋_GB2312"/>
          <w:sz w:val="28"/>
          <w:szCs w:val="28"/>
          <w:lang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9"/>
      <w:bookmarkEnd w:id="60"/>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rPr>
        <w:t>1</w:t>
      </w:r>
      <w:r>
        <w:rPr>
          <w:rFonts w:hint="default" w:ascii="Times New Roman" w:hAnsi="Times New Roman" w:cs="Times New Roman"/>
          <w:szCs w:val="28"/>
          <w:lang w:val="en-US" w:eastAsia="zh-CN"/>
        </w:rPr>
        <w:t>.项目支出政策和路径设计科学，符合实际需要；</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2.项目安排准确，未发现背离项目立项初衷的情况；</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3.项目的申报、审核机制完善；</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4.未发现虚假行为和骗取财政资金的问题。</w:t>
      </w:r>
    </w:p>
    <w:p>
      <w:pPr>
        <w:pStyle w:val="5"/>
        <w:ind w:firstLine="0" w:firstLineChars="0"/>
        <w:jc w:val="left"/>
        <w:rPr>
          <w:rFonts w:hint="default" w:ascii="Times New Roman" w:hAnsi="Times New Roman" w:eastAsia="仿宋" w:cs="Times New Roman"/>
          <w:sz w:val="36"/>
          <w:szCs w:val="36"/>
          <w:lang w:bidi="en-US"/>
        </w:rPr>
      </w:pPr>
      <w:bookmarkStart w:id="61" w:name="_Toc100784620"/>
      <w:bookmarkStart w:id="62" w:name="_Toc67911620"/>
      <w:r>
        <w:rPr>
          <w:rFonts w:hint="default" w:ascii="Times New Roman" w:hAnsi="Times New Roman" w:eastAsia="仿宋" w:cs="Times New Roman"/>
          <w:sz w:val="36"/>
          <w:szCs w:val="36"/>
          <w:lang w:bidi="en-US"/>
        </w:rPr>
        <w:t>八、有关建议</w:t>
      </w:r>
      <w:bookmarkEnd w:id="61"/>
      <w:bookmarkEnd w:id="62"/>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pStyle w:val="5"/>
        <w:ind w:firstLine="0" w:firstLineChars="0"/>
        <w:jc w:val="left"/>
        <w:rPr>
          <w:rFonts w:hint="default" w:ascii="Calibri" w:hAnsi="Calibri" w:eastAsia="仿宋" w:cs="Calibri"/>
          <w:sz w:val="28"/>
          <w:szCs w:val="28"/>
          <w:lang w:bidi="en-US"/>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027D"/>
    <w:multiLevelType w:val="singleLevel"/>
    <w:tmpl w:val="D014027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BA528A"/>
    <w:rsid w:val="025D5B3B"/>
    <w:rsid w:val="02924A0E"/>
    <w:rsid w:val="02AD361F"/>
    <w:rsid w:val="02C848FD"/>
    <w:rsid w:val="040F6E8D"/>
    <w:rsid w:val="05D62E8D"/>
    <w:rsid w:val="06897EFF"/>
    <w:rsid w:val="0777244E"/>
    <w:rsid w:val="095E6402"/>
    <w:rsid w:val="09BF19C0"/>
    <w:rsid w:val="09E70F02"/>
    <w:rsid w:val="0ABD1C25"/>
    <w:rsid w:val="0AF425AB"/>
    <w:rsid w:val="0B8A4620"/>
    <w:rsid w:val="0C9E0034"/>
    <w:rsid w:val="0D6B6E48"/>
    <w:rsid w:val="0E8D759A"/>
    <w:rsid w:val="0FBC30F4"/>
    <w:rsid w:val="10344E31"/>
    <w:rsid w:val="123C49C0"/>
    <w:rsid w:val="128679E9"/>
    <w:rsid w:val="14531B4D"/>
    <w:rsid w:val="145D210A"/>
    <w:rsid w:val="16191CB6"/>
    <w:rsid w:val="179A60F6"/>
    <w:rsid w:val="189F64A2"/>
    <w:rsid w:val="18CB43A7"/>
    <w:rsid w:val="190D2FD3"/>
    <w:rsid w:val="19C15671"/>
    <w:rsid w:val="1A845156"/>
    <w:rsid w:val="1CEF24DD"/>
    <w:rsid w:val="1DF50BA2"/>
    <w:rsid w:val="1E07402E"/>
    <w:rsid w:val="1E183823"/>
    <w:rsid w:val="1E451A0D"/>
    <w:rsid w:val="205A2288"/>
    <w:rsid w:val="205C7FDB"/>
    <w:rsid w:val="217B0D9E"/>
    <w:rsid w:val="21C62F20"/>
    <w:rsid w:val="22574763"/>
    <w:rsid w:val="257007B0"/>
    <w:rsid w:val="25DB2EBC"/>
    <w:rsid w:val="26606A77"/>
    <w:rsid w:val="2683071F"/>
    <w:rsid w:val="29080D00"/>
    <w:rsid w:val="29167350"/>
    <w:rsid w:val="29373393"/>
    <w:rsid w:val="296460A4"/>
    <w:rsid w:val="2AE74CA7"/>
    <w:rsid w:val="2DFF6B75"/>
    <w:rsid w:val="2E6255AD"/>
    <w:rsid w:val="2EB36FD1"/>
    <w:rsid w:val="370D4805"/>
    <w:rsid w:val="37250D2B"/>
    <w:rsid w:val="395D29A2"/>
    <w:rsid w:val="399D7242"/>
    <w:rsid w:val="39F23A32"/>
    <w:rsid w:val="3A744447"/>
    <w:rsid w:val="3A99050D"/>
    <w:rsid w:val="3B1C362A"/>
    <w:rsid w:val="3C574020"/>
    <w:rsid w:val="3E361E88"/>
    <w:rsid w:val="3ECF2313"/>
    <w:rsid w:val="3F9329B7"/>
    <w:rsid w:val="41F106E5"/>
    <w:rsid w:val="43016A94"/>
    <w:rsid w:val="43AD2778"/>
    <w:rsid w:val="45544996"/>
    <w:rsid w:val="4BED22AB"/>
    <w:rsid w:val="4C624179"/>
    <w:rsid w:val="4EBB3F9B"/>
    <w:rsid w:val="521265C8"/>
    <w:rsid w:val="52331345"/>
    <w:rsid w:val="52AA000A"/>
    <w:rsid w:val="52DF08DD"/>
    <w:rsid w:val="538A1B28"/>
    <w:rsid w:val="5495703C"/>
    <w:rsid w:val="54AB79EA"/>
    <w:rsid w:val="55A734CB"/>
    <w:rsid w:val="55BF25B3"/>
    <w:rsid w:val="56554DFC"/>
    <w:rsid w:val="57AF3998"/>
    <w:rsid w:val="58D077D6"/>
    <w:rsid w:val="5A1F5027"/>
    <w:rsid w:val="5A327187"/>
    <w:rsid w:val="5AE3570D"/>
    <w:rsid w:val="5B207ECE"/>
    <w:rsid w:val="5BBB3658"/>
    <w:rsid w:val="5D551EC8"/>
    <w:rsid w:val="5DA77263"/>
    <w:rsid w:val="5EB6477F"/>
    <w:rsid w:val="5EE329F1"/>
    <w:rsid w:val="5F125E59"/>
    <w:rsid w:val="5F507610"/>
    <w:rsid w:val="62023755"/>
    <w:rsid w:val="632779F9"/>
    <w:rsid w:val="635661F6"/>
    <w:rsid w:val="635A0C3C"/>
    <w:rsid w:val="63704A1F"/>
    <w:rsid w:val="65261903"/>
    <w:rsid w:val="653914F5"/>
    <w:rsid w:val="67DE7FEB"/>
    <w:rsid w:val="68120961"/>
    <w:rsid w:val="69F0323B"/>
    <w:rsid w:val="6A5F25FB"/>
    <w:rsid w:val="6ACA583A"/>
    <w:rsid w:val="6BF46D4F"/>
    <w:rsid w:val="6C3F5DB4"/>
    <w:rsid w:val="6C7343AD"/>
    <w:rsid w:val="6CDD69E9"/>
    <w:rsid w:val="6CE4695B"/>
    <w:rsid w:val="6DE704B1"/>
    <w:rsid w:val="6E0E1A11"/>
    <w:rsid w:val="707760DF"/>
    <w:rsid w:val="7130650F"/>
    <w:rsid w:val="71AC18D7"/>
    <w:rsid w:val="72A252EE"/>
    <w:rsid w:val="749C0930"/>
    <w:rsid w:val="74AC6CAB"/>
    <w:rsid w:val="74BB76DA"/>
    <w:rsid w:val="7741023E"/>
    <w:rsid w:val="78383FE1"/>
    <w:rsid w:val="7860333A"/>
    <w:rsid w:val="78C833A6"/>
    <w:rsid w:val="78D87374"/>
    <w:rsid w:val="78F13B18"/>
    <w:rsid w:val="79C82C82"/>
    <w:rsid w:val="79CA1462"/>
    <w:rsid w:val="7B2D2CA9"/>
    <w:rsid w:val="7B407958"/>
    <w:rsid w:val="7D575FF9"/>
    <w:rsid w:val="7D8F7220"/>
    <w:rsid w:val="7E4718C8"/>
    <w:rsid w:val="7E4A5BFE"/>
    <w:rsid w:val="7E4E00D8"/>
    <w:rsid w:val="7EE822DB"/>
    <w:rsid w:val="7FC20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4"/>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7"/>
    <w:semiHidden/>
    <w:unhideWhenUsed/>
    <w:qFormat/>
    <w:uiPriority w:val="99"/>
    <w:pPr>
      <w:ind w:left="100" w:leftChars="2500"/>
    </w:pPr>
  </w:style>
  <w:style w:type="paragraph" w:styleId="11">
    <w:name w:val="Balloon Text"/>
    <w:basedOn w:val="1"/>
    <w:link w:val="36"/>
    <w:semiHidden/>
    <w:unhideWhenUsed/>
    <w:qFormat/>
    <w:uiPriority w:val="99"/>
    <w:rPr>
      <w:sz w:val="18"/>
      <w:szCs w:val="18"/>
    </w:rPr>
  </w:style>
  <w:style w:type="paragraph" w:styleId="12">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9"/>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5"/>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3"/>
    <w:qFormat/>
    <w:uiPriority w:val="99"/>
    <w:rPr>
      <w:sz w:val="18"/>
      <w:szCs w:val="18"/>
    </w:rPr>
  </w:style>
  <w:style w:type="character" w:customStyle="1" w:styleId="26">
    <w:name w:val="页脚 Char"/>
    <w:basedOn w:val="20"/>
    <w:link w:val="12"/>
    <w:qFormat/>
    <w:uiPriority w:val="99"/>
    <w:rPr>
      <w:sz w:val="18"/>
      <w:szCs w:val="18"/>
    </w:rPr>
  </w:style>
  <w:style w:type="character" w:customStyle="1" w:styleId="27">
    <w:name w:val="日期 Char"/>
    <w:basedOn w:val="20"/>
    <w:link w:val="10"/>
    <w:semiHidden/>
    <w:qFormat/>
    <w:uiPriority w:val="99"/>
    <w:rPr>
      <w:rFonts w:ascii="Calibri" w:hAnsi="Calibri" w:eastAsia="仿宋_GB2312" w:cs="黑体"/>
      <w:sz w:val="28"/>
    </w:rPr>
  </w:style>
  <w:style w:type="character" w:customStyle="1" w:styleId="28">
    <w:name w:val="标题 2 Char"/>
    <w:basedOn w:val="20"/>
    <w:link w:val="6"/>
    <w:qFormat/>
    <w:uiPriority w:val="9"/>
    <w:rPr>
      <w:rFonts w:asciiTheme="majorHAnsi" w:hAnsiTheme="majorHAnsi" w:eastAsiaTheme="majorEastAsia" w:cstheme="majorBidi"/>
      <w:b/>
      <w:bCs/>
      <w:sz w:val="32"/>
      <w:szCs w:val="32"/>
    </w:rPr>
  </w:style>
  <w:style w:type="character" w:customStyle="1" w:styleId="29">
    <w:name w:val="脚注文本 Char"/>
    <w:basedOn w:val="20"/>
    <w:link w:val="15"/>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5"/>
    <w:qFormat/>
    <w:uiPriority w:val="9"/>
    <w:rPr>
      <w:rFonts w:ascii="Calibri" w:hAnsi="Calibri" w:eastAsia="仿宋_GB2312" w:cs="黑体"/>
      <w:b/>
      <w:bCs/>
      <w:kern w:val="44"/>
      <w:sz w:val="44"/>
      <w:szCs w:val="44"/>
    </w:rPr>
  </w:style>
  <w:style w:type="paragraph" w:customStyle="1" w:styleId="33">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8"/>
    <w:qFormat/>
    <w:uiPriority w:val="99"/>
    <w:rPr>
      <w:rFonts w:ascii="Calibri" w:hAnsi="Calibri" w:eastAsia="仿宋_GB2312" w:cs="黑体"/>
      <w:sz w:val="28"/>
    </w:rPr>
  </w:style>
  <w:style w:type="character" w:customStyle="1" w:styleId="35">
    <w:name w:val="批注主题 Char"/>
    <w:basedOn w:val="34"/>
    <w:link w:val="17"/>
    <w:semiHidden/>
    <w:qFormat/>
    <w:uiPriority w:val="99"/>
    <w:rPr>
      <w:rFonts w:ascii="Calibri" w:hAnsi="Calibri" w:eastAsia="仿宋_GB2312" w:cs="黑体"/>
      <w:b/>
      <w:bCs/>
      <w:sz w:val="28"/>
    </w:rPr>
  </w:style>
  <w:style w:type="character" w:customStyle="1" w:styleId="36">
    <w:name w:val="批注框文本 Char"/>
    <w:basedOn w:val="20"/>
    <w:link w:val="11"/>
    <w:semiHidden/>
    <w:qFormat/>
    <w:uiPriority w:val="99"/>
    <w:rPr>
      <w:rFonts w:ascii="Calibri" w:hAnsi="Calibri" w:eastAsia="仿宋_GB2312" w:cs="黑体"/>
      <w:sz w:val="18"/>
      <w:szCs w:val="18"/>
    </w:rPr>
  </w:style>
  <w:style w:type="character" w:customStyle="1" w:styleId="37">
    <w:name w:val="标题 3 Char"/>
    <w:basedOn w:val="20"/>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10673</Words>
  <Characters>11374</Characters>
  <Lines>79</Lines>
  <Paragraphs>22</Paragraphs>
  <TotalTime>0</TotalTime>
  <ScaleCrop>false</ScaleCrop>
  <LinksUpToDate>false</LinksUpToDate>
  <CharactersWithSpaces>11509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2023-04-20T04:40:20Z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