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</w:pPr>
      <w:r>
        <w:rPr>
          <w:rFonts w:hint="default" w:ascii="Times New Roman" w:hAnsi="Times New Roman" w:eastAsia="方正小标宋简体" w:cs="Times New Roman"/>
          <w:sz w:val="40"/>
          <w:szCs w:val="40"/>
          <w:lang w:val="en-US" w:eastAsia="zh-CN"/>
        </w:rPr>
        <w:t>202</w:t>
      </w:r>
      <w:r>
        <w:rPr>
          <w:rFonts w:hint="eastAsia" w:ascii="Times New Roman" w:hAnsi="Times New Roman" w:eastAsia="方正小标宋简体" w:cs="Times New Roman"/>
          <w:sz w:val="40"/>
          <w:szCs w:val="40"/>
          <w:lang w:val="en-US" w:eastAsia="zh-CN"/>
        </w:rPr>
        <w:t>2</w:t>
      </w:r>
      <w:r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  <w:t>年度</w:t>
      </w:r>
      <w:r>
        <w:rPr>
          <w:rFonts w:hint="eastAsia" w:ascii="Times New Roman" w:hAnsi="Times New Roman" w:eastAsia="方正小标宋简体" w:cs="Times New Roman"/>
          <w:sz w:val="40"/>
          <w:szCs w:val="40"/>
          <w:lang w:val="en-US" w:eastAsia="zh-CN"/>
        </w:rPr>
        <w:t>乌鲁木齐县</w:t>
      </w:r>
      <w:r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  <w:t>政府债务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0"/>
          <w:szCs w:val="40"/>
        </w:rPr>
      </w:pPr>
      <w:r>
        <w:rPr>
          <w:rFonts w:hint="eastAsia" w:ascii="Times New Roman" w:hAnsi="Times New Roman" w:eastAsia="方正小标宋简体" w:cs="Times New Roman"/>
          <w:sz w:val="40"/>
          <w:szCs w:val="40"/>
          <w:lang w:eastAsia="zh-CN"/>
        </w:rPr>
        <w:t>决算</w:t>
      </w:r>
      <w:r>
        <w:rPr>
          <w:rFonts w:hint="default" w:ascii="Times New Roman" w:hAnsi="Times New Roman" w:eastAsia="方正小标宋简体" w:cs="Times New Roman"/>
          <w:sz w:val="40"/>
          <w:szCs w:val="40"/>
        </w:rPr>
        <w:t>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eastAsia="zh-CN"/>
        </w:rPr>
        <w:t>一、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年度政府债务限额总体情况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乌鲁木齐县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政府债务限额总额为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7.58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（一）</w:t>
      </w:r>
      <w:r>
        <w:rPr>
          <w:rFonts w:hint="eastAsia" w:ascii="Times New Roman" w:hAnsi="Times New Roman" w:eastAsia="楷体_GB2312" w:cs="Times New Roman"/>
          <w:b/>
          <w:bCs/>
          <w:sz w:val="30"/>
          <w:szCs w:val="30"/>
          <w:lang w:val="en-US" w:eastAsia="zh-CN"/>
        </w:rPr>
        <w:t>政府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债务限额分类型情况。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1.一般债务限额总额情况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乌鲁木齐县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政府一般债务限额总额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3.3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2.专项债务限额总额情况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乌鲁木齐县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政府专项债务限额总额为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4.28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（二）新增债务限额情况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1.新增一般债务限额情况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乌鲁木齐县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政府新增一般债务限额总额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1.2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2.新增专项债务限额情况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乌鲁木齐县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政府新增专项债务限额总额为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3.3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二、202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年度政府债务余额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乌鲁木齐县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政府债务余额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决算数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7.11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亿元，政府债务余额全部严格控制在限额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7.58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（一）一般债务余额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决算数。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乌鲁木齐县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政府一般债务余额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决算数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2.83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（二）专项债务余额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决算数。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乌鲁木齐县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政府专项债务余额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决算数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4.28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三、202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年度政府债券发行使用情况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乌鲁木齐县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发行政府债券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4.66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亿元（新增债券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4.5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亿元、再融资债券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0.16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（一）新增一般债券发行使用情况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乌鲁木齐县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发行新增一般债券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1.2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亿元。上述债券资金主要用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于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乡村振兴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领域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（详见附件2-3）。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债券期限分别是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年期，债券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平均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利率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为3.04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%，债券还本付息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通过一般公共预算收入偿还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（二）新增专项债券发行使用情况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乌鲁木齐县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发行新增专项债券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3.3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亿元。上述债券资金主要用于农林水利、生态环保、社会事业等重点领域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（详见附件2-3）。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债券期限分别是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10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、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年期，债券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平均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利率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为2.99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%，债券还本付息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通过对应项目取得的政府性基金或专项收入等偿还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（三）再融资债券发行使用情况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乌鲁木齐县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发行再融资债券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0.16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亿元（再融资一般债券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0.16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亿元）。上述债券资金全部用于偿还到期政府债券本</w:t>
      </w:r>
      <w:bookmarkStart w:id="0" w:name="_GoBack"/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金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债券期限分别是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10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年期，债券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平均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利率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为3.03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%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。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四、202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年度政府债券还本付息情况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乌鲁木齐县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政府债券还本付息总额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0.36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本金0.2亿元，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0.04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再融资债券还本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0.16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；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财政预算安排付息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0.16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（一）一般债券还本付息情况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乌鲁木齐县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政府一般债券还本付息总额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0.26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本金0.2亿元，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0.04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再融资债券还本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0.16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；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财政预算安排付息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0.06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（二）专项债券还本付息情况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乌鲁木齐县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政府专项债券还本付息总额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亿元（财政预算安排付息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1460" w:leftChars="284" w:hanging="864" w:hangingChars="300"/>
        <w:jc w:val="both"/>
        <w:textAlignment w:val="auto"/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附件：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1.1-1 2022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乌鲁木齐县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政府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一般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债务限额、余额情况表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1491" w:leftChars="710" w:firstLine="0" w:firstLineChars="0"/>
        <w:jc w:val="both"/>
        <w:textAlignment w:val="auto"/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1-2 2022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乌鲁木齐县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政府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专项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债务限额、余额情况表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1491" w:leftChars="710" w:firstLine="0" w:firstLineChars="0"/>
        <w:jc w:val="both"/>
        <w:textAlignment w:val="auto"/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1-3 2022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乌鲁木齐县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政府债务限额、余额（含一般债务限额、余额和专项债务限额、余额）情况表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1440" w:firstLineChars="500"/>
        <w:jc w:val="both"/>
        <w:textAlignment w:val="auto"/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.2-1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 xml:space="preserve"> 2022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乌鲁木齐县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政府债券发行情况表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1491" w:leftChars="710" w:firstLine="0" w:firstLineChars="0"/>
        <w:jc w:val="both"/>
        <w:textAlignment w:val="auto"/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 xml:space="preserve">2-2 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2022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乌鲁木齐县政府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债券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发行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情况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明细表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1440" w:firstLineChars="500"/>
        <w:jc w:val="both"/>
        <w:textAlignment w:val="auto"/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2-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2022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乌鲁木齐县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新增债券使用情况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1440" w:firstLineChars="500"/>
        <w:jc w:val="both"/>
        <w:textAlignment w:val="auto"/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2-4 2022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度乌鲁木齐县还本付息决算情况表</w:t>
      </w:r>
    </w:p>
    <w:sectPr>
      <w:footerReference r:id="rId3" w:type="default"/>
      <w:pgSz w:w="11906" w:h="16838"/>
      <w:pgMar w:top="2098" w:right="1587" w:bottom="1871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仿宋_GB2312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B36FE2"/>
    <w:rsid w:val="04AD2225"/>
    <w:rsid w:val="063F2F9D"/>
    <w:rsid w:val="090B4E5B"/>
    <w:rsid w:val="0E25722D"/>
    <w:rsid w:val="0E8D4F6B"/>
    <w:rsid w:val="182373F8"/>
    <w:rsid w:val="18823C8F"/>
    <w:rsid w:val="18D86125"/>
    <w:rsid w:val="1C460386"/>
    <w:rsid w:val="1D57227F"/>
    <w:rsid w:val="2AB37734"/>
    <w:rsid w:val="2B0F4298"/>
    <w:rsid w:val="2FBE46FB"/>
    <w:rsid w:val="31D13988"/>
    <w:rsid w:val="325A2235"/>
    <w:rsid w:val="353C53B6"/>
    <w:rsid w:val="36B666B6"/>
    <w:rsid w:val="388F1457"/>
    <w:rsid w:val="40C04F2F"/>
    <w:rsid w:val="47B72475"/>
    <w:rsid w:val="485E7AB6"/>
    <w:rsid w:val="489367E9"/>
    <w:rsid w:val="4B080752"/>
    <w:rsid w:val="4DB47F12"/>
    <w:rsid w:val="50CE11ED"/>
    <w:rsid w:val="51D77DB9"/>
    <w:rsid w:val="53013412"/>
    <w:rsid w:val="59E94415"/>
    <w:rsid w:val="5EBE204C"/>
    <w:rsid w:val="60EF606C"/>
    <w:rsid w:val="61CE0116"/>
    <w:rsid w:val="6541174B"/>
    <w:rsid w:val="692F2D63"/>
    <w:rsid w:val="6ACF7A08"/>
    <w:rsid w:val="6B080355"/>
    <w:rsid w:val="70E57CED"/>
    <w:rsid w:val="7149137C"/>
    <w:rsid w:val="71827528"/>
    <w:rsid w:val="77BB7AC7"/>
    <w:rsid w:val="791768FB"/>
    <w:rsid w:val="7DB52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tabs>
        <w:tab w:val="center" w:pos="4153"/>
        <w:tab w:val="right" w:pos="8306"/>
      </w:tabs>
      <w:snapToGrid w:val="0"/>
      <w:ind w:firstLine="0" w:firstLineChars="0"/>
      <w:jc w:val="center"/>
    </w:pPr>
    <w:rPr>
      <w:rFonts w:asciiTheme="minorHAnsi" w:eastAsiaTheme="minorEastAsia"/>
      <w:sz w:val="18"/>
      <w:szCs w:val="18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36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2021-07-28T09:41:00Z</dcterms:created>
  <dc:creator>Administrator</dc:creator>
  <cp:lastModifiedBy>Administrator</cp:lastModifiedBy>
  <dcterms:modified xsi:type="dcterms:W3CDTF">2023-10-18T03:43:04Z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