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000000"/>
          <w:spacing w:val="30"/>
          <w:sz w:val="25"/>
          <w:szCs w:val="25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30"/>
          <w:sz w:val="44"/>
          <w:szCs w:val="44"/>
          <w:lang w:val="en-US" w:eastAsia="zh-CN"/>
        </w:rPr>
        <w:t>乌鲁木齐县文化体育广播电视和旅游局“双随机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30"/>
          <w:sz w:val="44"/>
          <w:szCs w:val="44"/>
          <w:lang w:val="en-US" w:eastAsia="zh-CN"/>
        </w:rPr>
        <w:t>、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000000"/>
          <w:spacing w:val="30"/>
          <w:sz w:val="44"/>
          <w:szCs w:val="44"/>
          <w:lang w:val="en-US" w:eastAsia="zh-CN"/>
        </w:rPr>
        <w:t>一公开”抽查工作计划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eastAsia="zh-CN"/>
        </w:rPr>
        <w:t>乌鲁木齐县文化体育广播电视和旅游局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不断优化营商环境，自文化和旅游市场领域全面推动“双随机、一公开”监管以来，济宁市文化旅游局即把这项工作当做重点工作进行推进，使文旅体市场监管手段和方式得到了创新，提升了服务效能，推动了文化、旅游产业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我局将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根据执法人员调整情况，及时调整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eastAsia="zh-CN"/>
        </w:rPr>
        <w:t>乌鲁木齐县文化体育广播电视和旅游局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“双随机、一公开”工作专班，全面梳理随机抽查清单，更新掌握文旅市场主体库，对文化市场综合执法人员进行资格确认和维护。同时制定切实可行的年度抽查计划。目前，我局随机抽查事项清单共纳入文物保护单位巡察、互联网上网服务营业场所检查、旅行社检查、社会艺术水平考级活动监管等随机抽查事项，对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文化、旅游市场经营单位实现监管对象全涵盖。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抓住重点，有序推进双随机监管。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eastAsia="zh-CN"/>
        </w:rPr>
        <w:t>乌鲁木齐县文化体育广播电视和旅游局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监管涉及的行业门类多，专业性较强，为更好地提升服务效能，我局在制定年初工作计划的同时，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主动与市场监管、公安、消防等部门沟通联系，落实联合监管，促进部门联动，防止监管重叠和服务真空，在更大范围内共享信息，实现了进一次门，查多项事，提升了监管服务效能。同时，结合信用监管工作，对屡次违规和被频繁举报的场所纳入重点监管对象，开展双随机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善用结果，形成信用监管体制。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对在“双随机、一公开”检查中发现停止营业的单位经法定程序公示注销，减少行政资源浪费，维护市场秩序;对在检查中发现违法行为的必须进行处理、及时发布信用信息，并移交相关部门，建立联合惩戒机制。对投诉举报频发，经营存在问题的要提高抽查比例和频次，对信用等级高的单位则减少抽查，构建“守信激励、失信惩戒”信用约束为核心的市场监管新体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77" w:leftChars="608" w:right="0" w:hanging="1900" w:hangingChars="5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乌鲁木齐县文化体育广播电视和旅游局 2022年3月6日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30345"/>
    <w:rsid w:val="3BDD3B38"/>
    <w:rsid w:val="49DB243E"/>
    <w:rsid w:val="4AD050EF"/>
    <w:rsid w:val="598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2022-12-09T03:58:00Z</dcterms:created>
  <dc:creator>Administrator</dc:creator>
  <cp:lastModifiedBy>Administrator</cp:lastModifiedBy>
  <cp:lastPrinted>2023-02-19T04:19:00Z</cp:lastPrinted>
  <dcterms:modified xsi:type="dcterms:W3CDTF">2023-02-22T08:39:43Z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