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新疆维吾尔自治区中共乌鲁木齐县委党校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县委党校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bCs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县委党校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党校是在县委直接领导下培训党政干部、党员和入党积极分子的学校。其职责是坚持党的基本路线，以学习、宣传马列主义、毛泽东思想、邓小平理论、“三个代表”重要思想、科学发展观、习近平新时代中国特色社会主义思想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为己任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，结合党和国家召开的重大会议精神，结合全县各级党组织和党员实际，在抓好基础设施建设和教学手段建设的同时，努力办好主体班，紧紧围绕提高培训效果和教育教学质量、培养高素质的干部队伍为目标，以教学为中心，科研为基础，改革为动力，充分发挥“熔炉”和“阵地”的作用，加强党的理论学习、研究和宣传，搞好县、乡、村党员干部的培训，切实提高全县干部素质。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县委党校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，分别是：财务室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县委党校编制数15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，实有人数10人，其中：在职10人，增加1人；退休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人，增加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人；离休 0人，增加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hAnsi="宋体" w:eastAsia="仿宋_GB2312" w:cs="宋体"/>
          <w:bCs/>
          <w:kern w:val="0"/>
          <w:sz w:val="30"/>
          <w:szCs w:val="30"/>
        </w:rPr>
      </w:pPr>
    </w:p>
    <w:p>
      <w:pPr>
        <w:widowControl/>
        <w:tabs>
          <w:tab w:val="left" w:pos="9202"/>
        </w:tabs>
        <w:spacing w:beforeLines="50"/>
        <w:jc w:val="left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ab/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198.82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213.42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8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39"/>
        <w:gridCol w:w="439"/>
        <w:gridCol w:w="1478"/>
        <w:gridCol w:w="1068"/>
        <w:gridCol w:w="1110"/>
        <w:gridCol w:w="492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进修及培训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干部教育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行政事业单位离退休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213.42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213.42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39"/>
        <w:gridCol w:w="439"/>
        <w:gridCol w:w="2526"/>
        <w:gridCol w:w="1807"/>
        <w:gridCol w:w="1802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进修及培训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干部教育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行政事业单位离退休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213.42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198.42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 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198.82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198.82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213.42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2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92"/>
        <w:gridCol w:w="439"/>
        <w:gridCol w:w="2510"/>
        <w:gridCol w:w="660"/>
        <w:gridCol w:w="1024"/>
        <w:gridCol w:w="216"/>
        <w:gridCol w:w="1626"/>
        <w:gridCol w:w="1701"/>
      </w:tblGrid>
      <w:tr>
        <w:trPr>
          <w:trHeight w:val="450" w:hRule="atLeast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县委党校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进修及培训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干部教育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198.82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213.42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198.42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表六：</w:t>
      </w:r>
    </w:p>
    <w:tbl>
      <w:tblPr>
        <w:tblStyle w:val="8"/>
        <w:tblpPr w:leftFromText="180" w:rightFromText="180" w:vertAnchor="text" w:horzAnchor="page" w:tblpXSpec="center" w:tblpY="405"/>
        <w:tblOverlap w:val="never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县委党校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143.73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36.37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18.69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办公取暖费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被装购置费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198.42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174.87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23.55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11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39"/>
        <w:gridCol w:w="439"/>
        <w:gridCol w:w="439"/>
        <w:gridCol w:w="1287"/>
        <w:gridCol w:w="1409"/>
        <w:gridCol w:w="720"/>
        <w:gridCol w:w="115"/>
        <w:gridCol w:w="560"/>
        <w:gridCol w:w="720"/>
        <w:gridCol w:w="885"/>
        <w:gridCol w:w="735"/>
        <w:gridCol w:w="432"/>
        <w:gridCol w:w="183"/>
        <w:gridCol w:w="405"/>
        <w:gridCol w:w="645"/>
        <w:gridCol w:w="570"/>
        <w:gridCol w:w="807"/>
        <w:gridCol w:w="595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1" w:type="dxa"/>
          <w:trHeight w:val="375" w:hRule="atLeast"/>
          <w:jc w:val="center"/>
        </w:trPr>
        <w:tc>
          <w:tcPr>
            <w:tcW w:w="1148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1" w:type="dxa"/>
          <w:trHeight w:val="405" w:hRule="atLeast"/>
          <w:jc w:val="center"/>
        </w:trPr>
        <w:tc>
          <w:tcPr>
            <w:tcW w:w="49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县委党校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8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287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09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60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550" w:type="dxa"/>
            <w:gridSpan w:val="2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39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9" w:type="dxa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87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进修及培训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干部教育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培训费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0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5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0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75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4.45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90"/>
                <w:tab w:val="center" w:pos="67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县委党校</w:t>
      </w:r>
      <w:r>
        <w:rPr>
          <w:rFonts w:ascii="仿宋_GB2312" w:hAnsi="宋体" w:eastAsia="仿宋_GB2312"/>
          <w:kern w:val="0"/>
          <w:sz w:val="24"/>
        </w:rPr>
        <w:t xml:space="preserve">    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</w:t>
      </w:r>
      <w:r>
        <w:rPr>
          <w:rFonts w:ascii="仿宋_GB2312" w:hAnsi="宋体" w:eastAsia="仿宋_GB2312"/>
          <w:kern w:val="0"/>
          <w:sz w:val="24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县委党校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2019年没有使用政府性基金预算拨款安排的支出，政府性基金预算支出情况表为空表。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7" w:bottom="1928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 xml:space="preserve"> 2019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部门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  <w:highlight w:val="none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年所有收入和支出均纳入部门预算管理。收支总预算213.42万元。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收入预算包括：一般公共预算213.42万元。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支出预算包括：教育支出198.82万元、社会保障和就业支出14.6万元。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213.42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213.42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基本支出预算减少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政府性基金预算未安排，较上年无增减变化，主要原因是我单位两年均未安排政府性基金预算。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县委党校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213.42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基本支出198.42万元，占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2.97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万元，主要原因是人员社保、工资、公积金基数调整。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 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7.03%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本年项目支出内容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未发生变化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县委党校</w:t>
      </w:r>
      <w:r>
        <w:rPr>
          <w:rFonts w:ascii="黑体" w:hAnsi="黑体" w:eastAsia="黑体" w:cs="宋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213.42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教育支出198.82万元，主要用于人员工资、伙食补助、日常公用经费支出。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会保障和就业支出14.6万元，主要用于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198.42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13.13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6.21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。主要原因是：人员社保、工资、公积金基数调整。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教育支出（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198.82万元，占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2.97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2.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(208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14.6万元，占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7.03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类）进修及培训（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款）干部教育（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年预算数为198.82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354.3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64.05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，主要原因是：人员社保、工资、公积金基数调整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相应预算调整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。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(208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ascii="仿宋_GB2312" w:hAnsi="宋体" w:eastAsia="仿宋_GB2312" w:cs="宋体"/>
          <w:kern w:val="0"/>
          <w:sz w:val="32"/>
          <w:szCs w:val="32"/>
        </w:rPr>
        <w:t>)</w:t>
      </w:r>
      <w: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行政事业单位离退休（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款）机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关事业单位基本养老保险缴费支出（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项）：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年预算数</w:t>
      </w:r>
      <w:r>
        <w:rPr>
          <w:rFonts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14.6万元，比上年执行数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1.88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，主要原因是：人员养老基数调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。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198.42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174.87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万元、机关事业单位基本养老保险缴费14.6万元、职工基本医疗保险缴费18.69万元、公务员医疗补助缴费4.15万元、其他社会保障缴费0.58万元、住房公积金13.8万元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7.14万元、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23.55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万元，主要包括：办公费0.6万元、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手续费0.1万元、水费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0.3万元、电费0.4万元、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万元、取暖费12.54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差旅费0.2万元、培训费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.2万元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公务接待费0.25万元、被装购置费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0.1万元、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工会经费0.87万元、福利费2.01万元、公务用车运行维护费4.2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其他商品和服务支出1.08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  <w:highlight w:val="none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项目名称：培训费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设立的政策依据：十九大培训费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15万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项目承担单位：中共乌鲁木齐县委员会党校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15万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201901-201912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县委党校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年“三公”经费财政拨款预算数为4.45万元，其中：因公出国（境）费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万元，公务接待费0.25万元。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，主要原因是单位两年均未安排因公出国（境）费预算；公务用车购置费为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万元，主要原因是公务用车运行费计提基数增加；公务接待费增加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万元，主要原因是两年安排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此项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金额保持一致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ascii="黑体" w:hAnsi="宋体" w:eastAsia="黑体" w:cs="宋体"/>
          <w:kern w:val="0"/>
          <w:sz w:val="32"/>
          <w:szCs w:val="32"/>
          <w:highlight w:val="none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2019年，县委党校及下属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家行政单位、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家参公管理事业单位和0家事业单位的机关运行经费财政拨款预算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23.55万元，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11.63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33.06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%。主要原因是本着厉行节约原则严格控制经费。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县委党校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县委党校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3123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110.98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14.97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办公家具价值 41万元。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年部门预算未安排购置车辆经费，安排购置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中共乌鲁木齐县委员会党校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15万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15万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按期培训人员，达到培训目的。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培训经费使用率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在预算经费的额度内完成工作任务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培训计划按期完成率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根据工作计划进度按时完成主体班培训、社会主义学员培训、学员外训等相关工作。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培训班次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完成主体班培训8期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培训人次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预计可培训400人次左右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培训内容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体班培训的教学计划中，重点抓好理论教育和党性教育，教学比重不低于总课时的70％，其中党性教育不低于总课时的20％；其他培训班的教学计划按主办方要求对课程安排进行科学设计，培训任务完成率达到100%；各类培训总体教学效果优良率保持在90%以上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社会影响率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服务县委、县政府的中心工作，认真做好教学和科研工作，努力服务“开放强市、产业立市”，积极发挥党性教育的阵地熔炉作用。  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受训学员满意度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学员在校培训满意率在90%以上。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spacing w:line="56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本单位本年度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新疆中共乌鲁木齐县委党校</w:t>
      </w:r>
    </w:p>
    <w:p>
      <w:pPr>
        <w:widowControl/>
        <w:spacing w:line="56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8A5ED"/>
    <w:multiLevelType w:val="singleLevel"/>
    <w:tmpl w:val="AEA8A5E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mZDUxZDQwNTk3YWM2ZmY4YmE4ZDEyYjMyMzc0MmEifQ=="/>
  </w:docVars>
  <w:rsids>
    <w:rsidRoot w:val="002B5144"/>
    <w:rsid w:val="0002340E"/>
    <w:rsid w:val="00031848"/>
    <w:rsid w:val="000A20BA"/>
    <w:rsid w:val="000A359A"/>
    <w:rsid w:val="000A3605"/>
    <w:rsid w:val="000B05B9"/>
    <w:rsid w:val="000C0B1E"/>
    <w:rsid w:val="000D64F5"/>
    <w:rsid w:val="000F1443"/>
    <w:rsid w:val="00113D91"/>
    <w:rsid w:val="00122296"/>
    <w:rsid w:val="00151D6E"/>
    <w:rsid w:val="00174131"/>
    <w:rsid w:val="001B2E13"/>
    <w:rsid w:val="001D5746"/>
    <w:rsid w:val="001F1687"/>
    <w:rsid w:val="00203AB6"/>
    <w:rsid w:val="00221AE5"/>
    <w:rsid w:val="00233020"/>
    <w:rsid w:val="0023522E"/>
    <w:rsid w:val="002A1B47"/>
    <w:rsid w:val="002B322E"/>
    <w:rsid w:val="002B5144"/>
    <w:rsid w:val="002C0D9D"/>
    <w:rsid w:val="002C1114"/>
    <w:rsid w:val="002C2E1A"/>
    <w:rsid w:val="002C3B4E"/>
    <w:rsid w:val="002C69FE"/>
    <w:rsid w:val="002C78B4"/>
    <w:rsid w:val="002F4911"/>
    <w:rsid w:val="00303CB1"/>
    <w:rsid w:val="00305D05"/>
    <w:rsid w:val="003116CC"/>
    <w:rsid w:val="00316264"/>
    <w:rsid w:val="00325B17"/>
    <w:rsid w:val="00345AAC"/>
    <w:rsid w:val="0035774D"/>
    <w:rsid w:val="00360F66"/>
    <w:rsid w:val="0037191D"/>
    <w:rsid w:val="00383B53"/>
    <w:rsid w:val="003A6B24"/>
    <w:rsid w:val="003E2D7E"/>
    <w:rsid w:val="003F4F6E"/>
    <w:rsid w:val="004003C7"/>
    <w:rsid w:val="00407C14"/>
    <w:rsid w:val="004148C8"/>
    <w:rsid w:val="00424015"/>
    <w:rsid w:val="004258E2"/>
    <w:rsid w:val="004268E3"/>
    <w:rsid w:val="0043657B"/>
    <w:rsid w:val="0043692A"/>
    <w:rsid w:val="00451594"/>
    <w:rsid w:val="0045502B"/>
    <w:rsid w:val="00461F3B"/>
    <w:rsid w:val="0047764A"/>
    <w:rsid w:val="004903B9"/>
    <w:rsid w:val="004B56C5"/>
    <w:rsid w:val="004C4126"/>
    <w:rsid w:val="004D100A"/>
    <w:rsid w:val="004D11ED"/>
    <w:rsid w:val="00503F72"/>
    <w:rsid w:val="00504812"/>
    <w:rsid w:val="00511095"/>
    <w:rsid w:val="00531C7D"/>
    <w:rsid w:val="00536B0A"/>
    <w:rsid w:val="00557657"/>
    <w:rsid w:val="00562A6F"/>
    <w:rsid w:val="005674BA"/>
    <w:rsid w:val="00596963"/>
    <w:rsid w:val="005A44AF"/>
    <w:rsid w:val="005F0DA5"/>
    <w:rsid w:val="005F1ED5"/>
    <w:rsid w:val="005F78BA"/>
    <w:rsid w:val="00615619"/>
    <w:rsid w:val="00643145"/>
    <w:rsid w:val="00645A87"/>
    <w:rsid w:val="00656F97"/>
    <w:rsid w:val="0066534F"/>
    <w:rsid w:val="0067014F"/>
    <w:rsid w:val="00692AAF"/>
    <w:rsid w:val="006B0E00"/>
    <w:rsid w:val="006B6FE9"/>
    <w:rsid w:val="006C7A55"/>
    <w:rsid w:val="006E2613"/>
    <w:rsid w:val="006E6F63"/>
    <w:rsid w:val="0070132A"/>
    <w:rsid w:val="007056A2"/>
    <w:rsid w:val="0072590A"/>
    <w:rsid w:val="00740656"/>
    <w:rsid w:val="00745ED6"/>
    <w:rsid w:val="007475A5"/>
    <w:rsid w:val="00747F78"/>
    <w:rsid w:val="00750026"/>
    <w:rsid w:val="00763766"/>
    <w:rsid w:val="00781F2E"/>
    <w:rsid w:val="007D0C48"/>
    <w:rsid w:val="0083519F"/>
    <w:rsid w:val="00840198"/>
    <w:rsid w:val="00843C2A"/>
    <w:rsid w:val="00864B8E"/>
    <w:rsid w:val="00881371"/>
    <w:rsid w:val="00884F94"/>
    <w:rsid w:val="00896B14"/>
    <w:rsid w:val="008A69FA"/>
    <w:rsid w:val="008C52D2"/>
    <w:rsid w:val="008D3EDB"/>
    <w:rsid w:val="008E54C8"/>
    <w:rsid w:val="008F69B8"/>
    <w:rsid w:val="00900202"/>
    <w:rsid w:val="00926455"/>
    <w:rsid w:val="00950312"/>
    <w:rsid w:val="009667F0"/>
    <w:rsid w:val="00975C50"/>
    <w:rsid w:val="009843E9"/>
    <w:rsid w:val="009A4CB8"/>
    <w:rsid w:val="009C269B"/>
    <w:rsid w:val="009D673F"/>
    <w:rsid w:val="009D69D0"/>
    <w:rsid w:val="009E62D6"/>
    <w:rsid w:val="009F0573"/>
    <w:rsid w:val="009F4AC6"/>
    <w:rsid w:val="00A06367"/>
    <w:rsid w:val="00A21DCF"/>
    <w:rsid w:val="00A55BC1"/>
    <w:rsid w:val="00A73F32"/>
    <w:rsid w:val="00A86D5A"/>
    <w:rsid w:val="00A93B6E"/>
    <w:rsid w:val="00AB2711"/>
    <w:rsid w:val="00B2199A"/>
    <w:rsid w:val="00B2630F"/>
    <w:rsid w:val="00B27731"/>
    <w:rsid w:val="00B331CF"/>
    <w:rsid w:val="00B40940"/>
    <w:rsid w:val="00B52439"/>
    <w:rsid w:val="00B72EC1"/>
    <w:rsid w:val="00B81574"/>
    <w:rsid w:val="00B87B30"/>
    <w:rsid w:val="00BA2B7B"/>
    <w:rsid w:val="00BB167F"/>
    <w:rsid w:val="00BD587E"/>
    <w:rsid w:val="00C04FF7"/>
    <w:rsid w:val="00C23DCD"/>
    <w:rsid w:val="00C37563"/>
    <w:rsid w:val="00C5631F"/>
    <w:rsid w:val="00C63A28"/>
    <w:rsid w:val="00C63DE7"/>
    <w:rsid w:val="00C96724"/>
    <w:rsid w:val="00CB1C26"/>
    <w:rsid w:val="00CB67B7"/>
    <w:rsid w:val="00CD1857"/>
    <w:rsid w:val="00CF0ECF"/>
    <w:rsid w:val="00D44080"/>
    <w:rsid w:val="00D6357E"/>
    <w:rsid w:val="00D63A91"/>
    <w:rsid w:val="00D75359"/>
    <w:rsid w:val="00D7686E"/>
    <w:rsid w:val="00DA6C62"/>
    <w:rsid w:val="00DA6FF8"/>
    <w:rsid w:val="00DC5288"/>
    <w:rsid w:val="00DC6212"/>
    <w:rsid w:val="00DC768A"/>
    <w:rsid w:val="00DD4B3B"/>
    <w:rsid w:val="00DE2D09"/>
    <w:rsid w:val="00DF61C8"/>
    <w:rsid w:val="00E05424"/>
    <w:rsid w:val="00E33344"/>
    <w:rsid w:val="00E40031"/>
    <w:rsid w:val="00E40F74"/>
    <w:rsid w:val="00E44410"/>
    <w:rsid w:val="00E53CC5"/>
    <w:rsid w:val="00E55260"/>
    <w:rsid w:val="00E65822"/>
    <w:rsid w:val="00E746FC"/>
    <w:rsid w:val="00E76109"/>
    <w:rsid w:val="00E823AD"/>
    <w:rsid w:val="00E84778"/>
    <w:rsid w:val="00E9455A"/>
    <w:rsid w:val="00EB6788"/>
    <w:rsid w:val="00EC17F2"/>
    <w:rsid w:val="00ED797F"/>
    <w:rsid w:val="00EE2422"/>
    <w:rsid w:val="00EF05AF"/>
    <w:rsid w:val="00F22745"/>
    <w:rsid w:val="00F457EC"/>
    <w:rsid w:val="00F5334D"/>
    <w:rsid w:val="00F85853"/>
    <w:rsid w:val="00F8670F"/>
    <w:rsid w:val="00FC6ABD"/>
    <w:rsid w:val="00FC7A8E"/>
    <w:rsid w:val="00FD7DA9"/>
    <w:rsid w:val="00FE435F"/>
    <w:rsid w:val="00FE7922"/>
    <w:rsid w:val="034D6706"/>
    <w:rsid w:val="05600831"/>
    <w:rsid w:val="06F70A28"/>
    <w:rsid w:val="09E468AB"/>
    <w:rsid w:val="0B7E641C"/>
    <w:rsid w:val="0BDD383B"/>
    <w:rsid w:val="103040F7"/>
    <w:rsid w:val="12122DC9"/>
    <w:rsid w:val="155E226B"/>
    <w:rsid w:val="182C61EC"/>
    <w:rsid w:val="196B6FD8"/>
    <w:rsid w:val="1F573CD1"/>
    <w:rsid w:val="20462B0D"/>
    <w:rsid w:val="21285254"/>
    <w:rsid w:val="218D2C21"/>
    <w:rsid w:val="2468466F"/>
    <w:rsid w:val="2959047E"/>
    <w:rsid w:val="2AF74AB1"/>
    <w:rsid w:val="2EF3791A"/>
    <w:rsid w:val="34782893"/>
    <w:rsid w:val="373D6BD1"/>
    <w:rsid w:val="37641DBB"/>
    <w:rsid w:val="3CF458A8"/>
    <w:rsid w:val="3FBF6DFF"/>
    <w:rsid w:val="452331C6"/>
    <w:rsid w:val="4C7852B4"/>
    <w:rsid w:val="4DFF00F5"/>
    <w:rsid w:val="4ED37B60"/>
    <w:rsid w:val="4FDB4B54"/>
    <w:rsid w:val="51B50727"/>
    <w:rsid w:val="522C1274"/>
    <w:rsid w:val="534D4191"/>
    <w:rsid w:val="56E7538E"/>
    <w:rsid w:val="588A6036"/>
    <w:rsid w:val="5A8F4052"/>
    <w:rsid w:val="5B896DBA"/>
    <w:rsid w:val="5BA4716F"/>
    <w:rsid w:val="5C30577A"/>
    <w:rsid w:val="5C7C4917"/>
    <w:rsid w:val="5F56476B"/>
    <w:rsid w:val="64DA4BF7"/>
    <w:rsid w:val="65283FB9"/>
    <w:rsid w:val="6F0514DC"/>
    <w:rsid w:val="73242A4C"/>
    <w:rsid w:val="73CC6686"/>
    <w:rsid w:val="74D147D9"/>
    <w:rsid w:val="771533E9"/>
    <w:rsid w:val="78EB4C90"/>
    <w:rsid w:val="78FE2BDF"/>
    <w:rsid w:val="793C1F89"/>
    <w:rsid w:val="7ABF1584"/>
    <w:rsid w:val="7B0973AE"/>
    <w:rsid w:val="7B6F4A47"/>
    <w:rsid w:val="7FA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Footer Char"/>
    <w:basedOn w:val="10"/>
    <w:link w:val="4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4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Balloon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Body Text Indent 3 Char"/>
    <w:basedOn w:val="10"/>
    <w:link w:val="6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23</Pages>
  <Words>5830</Words>
  <Characters>6986</Characters>
  <Lines>0</Lines>
  <Paragraphs>0</Paragraphs>
  <TotalTime>8</TotalTime>
  <ScaleCrop>false</ScaleCrop>
  <LinksUpToDate>false</LinksUpToDate>
  <CharactersWithSpaces>7780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2019-01-28T07:39:00Z</dcterms:created>
  <dc:creator>王怡</dc:creator>
  <cp:lastModifiedBy>Arhen</cp:lastModifiedBy>
  <cp:lastPrinted>2019-02-18T12:29:00Z</cp:lastPrinted>
  <dcterms:modified xsi:type="dcterms:W3CDTF">2024-07-04T02:48:29Z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07A561A18A234256AB49BAAE94433B82_12</vt:lpwstr>
  </property>
</Properties>
</file>