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rPr>
      </w:pPr>
    </w:p>
    <w:p>
      <w:pPr>
        <w:rPr>
          <w:rFonts w:ascii="宋体"/>
        </w:rPr>
      </w:pPr>
    </w:p>
    <w:p>
      <w:pPr>
        <w:widowControl/>
        <w:spacing w:before="100" w:beforeAutospacing="1" w:after="100" w:afterAutospacing="1"/>
        <w:outlineLvl w:val="1"/>
        <w:rPr>
          <w:rFonts w:ascii="宋体" w:cs="宋体"/>
          <w:kern w:val="0"/>
          <w:sz w:val="32"/>
          <w:szCs w:val="32"/>
        </w:rPr>
      </w:pPr>
    </w:p>
    <w:p>
      <w:pPr>
        <w:widowControl/>
        <w:spacing w:before="100" w:beforeAutospacing="1" w:after="100" w:afterAutospacing="1"/>
        <w:outlineLvl w:val="1"/>
        <w:rPr>
          <w:rFonts w:ascii="宋体" w:cs="宋体"/>
          <w:kern w:val="0"/>
          <w:sz w:val="32"/>
          <w:szCs w:val="32"/>
        </w:rPr>
      </w:pPr>
    </w:p>
    <w:p>
      <w:pPr>
        <w:widowControl/>
        <w:spacing w:before="100" w:beforeAutospacing="1" w:after="100" w:afterAutospacing="1"/>
        <w:outlineLvl w:val="1"/>
        <w:rPr>
          <w:rFonts w:ascii="宋体" w:cs="宋体"/>
          <w:b/>
          <w:bCs/>
          <w:kern w:val="0"/>
          <w:sz w:val="44"/>
          <w:szCs w:val="44"/>
        </w:rPr>
      </w:pPr>
    </w:p>
    <w:p>
      <w:pPr>
        <w:widowControl/>
        <w:spacing w:before="100" w:beforeAutospacing="1" w:after="100" w:afterAutospacing="1" w:line="240" w:lineRule="auto"/>
        <w:jc w:val="center"/>
        <w:outlineLvl w:val="1"/>
        <w:rPr>
          <w:rFonts w:hint="eastAsia" w:ascii="方正小标宋_GBK" w:hAnsi="宋体" w:eastAsia="方正小标宋_GBK"/>
          <w:kern w:val="0"/>
          <w:sz w:val="44"/>
          <w:szCs w:val="44"/>
        </w:rPr>
      </w:pPr>
      <w:r>
        <w:rPr>
          <w:rFonts w:hint="eastAsia" w:ascii="方正小标宋_GBK" w:hAnsi="宋体" w:eastAsia="方正小标宋_GBK"/>
          <w:kern w:val="0"/>
          <w:sz w:val="44"/>
          <w:szCs w:val="44"/>
        </w:rPr>
        <w:t>新疆维吾尔自治区乌鲁木齐县清水泉片区管理委员会2019年部门预算公开</w:t>
      </w: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line="500" w:lineRule="exact"/>
        <w:jc w:val="both"/>
        <w:outlineLvl w:val="1"/>
        <w:rPr>
          <w:rFonts w:ascii="宋体"/>
          <w:kern w:val="0"/>
          <w:sz w:val="44"/>
          <w:szCs w:val="44"/>
        </w:rPr>
      </w:pPr>
    </w:p>
    <w:p>
      <w:pPr>
        <w:widowControl/>
        <w:spacing w:line="500" w:lineRule="exact"/>
        <w:jc w:val="both"/>
        <w:outlineLvl w:val="1"/>
        <w:rPr>
          <w:rFonts w:ascii="宋体"/>
          <w:kern w:val="0"/>
          <w:sz w:val="44"/>
          <w:szCs w:val="44"/>
        </w:rPr>
      </w:pPr>
    </w:p>
    <w:p>
      <w:pPr>
        <w:widowControl/>
        <w:spacing w:line="500" w:lineRule="exact"/>
        <w:jc w:val="both"/>
        <w:outlineLvl w:val="1"/>
        <w:rPr>
          <w:rFonts w:ascii="宋体"/>
          <w:kern w:val="0"/>
          <w:sz w:val="44"/>
          <w:szCs w:val="44"/>
        </w:rPr>
      </w:pPr>
    </w:p>
    <w:p>
      <w:pPr>
        <w:widowControl/>
        <w:spacing w:line="500" w:lineRule="exact"/>
        <w:jc w:val="center"/>
        <w:outlineLvl w:val="1"/>
        <w:rPr>
          <w:rFonts w:hint="eastAsia" w:ascii="黑体" w:hAnsi="黑体" w:eastAsia="黑体"/>
          <w:kern w:val="0"/>
          <w:sz w:val="44"/>
          <w:szCs w:val="44"/>
        </w:rPr>
      </w:pPr>
      <w:r>
        <w:rPr>
          <w:rFonts w:hint="eastAsia" w:ascii="黑体" w:hAnsi="黑体" w:eastAsia="黑体"/>
          <w:kern w:val="0"/>
          <w:sz w:val="44"/>
          <w:szCs w:val="44"/>
        </w:rPr>
        <w:t>目录</w:t>
      </w:r>
    </w:p>
    <w:p>
      <w:pPr>
        <w:widowControl/>
        <w:spacing w:line="500" w:lineRule="exact"/>
        <w:jc w:val="center"/>
        <w:outlineLvl w:val="1"/>
        <w:rPr>
          <w:rFonts w:ascii="宋体"/>
          <w:b/>
          <w:kern w:val="0"/>
          <w:sz w:val="44"/>
          <w:szCs w:val="44"/>
        </w:rPr>
      </w:pPr>
    </w:p>
    <w:p>
      <w:pPr>
        <w:widowControl/>
        <w:spacing w:line="460" w:lineRule="exact"/>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第一部分 县清水泉管委会单位概况</w:t>
      </w:r>
    </w:p>
    <w:p>
      <w:pPr>
        <w:widowControl/>
        <w:spacing w:line="46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outlineLvl w:val="1"/>
        <w:rPr>
          <w:rFonts w:ascii="宋体"/>
          <w:b/>
          <w:kern w:val="0"/>
          <w:sz w:val="32"/>
          <w:szCs w:val="32"/>
        </w:rPr>
      </w:pPr>
      <w:r>
        <w:rPr>
          <w:rFonts w:hint="eastAsia" w:ascii="仿宋_GB2312" w:hAnsi="宋体" w:eastAsia="仿宋_GB2312"/>
          <w:b/>
          <w:kern w:val="0"/>
          <w:sz w:val="32"/>
          <w:szCs w:val="32"/>
        </w:rPr>
        <w:t>第二部分 2019年部门预算公开表</w:t>
      </w:r>
    </w:p>
    <w:p>
      <w:pPr>
        <w:widowControl/>
        <w:spacing w:line="46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七、项目支出情况表</w:t>
      </w:r>
    </w:p>
    <w:p>
      <w:pPr>
        <w:widowControl/>
        <w:spacing w:line="46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outlineLvl w:val="1"/>
        <w:rPr>
          <w:rFonts w:ascii="宋体"/>
          <w:b/>
          <w:kern w:val="0"/>
          <w:sz w:val="32"/>
          <w:szCs w:val="32"/>
        </w:rPr>
      </w:pPr>
      <w:r>
        <w:rPr>
          <w:rFonts w:hint="eastAsia" w:ascii="仿宋_GB2312" w:hAnsi="宋体" w:eastAsia="仿宋_GB2312"/>
          <w:b/>
          <w:kern w:val="0"/>
          <w:sz w:val="32"/>
          <w:szCs w:val="32"/>
        </w:rPr>
        <w:t>第三部分 2019年部门预算情况说明</w:t>
      </w:r>
    </w:p>
    <w:p>
      <w:pPr>
        <w:widowControl/>
        <w:spacing w:line="46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一、关于县清水泉管委会2019年收支预算情况的总体说明</w:t>
      </w:r>
    </w:p>
    <w:p>
      <w:pPr>
        <w:widowControl/>
        <w:spacing w:line="46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二、关于县清水泉管委会2019年收入预算情况说明</w:t>
      </w:r>
    </w:p>
    <w:p>
      <w:pPr>
        <w:widowControl/>
        <w:spacing w:line="46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三、关于县清水泉管委会2019年支出预算情况说明</w:t>
      </w:r>
    </w:p>
    <w:p>
      <w:pPr>
        <w:widowControl/>
        <w:spacing w:line="46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四、关于县清水泉管委会2019年财政拨款收支预算情况的总体说明</w:t>
      </w:r>
    </w:p>
    <w:p>
      <w:pPr>
        <w:widowControl/>
        <w:spacing w:line="46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五、关于县清水泉管委会2019年一般公共预算当年拨款情况说明</w:t>
      </w:r>
    </w:p>
    <w:p>
      <w:pPr>
        <w:widowControl/>
        <w:spacing w:line="46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六、关于县清水泉管委会2019年一般公共预算基本支出情况说明</w:t>
      </w:r>
    </w:p>
    <w:p>
      <w:pPr>
        <w:widowControl/>
        <w:spacing w:line="46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七、关于县清水泉管委会2019年项目支出情况说明</w:t>
      </w:r>
    </w:p>
    <w:p>
      <w:pPr>
        <w:widowControl/>
        <w:spacing w:line="46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八、关于县清水泉管委会2019年一般公共预算“三公”经费预算情况说明</w:t>
      </w:r>
    </w:p>
    <w:p>
      <w:pPr>
        <w:widowControl/>
        <w:spacing w:line="46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九、关于县清水泉管委会2019年政府性基金预算拨款情况说明</w:t>
      </w:r>
    </w:p>
    <w:p>
      <w:pPr>
        <w:widowControl/>
        <w:spacing w:line="46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outlineLvl w:val="1"/>
        <w:rPr>
          <w:rFonts w:ascii="宋体"/>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宋体"/>
          <w:kern w:val="0"/>
          <w:sz w:val="32"/>
          <w:szCs w:val="32"/>
        </w:rPr>
      </w:pPr>
    </w:p>
    <w:p>
      <w:pPr>
        <w:widowControl/>
        <w:jc w:val="center"/>
        <w:outlineLvl w:val="1"/>
        <w:rPr>
          <w:rFonts w:ascii="宋体"/>
          <w:kern w:val="0"/>
          <w:sz w:val="32"/>
          <w:szCs w:val="32"/>
        </w:rPr>
      </w:pPr>
    </w:p>
    <w:p>
      <w:pPr>
        <w:pStyle w:val="2"/>
        <w:rPr>
          <w:rFonts w:ascii="宋体"/>
          <w:kern w:val="0"/>
          <w:sz w:val="32"/>
          <w:szCs w:val="32"/>
        </w:rPr>
      </w:pPr>
    </w:p>
    <w:p>
      <w:pPr>
        <w:pStyle w:val="2"/>
        <w:rPr>
          <w:rFonts w:ascii="宋体"/>
          <w:kern w:val="0"/>
          <w:sz w:val="32"/>
          <w:szCs w:val="32"/>
        </w:rPr>
      </w:pPr>
    </w:p>
    <w:p>
      <w:pPr>
        <w:widowControl/>
        <w:numPr>
          <w:ilvl w:val="0"/>
          <w:numId w:val="1"/>
        </w:numPr>
        <w:spacing w:line="240" w:lineRule="auto"/>
        <w:jc w:val="center"/>
        <w:outlineLvl w:val="1"/>
        <w:rPr>
          <w:rFonts w:hint="eastAsia" w:ascii="黑体" w:hAnsi="黑体" w:eastAsia="黑体"/>
          <w:kern w:val="0"/>
          <w:sz w:val="32"/>
          <w:szCs w:val="32"/>
        </w:rPr>
      </w:pPr>
      <w:r>
        <w:rPr>
          <w:rFonts w:hint="eastAsia" w:ascii="黑体" w:hAnsi="黑体" w:eastAsia="黑体"/>
          <w:kern w:val="0"/>
          <w:sz w:val="32"/>
          <w:szCs w:val="32"/>
        </w:rPr>
        <w:t xml:space="preserve"> 县清水泉管委会单位概况</w:t>
      </w:r>
    </w:p>
    <w:p>
      <w:pPr>
        <w:widowControl/>
        <w:spacing w:line="560" w:lineRule="exact"/>
        <w:jc w:val="left"/>
        <w:rPr>
          <w:rFonts w:ascii="宋体" w:hAnsi="宋体" w:cs="宋体"/>
          <w:kern w:val="0"/>
          <w:sz w:val="32"/>
          <w:szCs w:val="32"/>
        </w:rPr>
      </w:pPr>
      <w:r>
        <w:rPr>
          <w:rFonts w:hint="eastAsia" w:ascii="宋体" w:hAnsi="宋体" w:cs="宋体"/>
          <w:kern w:val="0"/>
          <w:sz w:val="32"/>
          <w:szCs w:val="32"/>
        </w:rPr>
        <w:t>　</w:t>
      </w:r>
      <w:r>
        <w:rPr>
          <w:rFonts w:ascii="宋体" w:hAnsi="宋体" w:cs="宋体"/>
          <w:kern w:val="0"/>
          <w:sz w:val="32"/>
          <w:szCs w:val="32"/>
        </w:rPr>
        <w:t xml:space="preserve"> </w:t>
      </w:r>
    </w:p>
    <w:p>
      <w:pPr>
        <w:widowControl/>
        <w:spacing w:line="560" w:lineRule="exact"/>
        <w:jc w:val="left"/>
        <w:rPr>
          <w:rFonts w:hint="eastAsia" w:ascii="黑体" w:hAnsi="黑体" w:eastAsia="黑体" w:cs="黑体"/>
          <w:kern w:val="0"/>
          <w:sz w:val="32"/>
          <w:szCs w:val="32"/>
        </w:rPr>
      </w:pPr>
      <w:r>
        <w:rPr>
          <w:rFonts w:ascii="宋体" w:hAnsi="宋体" w:cs="宋体"/>
          <w:kern w:val="0"/>
          <w:sz w:val="32"/>
          <w:szCs w:val="32"/>
        </w:rPr>
        <w:t xml:space="preserve"> </w:t>
      </w:r>
      <w:r>
        <w:rPr>
          <w:rFonts w:hint="eastAsia" w:ascii="宋体" w:hAnsi="宋体" w:cs="宋体"/>
          <w:kern w:val="0"/>
          <w:sz w:val="32"/>
          <w:szCs w:val="32"/>
          <w:lang w:val="en-US" w:eastAsia="zh-CN"/>
        </w:rPr>
        <w:t xml:space="preserve"> </w:t>
      </w:r>
      <w:r>
        <w:rPr>
          <w:rFonts w:hint="eastAsia" w:ascii="宋体" w:hAnsi="宋体" w:cs="宋体"/>
          <w:b/>
          <w:bCs/>
          <w:kern w:val="0"/>
          <w:sz w:val="32"/>
          <w:szCs w:val="32"/>
          <w:lang w:val="en-US" w:eastAsia="zh-CN"/>
        </w:rPr>
        <w:t xml:space="preserve"> </w:t>
      </w:r>
      <w:r>
        <w:rPr>
          <w:rFonts w:hint="eastAsia" w:ascii="仿宋_GB2312" w:hAnsi="宋体" w:eastAsia="仿宋_GB2312" w:cs="宋体"/>
          <w:b/>
          <w:bCs/>
          <w:kern w:val="0"/>
          <w:sz w:val="32"/>
          <w:szCs w:val="32"/>
          <w:lang w:val="en-US" w:eastAsia="zh-CN"/>
        </w:rPr>
        <w:t xml:space="preserve"> </w:t>
      </w:r>
      <w:r>
        <w:rPr>
          <w:rFonts w:hint="eastAsia" w:ascii="黑体" w:hAnsi="黑体" w:eastAsia="黑体" w:cs="黑体"/>
          <w:b w:val="0"/>
          <w:bCs w:val="0"/>
          <w:kern w:val="0"/>
          <w:sz w:val="32"/>
          <w:szCs w:val="32"/>
        </w:rPr>
        <w:t>一、主要职能</w:t>
      </w:r>
    </w:p>
    <w:p>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受县委、县人民政府委托，统一领导和管理辖区党务、行政、社会事务工作，促进片区和谐发展。负责拟定片区发展规划，提出强化“两个机制</w:t>
      </w:r>
      <w:r>
        <w:rPr>
          <w:rFonts w:hint="default"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夯实基层基础工作的建议和措施，并组织实施；统筹整合辖区行政资源、社会资源和公共服务资源，综合协调相关职能部门和驻区单位，为辖区居民提供民生保障、社会治安、城市管理等综合服务；加强党的组织基层建设，依法指导社区居民自治，推动社区建设，促进社会组织健康发展；对相关职能部门和驻区企事业单位履行社会管理和公共服务职能情况进行监督、检查和考核；做好辖区社会治安综合治理及维稳工作，指导驻村单位的精神文明建设工作，促进社会文明、和谐、稳定、发展。</w:t>
      </w:r>
    </w:p>
    <w:p>
      <w:pPr>
        <w:widowControl/>
        <w:spacing w:line="560" w:lineRule="exact"/>
        <w:jc w:val="left"/>
        <w:rPr>
          <w:rFonts w:hint="eastAsia" w:ascii="黑体" w:hAnsi="黑体" w:eastAsia="黑体" w:cs="黑体"/>
          <w:kern w:val="0"/>
          <w:sz w:val="32"/>
          <w:szCs w:val="32"/>
        </w:rPr>
      </w:pPr>
      <w:r>
        <w:rPr>
          <w:rFonts w:hint="eastAsia" w:ascii="宋体" w:hAnsi="宋体" w:cs="宋体"/>
          <w:kern w:val="0"/>
          <w:sz w:val="32"/>
          <w:szCs w:val="32"/>
        </w:rPr>
        <w:t>　</w:t>
      </w:r>
      <w:r>
        <w:rPr>
          <w:rFonts w:ascii="宋体" w:hAnsi="宋体" w:cs="宋体"/>
          <w:kern w:val="0"/>
          <w:sz w:val="32"/>
          <w:szCs w:val="32"/>
        </w:rPr>
        <w:t xml:space="preserve"> </w:t>
      </w:r>
      <w:r>
        <w:rPr>
          <w:rFonts w:hint="eastAsia" w:ascii="黑体" w:hAnsi="黑体" w:eastAsia="黑体" w:cs="黑体"/>
          <w:kern w:val="0"/>
          <w:sz w:val="32"/>
          <w:szCs w:val="32"/>
        </w:rPr>
        <w:t xml:space="preserve"> 二、机构设置及人员情况</w:t>
      </w:r>
    </w:p>
    <w:p>
      <w:pPr>
        <w:widowControl/>
        <w:spacing w:line="56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县清水泉管委会无下属预算单位，下设0个处室，分别是：无。</w:t>
      </w:r>
    </w:p>
    <w:p>
      <w:pPr>
        <w:widowControl/>
        <w:spacing w:line="56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县清水泉片区管委会编制数18，实有人数5人，其中：在职5人，较上年无增减变动； 退休0人，较上年无增减变动；离休0人，较上年无增减变动。</w:t>
      </w:r>
    </w:p>
    <w:p>
      <w:pPr>
        <w:pStyle w:val="2"/>
      </w:pPr>
    </w:p>
    <w:p>
      <w:pPr>
        <w:widowControl/>
        <w:spacing w:beforeLines="50" w:line="240" w:lineRule="auto"/>
        <w:jc w:val="center"/>
        <w:outlineLvl w:val="1"/>
        <w:rPr>
          <w:rFonts w:hint="eastAsia" w:ascii="黑体" w:hAnsi="黑体" w:eastAsia="黑体"/>
          <w:kern w:val="0"/>
          <w:sz w:val="32"/>
          <w:szCs w:val="32"/>
        </w:rPr>
      </w:pPr>
      <w:r>
        <w:rPr>
          <w:rFonts w:hint="eastAsia" w:ascii="黑体" w:hAnsi="黑体" w:eastAsia="黑体"/>
          <w:kern w:val="0"/>
          <w:sz w:val="32"/>
          <w:szCs w:val="32"/>
        </w:rPr>
        <w:t>第二部分 2019年部门预算公开表</w:t>
      </w:r>
    </w:p>
    <w:p>
      <w:pPr>
        <w:widowControl/>
        <w:spacing w:beforeLines="50" w:line="240" w:lineRule="auto"/>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宋体"/>
          <w:b/>
          <w:kern w:val="0"/>
          <w:sz w:val="32"/>
          <w:szCs w:val="32"/>
        </w:rPr>
      </w:pPr>
      <w:r>
        <w:rPr>
          <w:rFonts w:hint="eastAsia" w:ascii="仿宋_GB2312" w:hAnsi="宋体" w:eastAsia="仿宋_GB2312"/>
          <w:b/>
          <w:kern w:val="0"/>
          <w:sz w:val="32"/>
          <w:szCs w:val="32"/>
        </w:rPr>
        <w:t>部门收支总体情况表</w:t>
      </w:r>
    </w:p>
    <w:p>
      <w:pPr>
        <w:widowControl/>
        <w:spacing w:line="240" w:lineRule="auto"/>
        <w:outlineLvl w:val="1"/>
        <w:rPr>
          <w:rFonts w:hint="eastAsia"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val="en-US" w:eastAsia="zh-CN"/>
        </w:rPr>
        <w:t>:</w:t>
      </w:r>
      <w:r>
        <w:rPr>
          <w:rFonts w:hint="eastAsia" w:ascii="仿宋_GB2312" w:hAnsi="宋体" w:eastAsia="仿宋_GB2312"/>
          <w:kern w:val="0"/>
          <w:sz w:val="24"/>
        </w:rPr>
        <w:t>县清水泉管委会                                   单位：万元</w:t>
      </w:r>
    </w:p>
    <w:tbl>
      <w:tblPr>
        <w:tblStyle w:val="9"/>
        <w:tblW w:w="8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1988"/>
        <w:gridCol w:w="269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55" w:type="dxa"/>
            <w:gridSpan w:val="2"/>
            <w:noWrap/>
            <w:vAlign w:val="bottom"/>
          </w:tcPr>
          <w:p>
            <w:pPr>
              <w:widowControl/>
              <w:jc w:val="center"/>
              <w:rPr>
                <w:rFonts w:ascii="宋体" w:cs="宋体"/>
                <w:b/>
                <w:bCs/>
                <w:kern w:val="0"/>
                <w:sz w:val="24"/>
              </w:rPr>
            </w:pPr>
            <w:r>
              <w:rPr>
                <w:rFonts w:hint="eastAsia" w:ascii="仿宋_GB2312" w:hAnsi="宋体" w:eastAsia="仿宋_GB2312" w:cs="宋体"/>
                <w:b/>
                <w:bCs/>
                <w:kern w:val="0"/>
                <w:sz w:val="24"/>
              </w:rPr>
              <w:t>收</w:t>
            </w:r>
            <w:r>
              <w:rPr>
                <w:rFonts w:ascii="仿宋_GB2312" w:hAnsi="宋体" w:eastAsia="仿宋_GB2312" w:cs="宋体"/>
                <w:b/>
                <w:bCs/>
                <w:kern w:val="0"/>
                <w:sz w:val="24"/>
              </w:rPr>
              <w:t xml:space="preserve">     </w:t>
            </w:r>
            <w:r>
              <w:rPr>
                <w:rFonts w:hint="eastAsia" w:ascii="仿宋_GB2312" w:hAnsi="宋体" w:eastAsia="仿宋_GB2312" w:cs="宋体"/>
                <w:b/>
                <w:bCs/>
                <w:kern w:val="0"/>
                <w:sz w:val="24"/>
              </w:rPr>
              <w:t>入</w:t>
            </w:r>
          </w:p>
        </w:tc>
        <w:tc>
          <w:tcPr>
            <w:tcW w:w="4394" w:type="dxa"/>
            <w:gridSpan w:val="2"/>
            <w:noWrap/>
            <w:vAlign w:val="bottom"/>
          </w:tcPr>
          <w:p>
            <w:pPr>
              <w:widowControl/>
              <w:jc w:val="center"/>
              <w:rPr>
                <w:rFonts w:ascii="宋体" w:cs="宋体"/>
                <w:b/>
                <w:bCs/>
                <w:kern w:val="0"/>
                <w:sz w:val="24"/>
              </w:rPr>
            </w:pPr>
            <w:r>
              <w:rPr>
                <w:rFonts w:hint="eastAsia" w:ascii="仿宋_GB2312" w:hAnsi="宋体" w:eastAsia="仿宋_GB2312" w:cs="宋体"/>
                <w:b/>
                <w:bCs/>
                <w:kern w:val="0"/>
                <w:sz w:val="24"/>
              </w:rPr>
              <w:t>支</w:t>
            </w:r>
            <w:r>
              <w:rPr>
                <w:rFonts w:ascii="仿宋_GB2312" w:hAnsi="宋体" w:eastAsia="仿宋_GB2312" w:cs="宋体"/>
                <w:b/>
                <w:bCs/>
                <w:kern w:val="0"/>
                <w:sz w:val="24"/>
              </w:rPr>
              <w:t xml:space="preserve">     </w:t>
            </w:r>
            <w:r>
              <w:rPr>
                <w:rFonts w:hint="eastAsia" w:ascii="仿宋_GB2312" w:hAnsi="宋体" w:eastAsia="仿宋_GB2312" w:cs="宋体"/>
                <w:b/>
                <w:bCs/>
                <w:kern w:val="0"/>
                <w:sz w:val="24"/>
              </w:rPr>
              <w:t>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467" w:type="dxa"/>
            <w:noWrap/>
            <w:vAlign w:val="center"/>
          </w:tcPr>
          <w:p>
            <w:pPr>
              <w:widowControl/>
              <w:spacing w:line="300" w:lineRule="exact"/>
              <w:jc w:val="center"/>
              <w:rPr>
                <w:rFonts w:ascii="宋体" w:cs="宋体"/>
                <w:b/>
                <w:kern w:val="0"/>
                <w:sz w:val="20"/>
                <w:szCs w:val="20"/>
              </w:rPr>
            </w:pPr>
            <w:r>
              <w:rPr>
                <w:rFonts w:hint="eastAsia" w:ascii="仿宋_GB2312" w:hAnsi="宋体" w:eastAsia="仿宋_GB2312" w:cs="宋体"/>
                <w:b/>
                <w:kern w:val="0"/>
                <w:sz w:val="20"/>
                <w:szCs w:val="20"/>
              </w:rPr>
              <w:t>项</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目</w:t>
            </w:r>
          </w:p>
        </w:tc>
        <w:tc>
          <w:tcPr>
            <w:tcW w:w="1988" w:type="dxa"/>
            <w:noWrap/>
            <w:vAlign w:val="center"/>
          </w:tcPr>
          <w:p>
            <w:pPr>
              <w:widowControl/>
              <w:spacing w:line="300" w:lineRule="exact"/>
              <w:jc w:val="center"/>
              <w:rPr>
                <w:rFonts w:ascii="宋体" w:cs="宋体"/>
                <w:b/>
                <w:kern w:val="0"/>
                <w:sz w:val="20"/>
                <w:szCs w:val="20"/>
              </w:rPr>
            </w:pPr>
            <w:r>
              <w:rPr>
                <w:rFonts w:hint="eastAsia" w:ascii="仿宋_GB2312" w:hAnsi="宋体" w:eastAsia="仿宋_GB2312" w:cs="宋体"/>
                <w:b/>
                <w:kern w:val="0"/>
                <w:sz w:val="20"/>
                <w:szCs w:val="20"/>
              </w:rPr>
              <w:t>预算数</w:t>
            </w:r>
          </w:p>
        </w:tc>
        <w:tc>
          <w:tcPr>
            <w:tcW w:w="2693" w:type="dxa"/>
            <w:noWrap/>
            <w:vAlign w:val="center"/>
          </w:tcPr>
          <w:p>
            <w:pPr>
              <w:widowControl/>
              <w:spacing w:line="300" w:lineRule="exact"/>
              <w:jc w:val="center"/>
              <w:rPr>
                <w:rFonts w:ascii="宋体" w:cs="宋体"/>
                <w:b/>
                <w:kern w:val="0"/>
                <w:sz w:val="20"/>
                <w:szCs w:val="20"/>
              </w:rPr>
            </w:pPr>
            <w:r>
              <w:rPr>
                <w:rFonts w:hint="eastAsia" w:ascii="仿宋_GB2312" w:hAnsi="宋体" w:eastAsia="仿宋_GB2312" w:cs="宋体"/>
                <w:b/>
                <w:kern w:val="0"/>
                <w:sz w:val="20"/>
                <w:szCs w:val="20"/>
              </w:rPr>
              <w:t>功能分类</w:t>
            </w:r>
          </w:p>
        </w:tc>
        <w:tc>
          <w:tcPr>
            <w:tcW w:w="1701" w:type="dxa"/>
            <w:noWrap/>
            <w:vAlign w:val="center"/>
          </w:tcPr>
          <w:p>
            <w:pPr>
              <w:widowControl/>
              <w:spacing w:line="300" w:lineRule="exact"/>
              <w:jc w:val="center"/>
              <w:rPr>
                <w:rFonts w:ascii="宋体" w:cs="宋体"/>
                <w:b/>
                <w:kern w:val="0"/>
                <w:sz w:val="20"/>
                <w:szCs w:val="20"/>
              </w:rPr>
            </w:pPr>
            <w:r>
              <w:rPr>
                <w:rFonts w:hint="eastAsia" w:ascii="仿宋_GB2312" w:hAnsi="宋体" w:eastAsia="仿宋_GB2312" w:cs="宋体"/>
                <w:b/>
                <w:kern w:val="0"/>
                <w:sz w:val="20"/>
                <w:szCs w:val="20"/>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467" w:type="dxa"/>
            <w:noWrap/>
            <w:vAlign w:val="center"/>
          </w:tcPr>
          <w:p>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财政拨款（补助）</w:t>
            </w:r>
          </w:p>
        </w:tc>
        <w:tc>
          <w:tcPr>
            <w:tcW w:w="1988" w:type="dxa"/>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166.01</w:t>
            </w:r>
          </w:p>
        </w:tc>
        <w:tc>
          <w:tcPr>
            <w:tcW w:w="2693" w:type="dxa"/>
            <w:noWrap/>
            <w:vAlign w:val="center"/>
          </w:tcPr>
          <w:p>
            <w:pPr>
              <w:widowControl/>
              <w:spacing w:line="300" w:lineRule="exact"/>
              <w:jc w:val="left"/>
              <w:rPr>
                <w:rFonts w:ascii="宋体" w:cs="宋体"/>
                <w:sz w:val="18"/>
                <w:szCs w:val="18"/>
              </w:rPr>
            </w:pPr>
            <w:r>
              <w:rPr>
                <w:rFonts w:ascii="仿宋_GB2312" w:hAnsi="宋体" w:eastAsia="仿宋_GB2312" w:cs="宋体"/>
                <w:kern w:val="0"/>
                <w:sz w:val="18"/>
                <w:szCs w:val="18"/>
              </w:rPr>
              <w:t xml:space="preserve">201 </w:t>
            </w:r>
            <w:r>
              <w:rPr>
                <w:rFonts w:hint="eastAsia" w:ascii="仿宋_GB2312" w:hAnsi="宋体" w:eastAsia="仿宋_GB2312" w:cs="宋体"/>
                <w:kern w:val="0"/>
                <w:sz w:val="18"/>
                <w:szCs w:val="18"/>
              </w:rPr>
              <w:t>一般公共服务支出</w:t>
            </w:r>
          </w:p>
        </w:tc>
        <w:tc>
          <w:tcPr>
            <w:tcW w:w="1701" w:type="dxa"/>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92.86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467" w:type="dxa"/>
            <w:noWrap/>
            <w:vAlign w:val="center"/>
          </w:tcPr>
          <w:p>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一般公共预算</w:t>
            </w:r>
          </w:p>
        </w:tc>
        <w:tc>
          <w:tcPr>
            <w:tcW w:w="1988" w:type="dxa"/>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166.01</w:t>
            </w:r>
          </w:p>
        </w:tc>
        <w:tc>
          <w:tcPr>
            <w:tcW w:w="2693" w:type="dxa"/>
            <w:noWrap/>
            <w:vAlign w:val="center"/>
          </w:tcPr>
          <w:p>
            <w:pPr>
              <w:widowControl/>
              <w:spacing w:line="300" w:lineRule="exact"/>
              <w:jc w:val="left"/>
              <w:rPr>
                <w:rFonts w:ascii="宋体" w:cs="宋体"/>
                <w:sz w:val="18"/>
                <w:szCs w:val="18"/>
              </w:rPr>
            </w:pPr>
            <w:r>
              <w:rPr>
                <w:rFonts w:ascii="仿宋_GB2312" w:hAnsi="宋体" w:eastAsia="仿宋_GB2312" w:cs="宋体"/>
                <w:kern w:val="0"/>
                <w:sz w:val="18"/>
                <w:szCs w:val="18"/>
              </w:rPr>
              <w:t xml:space="preserve">202 </w:t>
            </w:r>
            <w:r>
              <w:rPr>
                <w:rFonts w:hint="eastAsia" w:ascii="仿宋_GB2312" w:hAnsi="宋体" w:eastAsia="仿宋_GB2312" w:cs="宋体"/>
                <w:kern w:val="0"/>
                <w:sz w:val="18"/>
                <w:szCs w:val="18"/>
              </w:rPr>
              <w:t>外交支出</w:t>
            </w:r>
          </w:p>
        </w:tc>
        <w:tc>
          <w:tcPr>
            <w:tcW w:w="1701" w:type="dxa"/>
            <w:vAlign w:val="center"/>
          </w:tcPr>
          <w:p>
            <w:pPr>
              <w:spacing w:line="240" w:lineRule="auto"/>
              <w:jc w:val="right"/>
              <w:rPr>
                <w:rFonts w:hint="eastAsia" w:ascii="仿宋_GB2312" w:eastAsia="仿宋_GB2312"/>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467" w:type="dxa"/>
            <w:noWrap/>
            <w:vAlign w:val="center"/>
          </w:tcPr>
          <w:p>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政府性基金预算</w:t>
            </w:r>
          </w:p>
        </w:tc>
        <w:tc>
          <w:tcPr>
            <w:tcW w:w="1988" w:type="dxa"/>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693" w:type="dxa"/>
            <w:noWrap/>
            <w:vAlign w:val="center"/>
          </w:tcPr>
          <w:p>
            <w:pPr>
              <w:widowControl/>
              <w:spacing w:line="300" w:lineRule="exact"/>
              <w:jc w:val="left"/>
              <w:rPr>
                <w:rFonts w:ascii="宋体" w:cs="宋体"/>
                <w:sz w:val="18"/>
                <w:szCs w:val="18"/>
              </w:rPr>
            </w:pPr>
            <w:r>
              <w:rPr>
                <w:rFonts w:ascii="仿宋_GB2312" w:hAnsi="宋体" w:eastAsia="仿宋_GB2312" w:cs="宋体"/>
                <w:kern w:val="0"/>
                <w:sz w:val="18"/>
                <w:szCs w:val="18"/>
              </w:rPr>
              <w:t xml:space="preserve">203 </w:t>
            </w:r>
            <w:r>
              <w:rPr>
                <w:rFonts w:hint="eastAsia" w:ascii="仿宋_GB2312" w:hAnsi="宋体" w:eastAsia="仿宋_GB2312" w:cs="宋体"/>
                <w:kern w:val="0"/>
                <w:sz w:val="18"/>
                <w:szCs w:val="18"/>
              </w:rPr>
              <w:t>国防支出</w:t>
            </w:r>
          </w:p>
        </w:tc>
        <w:tc>
          <w:tcPr>
            <w:tcW w:w="1701" w:type="dxa"/>
            <w:vAlign w:val="center"/>
          </w:tcPr>
          <w:p>
            <w:pPr>
              <w:spacing w:line="240" w:lineRule="auto"/>
              <w:jc w:val="right"/>
              <w:rPr>
                <w:rFonts w:hint="eastAsia" w:ascii="仿宋_GB2312" w:eastAsia="仿宋_GB2312"/>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467" w:type="dxa"/>
            <w:noWrap/>
            <w:vAlign w:val="center"/>
          </w:tcPr>
          <w:p>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教育收费（财政专户）</w:t>
            </w:r>
          </w:p>
        </w:tc>
        <w:tc>
          <w:tcPr>
            <w:tcW w:w="1988" w:type="dxa"/>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693" w:type="dxa"/>
            <w:noWrap/>
            <w:vAlign w:val="center"/>
          </w:tcPr>
          <w:p>
            <w:pPr>
              <w:widowControl/>
              <w:spacing w:line="300" w:lineRule="exact"/>
              <w:jc w:val="left"/>
              <w:rPr>
                <w:rFonts w:ascii="宋体" w:cs="宋体"/>
                <w:sz w:val="18"/>
                <w:szCs w:val="18"/>
              </w:rPr>
            </w:pPr>
            <w:r>
              <w:rPr>
                <w:rFonts w:ascii="仿宋_GB2312" w:hAnsi="宋体" w:eastAsia="仿宋_GB2312" w:cs="宋体"/>
                <w:kern w:val="0"/>
                <w:sz w:val="18"/>
                <w:szCs w:val="18"/>
              </w:rPr>
              <w:t xml:space="preserve">204 </w:t>
            </w:r>
            <w:r>
              <w:rPr>
                <w:rFonts w:hint="eastAsia" w:ascii="仿宋_GB2312" w:hAnsi="宋体" w:eastAsia="仿宋_GB2312" w:cs="宋体"/>
                <w:kern w:val="0"/>
                <w:sz w:val="18"/>
                <w:szCs w:val="18"/>
              </w:rPr>
              <w:t>公共安全支出</w:t>
            </w:r>
          </w:p>
        </w:tc>
        <w:tc>
          <w:tcPr>
            <w:tcW w:w="1701" w:type="dxa"/>
            <w:vAlign w:val="center"/>
          </w:tcPr>
          <w:p>
            <w:pPr>
              <w:spacing w:line="240" w:lineRule="auto"/>
              <w:jc w:val="right"/>
              <w:rPr>
                <w:rFonts w:hint="eastAsia" w:ascii="仿宋_GB2312" w:eastAsia="仿宋_GB2312"/>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467" w:type="dxa"/>
            <w:noWrap/>
            <w:vAlign w:val="center"/>
          </w:tcPr>
          <w:p>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事业收入</w:t>
            </w:r>
          </w:p>
        </w:tc>
        <w:tc>
          <w:tcPr>
            <w:tcW w:w="1988" w:type="dxa"/>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693" w:type="dxa"/>
            <w:noWrap/>
            <w:vAlign w:val="center"/>
          </w:tcPr>
          <w:p>
            <w:pPr>
              <w:widowControl/>
              <w:spacing w:line="300" w:lineRule="exact"/>
              <w:jc w:val="left"/>
              <w:rPr>
                <w:rFonts w:ascii="宋体" w:cs="宋体"/>
                <w:sz w:val="18"/>
                <w:szCs w:val="18"/>
              </w:rPr>
            </w:pPr>
            <w:r>
              <w:rPr>
                <w:rFonts w:ascii="仿宋_GB2312" w:hAnsi="宋体" w:eastAsia="仿宋_GB2312" w:cs="宋体"/>
                <w:kern w:val="0"/>
                <w:sz w:val="18"/>
                <w:szCs w:val="18"/>
              </w:rPr>
              <w:t xml:space="preserve">205 </w:t>
            </w:r>
            <w:r>
              <w:rPr>
                <w:rFonts w:hint="eastAsia" w:ascii="仿宋_GB2312" w:hAnsi="宋体" w:eastAsia="仿宋_GB2312" w:cs="宋体"/>
                <w:kern w:val="0"/>
                <w:sz w:val="18"/>
                <w:szCs w:val="18"/>
              </w:rPr>
              <w:t>教育支出</w:t>
            </w:r>
          </w:p>
        </w:tc>
        <w:tc>
          <w:tcPr>
            <w:tcW w:w="1701" w:type="dxa"/>
            <w:vAlign w:val="center"/>
          </w:tcPr>
          <w:p>
            <w:pPr>
              <w:spacing w:line="240" w:lineRule="auto"/>
              <w:jc w:val="right"/>
              <w:rPr>
                <w:rFonts w:hint="eastAsia" w:ascii="仿宋_GB2312" w:eastAsia="仿宋_GB2312"/>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467" w:type="dxa"/>
            <w:noWrap/>
            <w:vAlign w:val="center"/>
          </w:tcPr>
          <w:p>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事业单位经营收入</w:t>
            </w:r>
          </w:p>
        </w:tc>
        <w:tc>
          <w:tcPr>
            <w:tcW w:w="1988" w:type="dxa"/>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693" w:type="dxa"/>
            <w:noWrap/>
            <w:vAlign w:val="center"/>
          </w:tcPr>
          <w:p>
            <w:pPr>
              <w:widowControl/>
              <w:spacing w:line="300" w:lineRule="exact"/>
              <w:jc w:val="left"/>
              <w:rPr>
                <w:rFonts w:ascii="宋体" w:cs="宋体"/>
                <w:sz w:val="18"/>
                <w:szCs w:val="18"/>
              </w:rPr>
            </w:pPr>
            <w:r>
              <w:rPr>
                <w:rFonts w:ascii="仿宋_GB2312" w:hAnsi="宋体" w:eastAsia="仿宋_GB2312" w:cs="宋体"/>
                <w:kern w:val="0"/>
                <w:sz w:val="18"/>
                <w:szCs w:val="18"/>
              </w:rPr>
              <w:t xml:space="preserve">206 </w:t>
            </w:r>
            <w:r>
              <w:rPr>
                <w:rFonts w:hint="eastAsia" w:ascii="仿宋_GB2312" w:hAnsi="宋体" w:eastAsia="仿宋_GB2312" w:cs="宋体"/>
                <w:kern w:val="0"/>
                <w:sz w:val="18"/>
                <w:szCs w:val="18"/>
              </w:rPr>
              <w:t>科学技术支出</w:t>
            </w:r>
          </w:p>
        </w:tc>
        <w:tc>
          <w:tcPr>
            <w:tcW w:w="1701" w:type="dxa"/>
            <w:vAlign w:val="center"/>
          </w:tcPr>
          <w:p>
            <w:pPr>
              <w:spacing w:line="240" w:lineRule="auto"/>
              <w:jc w:val="right"/>
              <w:rPr>
                <w:rFonts w:hint="eastAsia" w:ascii="仿宋_GB2312" w:eastAsia="仿宋_GB2312"/>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467" w:type="dxa"/>
            <w:noWrap/>
            <w:vAlign w:val="center"/>
          </w:tcPr>
          <w:p>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其他收入</w:t>
            </w:r>
          </w:p>
        </w:tc>
        <w:tc>
          <w:tcPr>
            <w:tcW w:w="1988" w:type="dxa"/>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693" w:type="dxa"/>
            <w:noWrap/>
            <w:vAlign w:val="center"/>
          </w:tcPr>
          <w:p>
            <w:pPr>
              <w:widowControl/>
              <w:spacing w:line="300" w:lineRule="exact"/>
              <w:jc w:val="left"/>
              <w:rPr>
                <w:rFonts w:ascii="宋体" w:cs="宋体"/>
                <w:sz w:val="18"/>
                <w:szCs w:val="18"/>
              </w:rPr>
            </w:pPr>
            <w:r>
              <w:rPr>
                <w:rFonts w:ascii="仿宋_GB2312" w:hAnsi="宋体" w:eastAsia="仿宋_GB2312" w:cs="宋体"/>
                <w:kern w:val="0"/>
                <w:sz w:val="18"/>
                <w:szCs w:val="18"/>
              </w:rPr>
              <w:t xml:space="preserve">207 </w:t>
            </w:r>
            <w:r>
              <w:rPr>
                <w:rFonts w:hint="eastAsia" w:ascii="仿宋_GB2312" w:hAnsi="宋体" w:eastAsia="仿宋_GB2312" w:cs="宋体"/>
                <w:kern w:val="0"/>
                <w:sz w:val="18"/>
                <w:szCs w:val="18"/>
              </w:rPr>
              <w:t>文化旅游体育与传媒支出</w:t>
            </w:r>
          </w:p>
        </w:tc>
        <w:tc>
          <w:tcPr>
            <w:tcW w:w="1701" w:type="dxa"/>
            <w:vAlign w:val="center"/>
          </w:tcPr>
          <w:p>
            <w:pPr>
              <w:spacing w:line="240" w:lineRule="auto"/>
              <w:jc w:val="right"/>
              <w:rPr>
                <w:rFonts w:hint="eastAsia" w:ascii="仿宋_GB2312" w:eastAsia="仿宋_GB2312"/>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467" w:type="dxa"/>
            <w:noWrap/>
            <w:vAlign w:val="bottom"/>
          </w:tcPr>
          <w:p>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用事业基金弥补收支差额</w:t>
            </w:r>
          </w:p>
        </w:tc>
        <w:tc>
          <w:tcPr>
            <w:tcW w:w="1988" w:type="dxa"/>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693" w:type="dxa"/>
            <w:noWrap/>
            <w:vAlign w:val="center"/>
          </w:tcPr>
          <w:p>
            <w:pPr>
              <w:widowControl/>
              <w:spacing w:line="300" w:lineRule="exact"/>
              <w:jc w:val="left"/>
              <w:rPr>
                <w:rFonts w:ascii="宋体" w:cs="宋体"/>
                <w:sz w:val="18"/>
                <w:szCs w:val="18"/>
              </w:rPr>
            </w:pPr>
            <w:r>
              <w:rPr>
                <w:rFonts w:ascii="仿宋_GB2312" w:hAnsi="宋体" w:eastAsia="仿宋_GB2312" w:cs="宋体"/>
                <w:kern w:val="0"/>
                <w:sz w:val="18"/>
                <w:szCs w:val="18"/>
              </w:rPr>
              <w:t xml:space="preserve">208 </w:t>
            </w:r>
            <w:r>
              <w:rPr>
                <w:rFonts w:hint="eastAsia" w:ascii="仿宋_GB2312" w:hAnsi="宋体" w:eastAsia="仿宋_GB2312" w:cs="宋体"/>
                <w:kern w:val="0"/>
                <w:sz w:val="18"/>
                <w:szCs w:val="18"/>
              </w:rPr>
              <w:t>社会保障和就业支出</w:t>
            </w:r>
          </w:p>
        </w:tc>
        <w:tc>
          <w:tcPr>
            <w:tcW w:w="1701" w:type="dxa"/>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73.15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467" w:type="dxa"/>
            <w:noWrap/>
            <w:vAlign w:val="bottom"/>
          </w:tcPr>
          <w:p>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noWrap/>
            <w:vAlign w:val="bottom"/>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693" w:type="dxa"/>
            <w:noWrap/>
            <w:vAlign w:val="center"/>
          </w:tcPr>
          <w:p>
            <w:pPr>
              <w:widowControl/>
              <w:spacing w:line="300" w:lineRule="exact"/>
              <w:jc w:val="left"/>
              <w:rPr>
                <w:rFonts w:ascii="宋体" w:cs="宋体"/>
                <w:sz w:val="18"/>
                <w:szCs w:val="18"/>
              </w:rPr>
            </w:pPr>
            <w:r>
              <w:rPr>
                <w:rFonts w:ascii="仿宋_GB2312" w:hAnsi="宋体" w:eastAsia="仿宋_GB2312" w:cs="宋体"/>
                <w:kern w:val="0"/>
                <w:sz w:val="18"/>
                <w:szCs w:val="18"/>
              </w:rPr>
              <w:t xml:space="preserve">209 </w:t>
            </w:r>
            <w:r>
              <w:rPr>
                <w:rFonts w:hint="eastAsia" w:ascii="仿宋_GB2312" w:hAnsi="宋体" w:eastAsia="仿宋_GB2312" w:cs="宋体"/>
                <w:kern w:val="0"/>
                <w:sz w:val="18"/>
                <w:szCs w:val="18"/>
              </w:rPr>
              <w:t>社会保险基金支出</w:t>
            </w:r>
          </w:p>
        </w:tc>
        <w:tc>
          <w:tcPr>
            <w:tcW w:w="1701" w:type="dxa"/>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467" w:type="dxa"/>
            <w:noWrap/>
            <w:vAlign w:val="bottom"/>
          </w:tcPr>
          <w:p>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noWrap/>
            <w:vAlign w:val="bottom"/>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693" w:type="dxa"/>
            <w:noWrap/>
            <w:vAlign w:val="center"/>
          </w:tcPr>
          <w:p>
            <w:pPr>
              <w:widowControl/>
              <w:spacing w:line="300" w:lineRule="exact"/>
              <w:jc w:val="left"/>
              <w:rPr>
                <w:rFonts w:ascii="宋体" w:cs="宋体"/>
                <w:sz w:val="18"/>
                <w:szCs w:val="18"/>
              </w:rPr>
            </w:pPr>
            <w:r>
              <w:rPr>
                <w:rFonts w:ascii="仿宋_GB2312" w:hAnsi="宋体" w:eastAsia="仿宋_GB2312" w:cs="宋体"/>
                <w:kern w:val="0"/>
                <w:sz w:val="18"/>
                <w:szCs w:val="18"/>
              </w:rPr>
              <w:t xml:space="preserve">210 </w:t>
            </w:r>
            <w:r>
              <w:rPr>
                <w:rFonts w:hint="eastAsia" w:ascii="仿宋_GB2312" w:hAnsi="宋体" w:eastAsia="仿宋_GB2312" w:cs="宋体"/>
                <w:kern w:val="0"/>
                <w:sz w:val="18"/>
                <w:szCs w:val="18"/>
              </w:rPr>
              <w:t>卫生健康支出</w:t>
            </w:r>
          </w:p>
        </w:tc>
        <w:tc>
          <w:tcPr>
            <w:tcW w:w="1701" w:type="dxa"/>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467" w:type="dxa"/>
            <w:noWrap/>
            <w:vAlign w:val="bottom"/>
          </w:tcPr>
          <w:p>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noWrap/>
            <w:vAlign w:val="bottom"/>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693" w:type="dxa"/>
            <w:noWrap/>
            <w:vAlign w:val="center"/>
          </w:tcPr>
          <w:p>
            <w:pPr>
              <w:widowControl/>
              <w:spacing w:line="300" w:lineRule="exact"/>
              <w:jc w:val="left"/>
              <w:rPr>
                <w:rFonts w:ascii="宋体" w:cs="宋体"/>
                <w:sz w:val="18"/>
                <w:szCs w:val="18"/>
              </w:rPr>
            </w:pPr>
            <w:r>
              <w:rPr>
                <w:rFonts w:ascii="仿宋_GB2312" w:hAnsi="宋体" w:eastAsia="仿宋_GB2312" w:cs="宋体"/>
                <w:kern w:val="0"/>
                <w:sz w:val="18"/>
                <w:szCs w:val="18"/>
              </w:rPr>
              <w:t xml:space="preserve">211 </w:t>
            </w:r>
            <w:r>
              <w:rPr>
                <w:rFonts w:hint="eastAsia" w:ascii="仿宋_GB2312" w:hAnsi="宋体" w:eastAsia="仿宋_GB2312" w:cs="宋体"/>
                <w:kern w:val="0"/>
                <w:sz w:val="18"/>
                <w:szCs w:val="18"/>
              </w:rPr>
              <w:t>节能环保支出</w:t>
            </w:r>
          </w:p>
        </w:tc>
        <w:tc>
          <w:tcPr>
            <w:tcW w:w="1701" w:type="dxa"/>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467" w:type="dxa"/>
            <w:noWrap/>
            <w:vAlign w:val="bottom"/>
          </w:tcPr>
          <w:p>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noWrap/>
            <w:vAlign w:val="bottom"/>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693" w:type="dxa"/>
            <w:noWrap/>
            <w:vAlign w:val="center"/>
          </w:tcPr>
          <w:p>
            <w:pPr>
              <w:widowControl/>
              <w:spacing w:line="300" w:lineRule="exact"/>
              <w:jc w:val="left"/>
              <w:rPr>
                <w:rFonts w:ascii="宋体" w:cs="宋体"/>
                <w:sz w:val="18"/>
                <w:szCs w:val="18"/>
              </w:rPr>
            </w:pPr>
            <w:r>
              <w:rPr>
                <w:rFonts w:ascii="仿宋_GB2312" w:hAnsi="宋体" w:eastAsia="仿宋_GB2312" w:cs="宋体"/>
                <w:kern w:val="0"/>
                <w:sz w:val="18"/>
                <w:szCs w:val="18"/>
              </w:rPr>
              <w:t xml:space="preserve">212 </w:t>
            </w:r>
            <w:r>
              <w:rPr>
                <w:rFonts w:hint="eastAsia" w:ascii="仿宋_GB2312" w:hAnsi="宋体" w:eastAsia="仿宋_GB2312" w:cs="宋体"/>
                <w:kern w:val="0"/>
                <w:sz w:val="18"/>
                <w:szCs w:val="18"/>
              </w:rPr>
              <w:t>城乡社区支出</w:t>
            </w:r>
          </w:p>
        </w:tc>
        <w:tc>
          <w:tcPr>
            <w:tcW w:w="1701" w:type="dxa"/>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467" w:type="dxa"/>
            <w:noWrap/>
            <w:vAlign w:val="bottom"/>
          </w:tcPr>
          <w:p>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noWrap/>
            <w:vAlign w:val="bottom"/>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693" w:type="dxa"/>
            <w:noWrap/>
            <w:vAlign w:val="center"/>
          </w:tcPr>
          <w:p>
            <w:pPr>
              <w:widowControl/>
              <w:spacing w:line="300" w:lineRule="exact"/>
              <w:jc w:val="left"/>
              <w:rPr>
                <w:rFonts w:ascii="宋体" w:cs="宋体"/>
                <w:sz w:val="18"/>
                <w:szCs w:val="18"/>
              </w:rPr>
            </w:pPr>
            <w:r>
              <w:rPr>
                <w:rFonts w:ascii="仿宋_GB2312" w:hAnsi="宋体" w:eastAsia="仿宋_GB2312" w:cs="宋体"/>
                <w:kern w:val="0"/>
                <w:sz w:val="18"/>
                <w:szCs w:val="18"/>
              </w:rPr>
              <w:t xml:space="preserve">213 </w:t>
            </w:r>
            <w:r>
              <w:rPr>
                <w:rFonts w:hint="eastAsia" w:ascii="仿宋_GB2312" w:hAnsi="宋体" w:eastAsia="仿宋_GB2312" w:cs="宋体"/>
                <w:kern w:val="0"/>
                <w:sz w:val="18"/>
                <w:szCs w:val="18"/>
              </w:rPr>
              <w:t>农林水支出</w:t>
            </w:r>
          </w:p>
        </w:tc>
        <w:tc>
          <w:tcPr>
            <w:tcW w:w="1701" w:type="dxa"/>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467" w:type="dxa"/>
            <w:noWrap/>
            <w:vAlign w:val="bottom"/>
          </w:tcPr>
          <w:p>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noWrap/>
            <w:vAlign w:val="bottom"/>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693" w:type="dxa"/>
            <w:noWrap/>
            <w:vAlign w:val="center"/>
          </w:tcPr>
          <w:p>
            <w:pPr>
              <w:widowControl/>
              <w:spacing w:line="300" w:lineRule="exact"/>
              <w:jc w:val="left"/>
              <w:rPr>
                <w:rFonts w:ascii="宋体" w:cs="宋体"/>
                <w:sz w:val="18"/>
                <w:szCs w:val="18"/>
              </w:rPr>
            </w:pPr>
            <w:r>
              <w:rPr>
                <w:rFonts w:ascii="仿宋_GB2312" w:hAnsi="宋体" w:eastAsia="仿宋_GB2312" w:cs="宋体"/>
                <w:kern w:val="0"/>
                <w:sz w:val="18"/>
                <w:szCs w:val="18"/>
              </w:rPr>
              <w:t xml:space="preserve">214 </w:t>
            </w:r>
            <w:r>
              <w:rPr>
                <w:rFonts w:hint="eastAsia" w:ascii="仿宋_GB2312" w:hAnsi="宋体" w:eastAsia="仿宋_GB2312" w:cs="宋体"/>
                <w:kern w:val="0"/>
                <w:sz w:val="18"/>
                <w:szCs w:val="18"/>
              </w:rPr>
              <w:t>交通运输支出</w:t>
            </w:r>
          </w:p>
        </w:tc>
        <w:tc>
          <w:tcPr>
            <w:tcW w:w="1701" w:type="dxa"/>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467" w:type="dxa"/>
            <w:noWrap/>
            <w:vAlign w:val="bottom"/>
          </w:tcPr>
          <w:p>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noWrap/>
            <w:vAlign w:val="bottom"/>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693" w:type="dxa"/>
            <w:noWrap/>
            <w:vAlign w:val="center"/>
          </w:tcPr>
          <w:p>
            <w:pPr>
              <w:widowControl/>
              <w:spacing w:line="300" w:lineRule="exact"/>
              <w:jc w:val="left"/>
              <w:rPr>
                <w:rFonts w:ascii="宋体" w:cs="宋体"/>
                <w:sz w:val="18"/>
                <w:szCs w:val="18"/>
              </w:rPr>
            </w:pPr>
            <w:r>
              <w:rPr>
                <w:rFonts w:ascii="仿宋_GB2312" w:hAnsi="宋体" w:eastAsia="仿宋_GB2312" w:cs="宋体"/>
                <w:kern w:val="0"/>
                <w:sz w:val="18"/>
                <w:szCs w:val="18"/>
              </w:rPr>
              <w:t xml:space="preserve">215 </w:t>
            </w:r>
            <w:r>
              <w:rPr>
                <w:rFonts w:hint="eastAsia" w:ascii="仿宋_GB2312" w:hAnsi="宋体" w:eastAsia="仿宋_GB2312" w:cs="宋体"/>
                <w:kern w:val="0"/>
                <w:sz w:val="18"/>
                <w:szCs w:val="18"/>
              </w:rPr>
              <w:t>资源勘探信息等支出</w:t>
            </w:r>
          </w:p>
        </w:tc>
        <w:tc>
          <w:tcPr>
            <w:tcW w:w="1701" w:type="dxa"/>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467" w:type="dxa"/>
            <w:noWrap/>
            <w:vAlign w:val="bottom"/>
          </w:tcPr>
          <w:p>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noWrap/>
            <w:vAlign w:val="bottom"/>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693" w:type="dxa"/>
            <w:noWrap/>
            <w:vAlign w:val="center"/>
          </w:tcPr>
          <w:p>
            <w:pPr>
              <w:widowControl/>
              <w:spacing w:line="300" w:lineRule="exact"/>
              <w:jc w:val="left"/>
              <w:rPr>
                <w:rFonts w:ascii="宋体" w:cs="宋体"/>
                <w:sz w:val="18"/>
                <w:szCs w:val="18"/>
              </w:rPr>
            </w:pPr>
            <w:r>
              <w:rPr>
                <w:rFonts w:ascii="仿宋_GB2312" w:hAnsi="宋体" w:eastAsia="仿宋_GB2312" w:cs="宋体"/>
                <w:kern w:val="0"/>
                <w:sz w:val="18"/>
                <w:szCs w:val="18"/>
              </w:rPr>
              <w:t xml:space="preserve">216 </w:t>
            </w:r>
            <w:r>
              <w:rPr>
                <w:rFonts w:hint="eastAsia" w:ascii="仿宋_GB2312" w:hAnsi="宋体" w:eastAsia="仿宋_GB2312" w:cs="宋体"/>
                <w:kern w:val="0"/>
                <w:sz w:val="18"/>
                <w:szCs w:val="18"/>
              </w:rPr>
              <w:t>商业服务业等支出</w:t>
            </w:r>
          </w:p>
        </w:tc>
        <w:tc>
          <w:tcPr>
            <w:tcW w:w="1701" w:type="dxa"/>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467" w:type="dxa"/>
            <w:noWrap/>
            <w:vAlign w:val="bottom"/>
          </w:tcPr>
          <w:p>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noWrap/>
            <w:vAlign w:val="bottom"/>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693" w:type="dxa"/>
            <w:noWrap/>
            <w:vAlign w:val="center"/>
          </w:tcPr>
          <w:p>
            <w:pPr>
              <w:widowControl/>
              <w:spacing w:line="300" w:lineRule="exact"/>
              <w:jc w:val="left"/>
              <w:rPr>
                <w:rFonts w:ascii="宋体" w:cs="宋体"/>
                <w:sz w:val="18"/>
                <w:szCs w:val="18"/>
              </w:rPr>
            </w:pPr>
            <w:r>
              <w:rPr>
                <w:rFonts w:ascii="仿宋_GB2312" w:hAnsi="宋体" w:eastAsia="仿宋_GB2312" w:cs="宋体"/>
                <w:kern w:val="0"/>
                <w:sz w:val="18"/>
                <w:szCs w:val="18"/>
              </w:rPr>
              <w:t xml:space="preserve">217 </w:t>
            </w:r>
            <w:r>
              <w:rPr>
                <w:rFonts w:hint="eastAsia" w:ascii="仿宋_GB2312" w:hAnsi="宋体" w:eastAsia="仿宋_GB2312" w:cs="宋体"/>
                <w:kern w:val="0"/>
                <w:sz w:val="18"/>
                <w:szCs w:val="18"/>
              </w:rPr>
              <w:t>金融支出</w:t>
            </w:r>
          </w:p>
        </w:tc>
        <w:tc>
          <w:tcPr>
            <w:tcW w:w="1701" w:type="dxa"/>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467" w:type="dxa"/>
            <w:noWrap/>
            <w:vAlign w:val="bottom"/>
          </w:tcPr>
          <w:p>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noWrap/>
            <w:vAlign w:val="bottom"/>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693" w:type="dxa"/>
            <w:noWrap/>
            <w:vAlign w:val="center"/>
          </w:tcPr>
          <w:p>
            <w:pPr>
              <w:widowControl/>
              <w:spacing w:line="300" w:lineRule="exact"/>
              <w:jc w:val="left"/>
              <w:rPr>
                <w:rFonts w:ascii="宋体" w:cs="宋体"/>
                <w:sz w:val="18"/>
                <w:szCs w:val="18"/>
              </w:rPr>
            </w:pPr>
            <w:r>
              <w:rPr>
                <w:rFonts w:ascii="仿宋_GB2312" w:hAnsi="宋体" w:eastAsia="仿宋_GB2312" w:cs="宋体"/>
                <w:kern w:val="0"/>
                <w:sz w:val="18"/>
                <w:szCs w:val="18"/>
              </w:rPr>
              <w:t xml:space="preserve">219 </w:t>
            </w:r>
            <w:r>
              <w:rPr>
                <w:rFonts w:hint="eastAsia" w:ascii="仿宋_GB2312" w:hAnsi="宋体" w:eastAsia="仿宋_GB2312" w:cs="宋体"/>
                <w:kern w:val="0"/>
                <w:sz w:val="18"/>
                <w:szCs w:val="18"/>
              </w:rPr>
              <w:t>援助其他地区支出</w:t>
            </w:r>
          </w:p>
        </w:tc>
        <w:tc>
          <w:tcPr>
            <w:tcW w:w="1701" w:type="dxa"/>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467" w:type="dxa"/>
            <w:noWrap/>
            <w:vAlign w:val="bottom"/>
          </w:tcPr>
          <w:p>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noWrap/>
            <w:vAlign w:val="bottom"/>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693" w:type="dxa"/>
            <w:noWrap/>
            <w:vAlign w:val="center"/>
          </w:tcPr>
          <w:p>
            <w:pPr>
              <w:widowControl/>
              <w:spacing w:line="300" w:lineRule="exact"/>
              <w:jc w:val="left"/>
              <w:rPr>
                <w:rFonts w:ascii="宋体" w:cs="宋体"/>
                <w:sz w:val="18"/>
                <w:szCs w:val="18"/>
              </w:rPr>
            </w:pPr>
            <w:r>
              <w:rPr>
                <w:rFonts w:ascii="仿宋_GB2312" w:hAnsi="宋体" w:eastAsia="仿宋_GB2312" w:cs="宋体"/>
                <w:kern w:val="0"/>
                <w:sz w:val="18"/>
                <w:szCs w:val="18"/>
              </w:rPr>
              <w:t xml:space="preserve">220 </w:t>
            </w:r>
            <w:r>
              <w:rPr>
                <w:rFonts w:hint="eastAsia" w:ascii="仿宋_GB2312" w:hAnsi="宋体" w:eastAsia="仿宋_GB2312" w:cs="宋体"/>
                <w:kern w:val="0"/>
                <w:sz w:val="18"/>
                <w:szCs w:val="18"/>
              </w:rPr>
              <w:t>自然资源海洋气象等支出</w:t>
            </w:r>
          </w:p>
        </w:tc>
        <w:tc>
          <w:tcPr>
            <w:tcW w:w="1701" w:type="dxa"/>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467" w:type="dxa"/>
            <w:noWrap/>
            <w:vAlign w:val="bottom"/>
          </w:tcPr>
          <w:p>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noWrap/>
            <w:vAlign w:val="bottom"/>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693" w:type="dxa"/>
            <w:noWrap/>
            <w:vAlign w:val="center"/>
          </w:tcPr>
          <w:p>
            <w:pPr>
              <w:widowControl/>
              <w:spacing w:line="300" w:lineRule="exact"/>
              <w:jc w:val="left"/>
              <w:rPr>
                <w:rFonts w:ascii="宋体" w:cs="宋体"/>
                <w:sz w:val="18"/>
                <w:szCs w:val="18"/>
              </w:rPr>
            </w:pPr>
            <w:r>
              <w:rPr>
                <w:rFonts w:ascii="仿宋_GB2312" w:hAnsi="宋体" w:eastAsia="仿宋_GB2312" w:cs="宋体"/>
                <w:kern w:val="0"/>
                <w:sz w:val="18"/>
                <w:szCs w:val="18"/>
              </w:rPr>
              <w:t xml:space="preserve">221 </w:t>
            </w:r>
            <w:r>
              <w:rPr>
                <w:rFonts w:hint="eastAsia" w:ascii="仿宋_GB2312" w:hAnsi="宋体" w:eastAsia="仿宋_GB2312" w:cs="宋体"/>
                <w:kern w:val="0"/>
                <w:sz w:val="18"/>
                <w:szCs w:val="18"/>
              </w:rPr>
              <w:t>住房保障支出</w:t>
            </w:r>
          </w:p>
        </w:tc>
        <w:tc>
          <w:tcPr>
            <w:tcW w:w="1701" w:type="dxa"/>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467" w:type="dxa"/>
            <w:noWrap/>
            <w:vAlign w:val="bottom"/>
          </w:tcPr>
          <w:p>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noWrap/>
            <w:vAlign w:val="bottom"/>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693" w:type="dxa"/>
            <w:noWrap/>
            <w:vAlign w:val="center"/>
          </w:tcPr>
          <w:p>
            <w:pPr>
              <w:widowControl/>
              <w:spacing w:line="300" w:lineRule="exact"/>
              <w:jc w:val="left"/>
              <w:rPr>
                <w:rFonts w:ascii="宋体" w:cs="宋体"/>
                <w:sz w:val="18"/>
                <w:szCs w:val="18"/>
              </w:rPr>
            </w:pPr>
            <w:r>
              <w:rPr>
                <w:rFonts w:ascii="仿宋_GB2312" w:hAnsi="宋体" w:eastAsia="仿宋_GB2312" w:cs="宋体"/>
                <w:kern w:val="0"/>
                <w:sz w:val="18"/>
                <w:szCs w:val="18"/>
              </w:rPr>
              <w:t xml:space="preserve">222 </w:t>
            </w:r>
            <w:r>
              <w:rPr>
                <w:rFonts w:hint="eastAsia" w:ascii="仿宋_GB2312" w:hAnsi="宋体" w:eastAsia="仿宋_GB2312" w:cs="宋体"/>
                <w:kern w:val="0"/>
                <w:sz w:val="18"/>
                <w:szCs w:val="18"/>
              </w:rPr>
              <w:t>粮油物资储备支出</w:t>
            </w:r>
          </w:p>
        </w:tc>
        <w:tc>
          <w:tcPr>
            <w:tcW w:w="1701" w:type="dxa"/>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467" w:type="dxa"/>
            <w:noWrap/>
            <w:vAlign w:val="bottom"/>
          </w:tcPr>
          <w:p>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noWrap/>
            <w:vAlign w:val="bottom"/>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693" w:type="dxa"/>
            <w:noWrap/>
            <w:vAlign w:val="center"/>
          </w:tcPr>
          <w:p>
            <w:pPr>
              <w:widowControl/>
              <w:spacing w:line="300" w:lineRule="exact"/>
              <w:jc w:val="left"/>
              <w:rPr>
                <w:rFonts w:ascii="宋体" w:cs="宋体"/>
                <w:sz w:val="18"/>
                <w:szCs w:val="18"/>
              </w:rPr>
            </w:pPr>
            <w:r>
              <w:rPr>
                <w:rFonts w:ascii="仿宋_GB2312" w:hAnsi="宋体" w:eastAsia="仿宋_GB2312" w:cs="宋体"/>
                <w:kern w:val="0"/>
                <w:sz w:val="18"/>
                <w:szCs w:val="18"/>
              </w:rPr>
              <w:t xml:space="preserve">223 </w:t>
            </w:r>
            <w:r>
              <w:rPr>
                <w:rFonts w:hint="eastAsia" w:ascii="仿宋_GB2312" w:hAnsi="宋体" w:eastAsia="仿宋_GB2312" w:cs="宋体"/>
                <w:kern w:val="0"/>
                <w:sz w:val="18"/>
                <w:szCs w:val="18"/>
              </w:rPr>
              <w:t>国有资本经营预算支出</w:t>
            </w:r>
          </w:p>
        </w:tc>
        <w:tc>
          <w:tcPr>
            <w:tcW w:w="1701" w:type="dxa"/>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467" w:type="dxa"/>
            <w:noWrap/>
            <w:vAlign w:val="bottom"/>
          </w:tcPr>
          <w:p>
            <w:pPr>
              <w:widowControl/>
              <w:spacing w:line="300" w:lineRule="exact"/>
              <w:jc w:val="left"/>
              <w:rPr>
                <w:rFonts w:ascii="宋体" w:cs="宋体"/>
                <w:kern w:val="0"/>
                <w:sz w:val="18"/>
                <w:szCs w:val="18"/>
              </w:rPr>
            </w:pPr>
          </w:p>
        </w:tc>
        <w:tc>
          <w:tcPr>
            <w:tcW w:w="1988" w:type="dxa"/>
            <w:noWrap/>
            <w:vAlign w:val="bottom"/>
          </w:tcPr>
          <w:p>
            <w:pPr>
              <w:spacing w:line="240" w:lineRule="auto"/>
              <w:jc w:val="right"/>
              <w:rPr>
                <w:rFonts w:hint="eastAsia" w:ascii="仿宋_GB2312" w:eastAsia="仿宋_GB2312"/>
                <w:color w:val="000000"/>
                <w:sz w:val="20"/>
                <w:szCs w:val="20"/>
                <w:lang w:val="en-US" w:eastAsia="zh-CN"/>
              </w:rPr>
            </w:pPr>
          </w:p>
        </w:tc>
        <w:tc>
          <w:tcPr>
            <w:tcW w:w="2693" w:type="dxa"/>
            <w:noWrap/>
            <w:vAlign w:val="center"/>
          </w:tcPr>
          <w:p>
            <w:pPr>
              <w:widowControl/>
              <w:spacing w:line="300" w:lineRule="exact"/>
              <w:jc w:val="left"/>
              <w:rPr>
                <w:rFonts w:ascii="宋体" w:cs="宋体"/>
                <w:sz w:val="18"/>
                <w:szCs w:val="18"/>
              </w:rPr>
            </w:pPr>
            <w:r>
              <w:rPr>
                <w:rFonts w:ascii="仿宋_GB2312" w:hAnsi="宋体" w:eastAsia="仿宋_GB2312" w:cs="宋体"/>
                <w:kern w:val="0"/>
                <w:sz w:val="18"/>
                <w:szCs w:val="18"/>
              </w:rPr>
              <w:t xml:space="preserve">224 </w:t>
            </w:r>
            <w:r>
              <w:rPr>
                <w:rFonts w:hint="eastAsia" w:ascii="仿宋_GB2312" w:hAnsi="宋体" w:eastAsia="仿宋_GB2312" w:cs="宋体"/>
                <w:kern w:val="0"/>
                <w:sz w:val="18"/>
                <w:szCs w:val="18"/>
              </w:rPr>
              <w:t>灾害防治及应急管理支出</w:t>
            </w:r>
          </w:p>
        </w:tc>
        <w:tc>
          <w:tcPr>
            <w:tcW w:w="1701" w:type="dxa"/>
            <w:vAlign w:val="center"/>
          </w:tcPr>
          <w:p>
            <w:pPr>
              <w:spacing w:line="240" w:lineRule="auto"/>
              <w:jc w:val="right"/>
              <w:rPr>
                <w:rFonts w:hint="eastAsia" w:ascii="仿宋_GB2312" w:eastAsia="仿宋_GB2312"/>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467" w:type="dxa"/>
            <w:noWrap/>
            <w:vAlign w:val="bottom"/>
          </w:tcPr>
          <w:p>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noWrap/>
            <w:vAlign w:val="bottom"/>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693" w:type="dxa"/>
            <w:noWrap/>
            <w:vAlign w:val="center"/>
          </w:tcPr>
          <w:p>
            <w:pPr>
              <w:widowControl/>
              <w:spacing w:line="300" w:lineRule="exact"/>
              <w:jc w:val="left"/>
              <w:rPr>
                <w:rFonts w:ascii="宋体" w:cs="宋体"/>
                <w:sz w:val="18"/>
                <w:szCs w:val="18"/>
              </w:rPr>
            </w:pPr>
            <w:r>
              <w:rPr>
                <w:rFonts w:ascii="仿宋_GB2312" w:hAnsi="宋体" w:eastAsia="仿宋_GB2312" w:cs="宋体"/>
                <w:kern w:val="0"/>
                <w:sz w:val="18"/>
                <w:szCs w:val="18"/>
              </w:rPr>
              <w:t xml:space="preserve">227 </w:t>
            </w:r>
            <w:r>
              <w:rPr>
                <w:rFonts w:hint="eastAsia" w:ascii="仿宋_GB2312" w:hAnsi="宋体" w:eastAsia="仿宋_GB2312" w:cs="宋体"/>
                <w:kern w:val="0"/>
                <w:sz w:val="18"/>
                <w:szCs w:val="18"/>
              </w:rPr>
              <w:t>预备费</w:t>
            </w:r>
          </w:p>
        </w:tc>
        <w:tc>
          <w:tcPr>
            <w:tcW w:w="1701" w:type="dxa"/>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467" w:type="dxa"/>
            <w:noWrap/>
            <w:vAlign w:val="bottom"/>
          </w:tcPr>
          <w:p>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noWrap/>
            <w:vAlign w:val="bottom"/>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693" w:type="dxa"/>
            <w:noWrap/>
            <w:vAlign w:val="center"/>
          </w:tcPr>
          <w:p>
            <w:pPr>
              <w:widowControl/>
              <w:spacing w:line="300" w:lineRule="exact"/>
              <w:jc w:val="left"/>
              <w:rPr>
                <w:rFonts w:ascii="宋体" w:cs="宋体"/>
                <w:sz w:val="18"/>
                <w:szCs w:val="18"/>
              </w:rPr>
            </w:pPr>
            <w:r>
              <w:rPr>
                <w:rFonts w:ascii="仿宋_GB2312" w:hAnsi="宋体" w:eastAsia="仿宋_GB2312" w:cs="宋体"/>
                <w:kern w:val="0"/>
                <w:sz w:val="18"/>
                <w:szCs w:val="18"/>
              </w:rPr>
              <w:t xml:space="preserve">229 </w:t>
            </w:r>
            <w:r>
              <w:rPr>
                <w:rFonts w:hint="eastAsia" w:ascii="仿宋_GB2312" w:hAnsi="宋体" w:eastAsia="仿宋_GB2312" w:cs="宋体"/>
                <w:kern w:val="0"/>
                <w:sz w:val="18"/>
                <w:szCs w:val="18"/>
              </w:rPr>
              <w:t>其他支出</w:t>
            </w:r>
          </w:p>
        </w:tc>
        <w:tc>
          <w:tcPr>
            <w:tcW w:w="1701" w:type="dxa"/>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467" w:type="dxa"/>
            <w:noWrap/>
            <w:vAlign w:val="bottom"/>
          </w:tcPr>
          <w:p>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noWrap/>
            <w:vAlign w:val="bottom"/>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693" w:type="dxa"/>
            <w:noWrap/>
            <w:vAlign w:val="center"/>
          </w:tcPr>
          <w:p>
            <w:pPr>
              <w:widowControl/>
              <w:spacing w:line="300" w:lineRule="exact"/>
              <w:jc w:val="left"/>
              <w:rPr>
                <w:rFonts w:ascii="宋体" w:cs="宋体"/>
                <w:sz w:val="18"/>
                <w:szCs w:val="18"/>
              </w:rPr>
            </w:pPr>
            <w:r>
              <w:rPr>
                <w:rFonts w:ascii="仿宋_GB2312" w:hAnsi="宋体" w:eastAsia="仿宋_GB2312" w:cs="宋体"/>
                <w:kern w:val="0"/>
                <w:sz w:val="18"/>
                <w:szCs w:val="18"/>
              </w:rPr>
              <w:t xml:space="preserve">231 </w:t>
            </w:r>
            <w:r>
              <w:rPr>
                <w:rFonts w:hint="eastAsia" w:ascii="仿宋_GB2312" w:hAnsi="宋体" w:eastAsia="仿宋_GB2312" w:cs="宋体"/>
                <w:kern w:val="0"/>
                <w:sz w:val="18"/>
                <w:szCs w:val="18"/>
              </w:rPr>
              <w:t>债务还本支出</w:t>
            </w:r>
          </w:p>
        </w:tc>
        <w:tc>
          <w:tcPr>
            <w:tcW w:w="1701" w:type="dxa"/>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467" w:type="dxa"/>
            <w:noWrap/>
            <w:vAlign w:val="bottom"/>
          </w:tcPr>
          <w:p>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noWrap/>
            <w:vAlign w:val="bottom"/>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693" w:type="dxa"/>
            <w:noWrap/>
            <w:vAlign w:val="center"/>
          </w:tcPr>
          <w:p>
            <w:pPr>
              <w:widowControl/>
              <w:spacing w:line="300" w:lineRule="exact"/>
              <w:jc w:val="left"/>
              <w:rPr>
                <w:rFonts w:ascii="宋体" w:cs="宋体"/>
                <w:sz w:val="18"/>
                <w:szCs w:val="18"/>
              </w:rPr>
            </w:pPr>
            <w:r>
              <w:rPr>
                <w:rFonts w:ascii="仿宋_GB2312" w:hAnsi="宋体" w:eastAsia="仿宋_GB2312" w:cs="宋体"/>
                <w:kern w:val="0"/>
                <w:sz w:val="18"/>
                <w:szCs w:val="18"/>
              </w:rPr>
              <w:t xml:space="preserve">232 </w:t>
            </w:r>
            <w:r>
              <w:rPr>
                <w:rFonts w:hint="eastAsia" w:ascii="仿宋_GB2312" w:hAnsi="宋体" w:eastAsia="仿宋_GB2312" w:cs="宋体"/>
                <w:kern w:val="0"/>
                <w:sz w:val="18"/>
                <w:szCs w:val="18"/>
              </w:rPr>
              <w:t>债务付息支出</w:t>
            </w:r>
          </w:p>
        </w:tc>
        <w:tc>
          <w:tcPr>
            <w:tcW w:w="1701" w:type="dxa"/>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467" w:type="dxa"/>
            <w:noWrap/>
            <w:vAlign w:val="bottom"/>
          </w:tcPr>
          <w:p>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noWrap/>
            <w:vAlign w:val="bottom"/>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c>
          <w:tcPr>
            <w:tcW w:w="2693" w:type="dxa"/>
            <w:noWrap/>
            <w:vAlign w:val="center"/>
          </w:tcPr>
          <w:p>
            <w:pPr>
              <w:widowControl/>
              <w:spacing w:line="300" w:lineRule="exact"/>
              <w:jc w:val="left"/>
              <w:rPr>
                <w:rFonts w:ascii="宋体" w:cs="宋体"/>
                <w:sz w:val="18"/>
                <w:szCs w:val="18"/>
              </w:rPr>
            </w:pPr>
            <w:r>
              <w:rPr>
                <w:rFonts w:ascii="仿宋_GB2312" w:hAnsi="宋体" w:eastAsia="仿宋_GB2312" w:cs="宋体"/>
                <w:kern w:val="0"/>
                <w:sz w:val="18"/>
                <w:szCs w:val="18"/>
              </w:rPr>
              <w:t xml:space="preserve">233 </w:t>
            </w:r>
            <w:r>
              <w:rPr>
                <w:rFonts w:hint="eastAsia" w:ascii="仿宋_GB2312" w:hAnsi="宋体" w:eastAsia="仿宋_GB2312" w:cs="宋体"/>
                <w:kern w:val="0"/>
                <w:sz w:val="18"/>
                <w:szCs w:val="18"/>
              </w:rPr>
              <w:t>债务发行费支出</w:t>
            </w:r>
          </w:p>
        </w:tc>
        <w:tc>
          <w:tcPr>
            <w:tcW w:w="1701" w:type="dxa"/>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467" w:type="dxa"/>
            <w:noWrap/>
            <w:vAlign w:val="center"/>
          </w:tcPr>
          <w:p>
            <w:pPr>
              <w:widowControl/>
              <w:spacing w:line="300" w:lineRule="exact"/>
              <w:jc w:val="left"/>
              <w:rPr>
                <w:rFonts w:ascii="宋体" w:cs="宋体"/>
                <w:kern w:val="0"/>
                <w:sz w:val="18"/>
                <w:szCs w:val="18"/>
              </w:rPr>
            </w:pPr>
            <w:r>
              <w:rPr>
                <w:rFonts w:hint="eastAsia" w:ascii="仿宋_GB2312" w:hAnsi="宋体" w:eastAsia="仿宋_GB2312" w:cs="宋体"/>
                <w:kern w:val="0"/>
                <w:sz w:val="20"/>
                <w:szCs w:val="20"/>
              </w:rPr>
              <w:t>小</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988" w:type="dxa"/>
            <w:noWrap/>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166.01</w:t>
            </w:r>
          </w:p>
        </w:tc>
        <w:tc>
          <w:tcPr>
            <w:tcW w:w="2693" w:type="dxa"/>
            <w:noWrap/>
            <w:vAlign w:val="center"/>
          </w:tcPr>
          <w:p>
            <w:pPr>
              <w:widowControl/>
              <w:spacing w:line="300" w:lineRule="exact"/>
              <w:jc w:val="left"/>
              <w:rPr>
                <w:rFonts w:ascii="宋体" w:cs="宋体"/>
                <w:sz w:val="18"/>
                <w:szCs w:val="18"/>
              </w:rPr>
            </w:pPr>
            <w:r>
              <w:rPr>
                <w:rFonts w:hint="eastAsia" w:ascii="仿宋_GB2312" w:hAnsi="宋体" w:eastAsia="仿宋_GB2312" w:cs="宋体"/>
                <w:kern w:val="0"/>
                <w:sz w:val="20"/>
                <w:szCs w:val="20"/>
              </w:rPr>
              <w:t>小</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701" w:type="dxa"/>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166.01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467" w:type="dxa"/>
            <w:noWrap/>
            <w:vAlign w:val="center"/>
          </w:tcPr>
          <w:p>
            <w:pPr>
              <w:widowControl/>
              <w:spacing w:line="300" w:lineRule="exact"/>
              <w:jc w:val="center"/>
              <w:rPr>
                <w:rFonts w:ascii="宋体" w:cs="宋体"/>
                <w:kern w:val="0"/>
                <w:sz w:val="18"/>
                <w:szCs w:val="18"/>
              </w:rPr>
            </w:pPr>
            <w:r>
              <w:rPr>
                <w:rFonts w:hint="eastAsia" w:ascii="仿宋_GB2312" w:hAnsi="宋体" w:eastAsia="仿宋_GB2312" w:cs="宋体"/>
                <w:kern w:val="0"/>
                <w:sz w:val="18"/>
                <w:szCs w:val="18"/>
              </w:rPr>
              <w:t>单位上年结余（不包括国库集中支付额度结余）</w:t>
            </w:r>
          </w:p>
        </w:tc>
        <w:tc>
          <w:tcPr>
            <w:tcW w:w="1988" w:type="dxa"/>
            <w:noWrap/>
          </w:tcPr>
          <w:p>
            <w:pPr>
              <w:spacing w:line="240" w:lineRule="auto"/>
              <w:jc w:val="right"/>
              <w:rPr>
                <w:rFonts w:hint="eastAsia" w:ascii="仿宋_GB2312" w:eastAsia="仿宋_GB2312"/>
                <w:color w:val="000000"/>
                <w:sz w:val="20"/>
                <w:szCs w:val="20"/>
                <w:lang w:val="en-US" w:eastAsia="zh-CN"/>
              </w:rPr>
            </w:pPr>
          </w:p>
        </w:tc>
        <w:tc>
          <w:tcPr>
            <w:tcW w:w="2693" w:type="dxa"/>
            <w:noWrap/>
            <w:vAlign w:val="center"/>
          </w:tcPr>
          <w:p>
            <w:pPr>
              <w:widowControl/>
              <w:spacing w:line="300" w:lineRule="exact"/>
              <w:jc w:val="center"/>
              <w:rPr>
                <w:rFonts w:ascii="宋体" w:cs="宋体"/>
                <w:sz w:val="18"/>
                <w:szCs w:val="18"/>
              </w:rPr>
            </w:pPr>
            <w:r>
              <w:rPr>
                <w:rFonts w:ascii="仿宋_GB2312" w:hAnsi="宋体" w:eastAsia="仿宋_GB2312" w:cs="宋体"/>
                <w:kern w:val="0"/>
                <w:sz w:val="20"/>
                <w:szCs w:val="20"/>
              </w:rPr>
              <w:t xml:space="preserve">230 </w:t>
            </w:r>
            <w:r>
              <w:rPr>
                <w:rFonts w:hint="eastAsia" w:ascii="仿宋_GB2312" w:hAnsi="宋体" w:eastAsia="仿宋_GB2312" w:cs="宋体"/>
                <w:kern w:val="0"/>
                <w:sz w:val="20"/>
                <w:szCs w:val="20"/>
              </w:rPr>
              <w:t>转移性支出</w:t>
            </w:r>
          </w:p>
        </w:tc>
        <w:tc>
          <w:tcPr>
            <w:tcW w:w="1701" w:type="dxa"/>
            <w:vAlign w:val="center"/>
          </w:tcPr>
          <w:p>
            <w:pPr>
              <w:spacing w:line="240" w:lineRule="auto"/>
              <w:jc w:val="right"/>
              <w:rPr>
                <w:rFonts w:hint="eastAsia" w:ascii="仿宋_GB2312" w:eastAsia="仿宋_GB2312"/>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467" w:type="dxa"/>
            <w:noWrap/>
            <w:vAlign w:val="center"/>
          </w:tcPr>
          <w:p>
            <w:pPr>
              <w:widowControl/>
              <w:spacing w:line="300" w:lineRule="exact"/>
              <w:jc w:val="left"/>
              <w:rPr>
                <w:rFonts w:ascii="宋体" w:cs="宋体"/>
                <w:kern w:val="0"/>
                <w:sz w:val="18"/>
                <w:szCs w:val="18"/>
              </w:rPr>
            </w:pPr>
            <w:r>
              <w:rPr>
                <w:rFonts w:hint="eastAsia" w:ascii="仿宋_GB2312" w:hAnsi="宋体" w:eastAsia="仿宋_GB2312" w:cs="宋体"/>
                <w:kern w:val="0"/>
                <w:sz w:val="20"/>
                <w:szCs w:val="20"/>
              </w:rPr>
              <w:t>收</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入</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总</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988" w:type="dxa"/>
            <w:noWrap/>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166.01</w:t>
            </w:r>
          </w:p>
        </w:tc>
        <w:tc>
          <w:tcPr>
            <w:tcW w:w="2693" w:type="dxa"/>
            <w:noWrap/>
            <w:vAlign w:val="center"/>
          </w:tcPr>
          <w:p>
            <w:pPr>
              <w:widowControl/>
              <w:spacing w:line="300" w:lineRule="exact"/>
              <w:jc w:val="left"/>
              <w:rPr>
                <w:rFonts w:ascii="宋体" w:cs="宋体"/>
                <w:kern w:val="0"/>
                <w:sz w:val="18"/>
                <w:szCs w:val="18"/>
              </w:rPr>
            </w:pPr>
            <w:r>
              <w:rPr>
                <w:rFonts w:hint="eastAsia" w:ascii="仿宋_GB2312" w:hAnsi="宋体" w:eastAsia="仿宋_GB2312" w:cs="宋体"/>
                <w:kern w:val="0"/>
                <w:sz w:val="20"/>
                <w:szCs w:val="20"/>
              </w:rPr>
              <w:t>支</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出</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合</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701" w:type="dxa"/>
            <w:noWrap/>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166.01</w:t>
            </w:r>
          </w:p>
        </w:tc>
      </w:tr>
    </w:tbl>
    <w:p>
      <w:pPr>
        <w:widowControl/>
        <w:spacing w:line="240" w:lineRule="auto"/>
        <w:outlineLvl w:val="1"/>
        <w:rPr>
          <w:rFonts w:ascii="宋体"/>
          <w:b/>
          <w:kern w:val="0"/>
          <w:sz w:val="32"/>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宋体"/>
          <w:b/>
          <w:kern w:val="0"/>
          <w:sz w:val="32"/>
          <w:szCs w:val="32"/>
        </w:rPr>
      </w:pPr>
      <w:r>
        <w:rPr>
          <w:rFonts w:hint="eastAsia" w:ascii="宋体" w:hAnsi="宋体"/>
          <w:b/>
          <w:kern w:val="0"/>
          <w:sz w:val="32"/>
          <w:szCs w:val="32"/>
        </w:rPr>
        <w:t>表二：</w:t>
      </w:r>
    </w:p>
    <w:p>
      <w:pPr>
        <w:widowControl/>
        <w:jc w:val="center"/>
        <w:outlineLvl w:val="1"/>
        <w:rPr>
          <w:rFonts w:ascii="宋体"/>
          <w:b/>
          <w:kern w:val="0"/>
          <w:sz w:val="32"/>
          <w:szCs w:val="32"/>
        </w:rPr>
      </w:pPr>
      <w:r>
        <w:rPr>
          <w:rFonts w:hint="eastAsia" w:ascii="宋体" w:hAnsi="宋体"/>
          <w:b/>
          <w:kern w:val="0"/>
          <w:sz w:val="32"/>
          <w:szCs w:val="32"/>
        </w:rPr>
        <w:t>部门收入总体情况表</w:t>
      </w:r>
    </w:p>
    <w:p>
      <w:pPr>
        <w:widowControl/>
        <w:spacing w:line="240" w:lineRule="auto"/>
        <w:jc w:val="left"/>
        <w:outlineLvl w:val="1"/>
        <w:rPr>
          <w:rFonts w:hint="eastAsia" w:ascii="仿宋_GB2312" w:hAnsi="宋体" w:eastAsia="仿宋_GB2312"/>
          <w:kern w:val="0"/>
          <w:sz w:val="24"/>
        </w:rPr>
      </w:pPr>
      <w:r>
        <w:rPr>
          <w:rFonts w:hint="eastAsia" w:ascii="仿宋_GB2312" w:hAnsi="宋体" w:eastAsia="仿宋_GB2312"/>
          <w:kern w:val="0"/>
          <w:sz w:val="24"/>
        </w:rPr>
        <w:t>填报部门</w:t>
      </w:r>
      <w:r>
        <w:rPr>
          <w:rFonts w:hint="eastAsia" w:ascii="仿宋_GB2312" w:hAnsi="宋体" w:eastAsia="仿宋_GB2312"/>
          <w:kern w:val="0"/>
          <w:sz w:val="24"/>
          <w:lang w:val="en-US" w:eastAsia="zh-CN"/>
        </w:rPr>
        <w:t>:</w:t>
      </w:r>
      <w:r>
        <w:rPr>
          <w:rFonts w:hint="eastAsia" w:ascii="仿宋_GB2312" w:hAnsi="宋体" w:eastAsia="仿宋_GB2312"/>
          <w:kern w:val="0"/>
          <w:sz w:val="24"/>
        </w:rPr>
        <w:t xml:space="preserve">县清水泉管委会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9"/>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76"/>
        <w:gridCol w:w="476"/>
        <w:gridCol w:w="476"/>
        <w:gridCol w:w="1478"/>
        <w:gridCol w:w="995"/>
        <w:gridCol w:w="995"/>
        <w:gridCol w:w="680"/>
        <w:gridCol w:w="680"/>
        <w:gridCol w:w="680"/>
        <w:gridCol w:w="680"/>
        <w:gridCol w:w="680"/>
        <w:gridCol w:w="680"/>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1428" w:type="dxa"/>
            <w:gridSpan w:val="3"/>
            <w:shd w:val="clear" w:color="auto" w:fill="auto"/>
            <w:vAlign w:val="center"/>
          </w:tcPr>
          <w:p>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功能分类科目编码</w:t>
            </w:r>
          </w:p>
        </w:tc>
        <w:tc>
          <w:tcPr>
            <w:tcW w:w="1478" w:type="dxa"/>
            <w:vMerge w:val="restart"/>
            <w:shd w:val="clear" w:color="auto" w:fill="auto"/>
            <w:vAlign w:val="center"/>
          </w:tcPr>
          <w:p>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功能分类科目名称</w:t>
            </w:r>
          </w:p>
        </w:tc>
        <w:tc>
          <w:tcPr>
            <w:tcW w:w="995" w:type="dxa"/>
            <w:vMerge w:val="restart"/>
            <w:shd w:val="clear" w:color="auto" w:fill="auto"/>
            <w:vAlign w:val="center"/>
          </w:tcPr>
          <w:p>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总  计</w:t>
            </w:r>
          </w:p>
        </w:tc>
        <w:tc>
          <w:tcPr>
            <w:tcW w:w="995" w:type="dxa"/>
            <w:vMerge w:val="restart"/>
            <w:shd w:val="clear" w:color="auto" w:fill="auto"/>
            <w:vAlign w:val="center"/>
          </w:tcPr>
          <w:p>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一般公共预算拨款</w:t>
            </w:r>
          </w:p>
        </w:tc>
        <w:tc>
          <w:tcPr>
            <w:tcW w:w="680" w:type="dxa"/>
            <w:vMerge w:val="restart"/>
            <w:shd w:val="clear" w:color="auto" w:fill="auto"/>
            <w:vAlign w:val="center"/>
          </w:tcPr>
          <w:p>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政府性基金预算拨款</w:t>
            </w:r>
          </w:p>
        </w:tc>
        <w:tc>
          <w:tcPr>
            <w:tcW w:w="680" w:type="dxa"/>
            <w:vMerge w:val="restart"/>
            <w:shd w:val="clear" w:color="auto" w:fill="auto"/>
            <w:vAlign w:val="center"/>
          </w:tcPr>
          <w:p>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财政专户管理资金</w:t>
            </w:r>
          </w:p>
        </w:tc>
        <w:tc>
          <w:tcPr>
            <w:tcW w:w="680" w:type="dxa"/>
            <w:vMerge w:val="restart"/>
            <w:shd w:val="clear" w:color="auto" w:fill="auto"/>
            <w:vAlign w:val="center"/>
          </w:tcPr>
          <w:p>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事业收入</w:t>
            </w:r>
          </w:p>
        </w:tc>
        <w:tc>
          <w:tcPr>
            <w:tcW w:w="680" w:type="dxa"/>
            <w:vMerge w:val="restart"/>
            <w:shd w:val="clear" w:color="auto" w:fill="auto"/>
            <w:vAlign w:val="center"/>
          </w:tcPr>
          <w:p>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事业单位经营收入</w:t>
            </w:r>
          </w:p>
        </w:tc>
        <w:tc>
          <w:tcPr>
            <w:tcW w:w="680" w:type="dxa"/>
            <w:vMerge w:val="restart"/>
            <w:shd w:val="clear" w:color="auto" w:fill="auto"/>
            <w:vAlign w:val="center"/>
          </w:tcPr>
          <w:p>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其他收入</w:t>
            </w:r>
          </w:p>
        </w:tc>
        <w:tc>
          <w:tcPr>
            <w:tcW w:w="680" w:type="dxa"/>
            <w:vMerge w:val="restart"/>
            <w:shd w:val="clear" w:color="auto" w:fill="auto"/>
            <w:vAlign w:val="center"/>
          </w:tcPr>
          <w:p>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用事业基金弥补收支差额</w:t>
            </w:r>
          </w:p>
        </w:tc>
        <w:tc>
          <w:tcPr>
            <w:tcW w:w="678" w:type="dxa"/>
            <w:vMerge w:val="restart"/>
            <w:shd w:val="clear" w:color="auto" w:fill="auto"/>
            <w:vAlign w:val="center"/>
          </w:tcPr>
          <w:p>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单位上年结余（不包括国库集中支付额度结余）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70" w:hRule="atLeast"/>
          <w:jc w:val="center"/>
        </w:trPr>
        <w:tc>
          <w:tcPr>
            <w:tcW w:w="476" w:type="dxa"/>
            <w:shd w:val="clear" w:color="auto" w:fill="auto"/>
            <w:vAlign w:val="center"/>
          </w:tcPr>
          <w:p>
            <w:pPr>
              <w:jc w:val="right"/>
              <w:rPr>
                <w:rFonts w:ascii="宋体" w:cs="宋体"/>
                <w:b/>
                <w:color w:val="000000"/>
                <w:sz w:val="20"/>
                <w:szCs w:val="20"/>
              </w:rPr>
            </w:pPr>
            <w:r>
              <w:rPr>
                <w:rFonts w:hint="eastAsia" w:ascii="仿宋_GB2312" w:eastAsia="仿宋_GB2312"/>
                <w:b/>
                <w:color w:val="000000"/>
                <w:sz w:val="20"/>
                <w:szCs w:val="20"/>
              </w:rPr>
              <w:t>类</w:t>
            </w:r>
          </w:p>
        </w:tc>
        <w:tc>
          <w:tcPr>
            <w:tcW w:w="476" w:type="dxa"/>
            <w:shd w:val="clear" w:color="auto" w:fill="auto"/>
            <w:vAlign w:val="center"/>
          </w:tcPr>
          <w:p>
            <w:pPr>
              <w:jc w:val="right"/>
              <w:rPr>
                <w:rFonts w:ascii="宋体" w:cs="宋体"/>
                <w:b/>
                <w:color w:val="000000"/>
                <w:sz w:val="20"/>
                <w:szCs w:val="20"/>
              </w:rPr>
            </w:pPr>
            <w:r>
              <w:rPr>
                <w:rFonts w:hint="eastAsia" w:ascii="仿宋_GB2312" w:eastAsia="仿宋_GB2312"/>
                <w:b/>
                <w:color w:val="000000"/>
                <w:sz w:val="20"/>
                <w:szCs w:val="20"/>
              </w:rPr>
              <w:t>款</w:t>
            </w:r>
          </w:p>
        </w:tc>
        <w:tc>
          <w:tcPr>
            <w:tcW w:w="476" w:type="dxa"/>
            <w:shd w:val="clear" w:color="auto" w:fill="auto"/>
            <w:vAlign w:val="center"/>
          </w:tcPr>
          <w:p>
            <w:pPr>
              <w:jc w:val="right"/>
              <w:rPr>
                <w:rFonts w:ascii="宋体" w:cs="宋体"/>
                <w:b/>
                <w:color w:val="000000"/>
                <w:sz w:val="20"/>
                <w:szCs w:val="20"/>
              </w:rPr>
            </w:pPr>
            <w:r>
              <w:rPr>
                <w:rFonts w:hint="eastAsia" w:ascii="仿宋_GB2312" w:eastAsia="仿宋_GB2312"/>
                <w:b/>
                <w:color w:val="000000"/>
                <w:sz w:val="20"/>
                <w:szCs w:val="20"/>
              </w:rPr>
              <w:t>项</w:t>
            </w:r>
          </w:p>
        </w:tc>
        <w:tc>
          <w:tcPr>
            <w:tcW w:w="1478" w:type="dxa"/>
            <w:vMerge w:val="continue"/>
            <w:shd w:val="clear" w:color="auto" w:fill="auto"/>
            <w:vAlign w:val="center"/>
          </w:tcPr>
          <w:p>
            <w:pPr>
              <w:rPr>
                <w:rFonts w:ascii="宋体" w:cs="宋体"/>
                <w:color w:val="000000"/>
                <w:sz w:val="20"/>
                <w:szCs w:val="20"/>
              </w:rPr>
            </w:pPr>
          </w:p>
        </w:tc>
        <w:tc>
          <w:tcPr>
            <w:tcW w:w="995" w:type="dxa"/>
            <w:vMerge w:val="continue"/>
            <w:shd w:val="clear" w:color="auto" w:fill="auto"/>
            <w:vAlign w:val="center"/>
          </w:tcPr>
          <w:p>
            <w:pPr>
              <w:rPr>
                <w:rFonts w:ascii="宋体" w:cs="宋体"/>
                <w:color w:val="000000"/>
                <w:sz w:val="20"/>
                <w:szCs w:val="20"/>
              </w:rPr>
            </w:pPr>
          </w:p>
        </w:tc>
        <w:tc>
          <w:tcPr>
            <w:tcW w:w="995" w:type="dxa"/>
            <w:vMerge w:val="continue"/>
            <w:shd w:val="clear" w:color="auto" w:fill="auto"/>
            <w:vAlign w:val="center"/>
          </w:tcPr>
          <w:p>
            <w:pPr>
              <w:rPr>
                <w:rFonts w:ascii="宋体" w:cs="宋体"/>
                <w:color w:val="000000"/>
                <w:sz w:val="20"/>
                <w:szCs w:val="20"/>
              </w:rPr>
            </w:pPr>
          </w:p>
        </w:tc>
        <w:tc>
          <w:tcPr>
            <w:tcW w:w="680" w:type="dxa"/>
            <w:vMerge w:val="continue"/>
            <w:shd w:val="clear" w:color="auto" w:fill="auto"/>
            <w:vAlign w:val="center"/>
          </w:tcPr>
          <w:p>
            <w:pPr>
              <w:rPr>
                <w:rFonts w:ascii="宋体" w:cs="宋体"/>
                <w:color w:val="000000"/>
                <w:sz w:val="20"/>
                <w:szCs w:val="20"/>
              </w:rPr>
            </w:pPr>
          </w:p>
        </w:tc>
        <w:tc>
          <w:tcPr>
            <w:tcW w:w="680" w:type="dxa"/>
            <w:vMerge w:val="continue"/>
            <w:shd w:val="clear" w:color="auto" w:fill="auto"/>
            <w:vAlign w:val="center"/>
          </w:tcPr>
          <w:p>
            <w:pPr>
              <w:rPr>
                <w:rFonts w:ascii="宋体" w:cs="宋体"/>
                <w:color w:val="000000"/>
                <w:sz w:val="20"/>
                <w:szCs w:val="20"/>
              </w:rPr>
            </w:pPr>
          </w:p>
        </w:tc>
        <w:tc>
          <w:tcPr>
            <w:tcW w:w="680" w:type="dxa"/>
            <w:vMerge w:val="continue"/>
            <w:shd w:val="clear" w:color="auto" w:fill="auto"/>
            <w:vAlign w:val="center"/>
          </w:tcPr>
          <w:p>
            <w:pPr>
              <w:rPr>
                <w:rFonts w:ascii="宋体" w:cs="宋体"/>
                <w:color w:val="000000"/>
                <w:sz w:val="20"/>
                <w:szCs w:val="20"/>
              </w:rPr>
            </w:pPr>
          </w:p>
        </w:tc>
        <w:tc>
          <w:tcPr>
            <w:tcW w:w="680" w:type="dxa"/>
            <w:vMerge w:val="continue"/>
            <w:shd w:val="clear" w:color="auto" w:fill="auto"/>
            <w:vAlign w:val="center"/>
          </w:tcPr>
          <w:p>
            <w:pPr>
              <w:rPr>
                <w:rFonts w:ascii="宋体" w:cs="宋体"/>
                <w:color w:val="000000"/>
                <w:sz w:val="20"/>
                <w:szCs w:val="20"/>
              </w:rPr>
            </w:pPr>
          </w:p>
        </w:tc>
        <w:tc>
          <w:tcPr>
            <w:tcW w:w="680" w:type="dxa"/>
            <w:vMerge w:val="continue"/>
            <w:shd w:val="clear" w:color="auto" w:fill="auto"/>
            <w:vAlign w:val="center"/>
          </w:tcPr>
          <w:p>
            <w:pPr>
              <w:rPr>
                <w:rFonts w:ascii="宋体" w:cs="宋体"/>
                <w:color w:val="000000"/>
                <w:sz w:val="20"/>
                <w:szCs w:val="20"/>
              </w:rPr>
            </w:pPr>
          </w:p>
        </w:tc>
        <w:tc>
          <w:tcPr>
            <w:tcW w:w="680" w:type="dxa"/>
            <w:vMerge w:val="continue"/>
            <w:shd w:val="clear" w:color="auto" w:fill="auto"/>
            <w:vAlign w:val="center"/>
          </w:tcPr>
          <w:p>
            <w:pPr>
              <w:rPr>
                <w:rFonts w:ascii="宋体" w:cs="宋体"/>
                <w:color w:val="000000"/>
                <w:sz w:val="20"/>
                <w:szCs w:val="20"/>
              </w:rPr>
            </w:pPr>
          </w:p>
        </w:tc>
        <w:tc>
          <w:tcPr>
            <w:tcW w:w="678" w:type="dxa"/>
            <w:vMerge w:val="continue"/>
            <w:shd w:val="clear" w:color="auto" w:fill="auto"/>
            <w:vAlign w:val="center"/>
          </w:tcPr>
          <w:p>
            <w:pP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476" w:type="dxa"/>
            <w:shd w:val="clear" w:color="auto" w:fill="auto"/>
            <w:vAlign w:val="center"/>
          </w:tcPr>
          <w:p>
            <w:pPr>
              <w:jc w:val="center"/>
              <w:rPr>
                <w:rFonts w:ascii="宋体" w:cs="宋体"/>
                <w:sz w:val="15"/>
                <w:szCs w:val="15"/>
              </w:rPr>
            </w:pPr>
            <w:r>
              <w:rPr>
                <w:rFonts w:ascii="宋体" w:hAnsi="宋体"/>
                <w:sz w:val="15"/>
                <w:szCs w:val="15"/>
              </w:rPr>
              <w:t>201</w:t>
            </w:r>
          </w:p>
        </w:tc>
        <w:tc>
          <w:tcPr>
            <w:tcW w:w="476" w:type="dxa"/>
            <w:shd w:val="clear" w:color="auto" w:fill="auto"/>
            <w:vAlign w:val="center"/>
          </w:tcPr>
          <w:p>
            <w:pPr>
              <w:jc w:val="center"/>
              <w:rPr>
                <w:rFonts w:ascii="宋体" w:cs="宋体"/>
                <w:sz w:val="15"/>
                <w:szCs w:val="15"/>
              </w:rPr>
            </w:pPr>
          </w:p>
        </w:tc>
        <w:tc>
          <w:tcPr>
            <w:tcW w:w="476" w:type="dxa"/>
            <w:shd w:val="clear" w:color="auto" w:fill="auto"/>
            <w:vAlign w:val="center"/>
          </w:tcPr>
          <w:p>
            <w:pPr>
              <w:jc w:val="center"/>
              <w:rPr>
                <w:rFonts w:ascii="宋体" w:cs="宋体"/>
                <w:sz w:val="15"/>
                <w:szCs w:val="15"/>
              </w:rPr>
            </w:pPr>
          </w:p>
        </w:tc>
        <w:tc>
          <w:tcPr>
            <w:tcW w:w="1478" w:type="dxa"/>
            <w:shd w:val="clear" w:color="auto" w:fill="auto"/>
            <w:vAlign w:val="center"/>
          </w:tcPr>
          <w:p>
            <w:pPr>
              <w:jc w:val="center"/>
              <w:rPr>
                <w:rFonts w:ascii="宋体" w:cs="宋体"/>
                <w:sz w:val="20"/>
                <w:szCs w:val="20"/>
                <w:shd w:val="clear" w:color="auto" w:fill="auto"/>
              </w:rPr>
            </w:pPr>
            <w:r>
              <w:rPr>
                <w:rFonts w:hint="eastAsia" w:ascii="宋体" w:hAnsi="宋体" w:cs="宋体"/>
                <w:sz w:val="20"/>
                <w:szCs w:val="20"/>
                <w:shd w:val="clear" w:color="auto" w:fill="auto"/>
              </w:rPr>
              <w:t>一般公共服务支出</w:t>
            </w:r>
          </w:p>
        </w:tc>
        <w:tc>
          <w:tcPr>
            <w:tcW w:w="995" w:type="dxa"/>
            <w:shd w:val="clear" w:color="auto" w:fill="auto"/>
            <w:noWrap/>
            <w:vAlign w:val="center"/>
          </w:tcPr>
          <w:p>
            <w:pPr>
              <w:spacing w:line="240" w:lineRule="auto"/>
              <w:jc w:val="right"/>
              <w:rPr>
                <w:rFonts w:hint="eastAsia" w:ascii="仿宋_GB2312" w:eastAsia="仿宋_GB2312"/>
                <w:color w:val="000000"/>
                <w:sz w:val="20"/>
                <w:szCs w:val="20"/>
                <w:shd w:val="clear" w:color="auto" w:fill="auto"/>
                <w:lang w:val="en-US" w:eastAsia="zh-CN"/>
              </w:rPr>
            </w:pPr>
            <w:r>
              <w:rPr>
                <w:rFonts w:hint="eastAsia" w:ascii="仿宋_GB2312" w:eastAsia="仿宋_GB2312"/>
                <w:color w:val="000000"/>
                <w:sz w:val="20"/>
                <w:szCs w:val="20"/>
                <w:shd w:val="clear" w:color="auto" w:fill="auto"/>
                <w:lang w:val="en-US" w:eastAsia="zh-CN"/>
              </w:rPr>
              <w:t>92.86</w:t>
            </w:r>
          </w:p>
        </w:tc>
        <w:tc>
          <w:tcPr>
            <w:tcW w:w="995" w:type="dxa"/>
            <w:shd w:val="clear" w:color="auto" w:fill="auto"/>
            <w:noWrap/>
            <w:vAlign w:val="center"/>
          </w:tcPr>
          <w:p>
            <w:pPr>
              <w:spacing w:line="240" w:lineRule="auto"/>
              <w:jc w:val="right"/>
              <w:rPr>
                <w:rFonts w:hint="eastAsia" w:ascii="仿宋_GB2312" w:eastAsia="仿宋_GB2312"/>
                <w:color w:val="000000"/>
                <w:sz w:val="20"/>
                <w:szCs w:val="20"/>
                <w:shd w:val="clear" w:color="auto" w:fill="auto"/>
                <w:lang w:val="en-US" w:eastAsia="zh-CN"/>
              </w:rPr>
            </w:pPr>
            <w:r>
              <w:rPr>
                <w:rFonts w:hint="eastAsia" w:ascii="仿宋_GB2312" w:eastAsia="仿宋_GB2312"/>
                <w:color w:val="000000"/>
                <w:sz w:val="20"/>
                <w:szCs w:val="20"/>
                <w:shd w:val="clear" w:color="auto" w:fill="auto"/>
                <w:lang w:val="en-US" w:eastAsia="zh-CN"/>
              </w:rPr>
              <w:t>92.86</w:t>
            </w:r>
          </w:p>
        </w:tc>
        <w:tc>
          <w:tcPr>
            <w:tcW w:w="680" w:type="dxa"/>
            <w:shd w:val="clear" w:color="auto" w:fill="auto"/>
            <w:noWrap/>
            <w:vAlign w:val="center"/>
          </w:tcPr>
          <w:p>
            <w:pPr>
              <w:jc w:val="right"/>
              <w:rPr>
                <w:rFonts w:hint="eastAsia" w:ascii="仿宋_GB2312" w:eastAsia="仿宋_GB2312"/>
                <w:color w:val="000000"/>
                <w:sz w:val="20"/>
                <w:szCs w:val="20"/>
              </w:rPr>
            </w:pPr>
            <w:r>
              <w:rPr>
                <w:rFonts w:hint="eastAsia" w:ascii="仿宋_GB2312" w:eastAsia="仿宋_GB2312"/>
                <w:color w:val="000000"/>
                <w:sz w:val="20"/>
                <w:szCs w:val="20"/>
              </w:rPr>
              <w:t>　</w:t>
            </w:r>
          </w:p>
        </w:tc>
        <w:tc>
          <w:tcPr>
            <w:tcW w:w="680" w:type="dxa"/>
            <w:shd w:val="clear" w:color="auto" w:fill="auto"/>
            <w:noWrap/>
            <w:vAlign w:val="center"/>
          </w:tcPr>
          <w:p>
            <w:pPr>
              <w:jc w:val="right"/>
              <w:rPr>
                <w:rFonts w:hint="eastAsia" w:ascii="仿宋_GB2312" w:eastAsia="仿宋_GB2312"/>
                <w:color w:val="000000"/>
                <w:sz w:val="20"/>
                <w:szCs w:val="20"/>
              </w:rPr>
            </w:pPr>
            <w:r>
              <w:rPr>
                <w:rFonts w:hint="eastAsia" w:ascii="仿宋_GB2312" w:eastAsia="仿宋_GB2312"/>
                <w:color w:val="000000"/>
                <w:sz w:val="20"/>
                <w:szCs w:val="20"/>
              </w:rPr>
              <w:t>　</w:t>
            </w:r>
          </w:p>
        </w:tc>
        <w:tc>
          <w:tcPr>
            <w:tcW w:w="680" w:type="dxa"/>
            <w:shd w:val="clear" w:color="auto" w:fill="auto"/>
            <w:noWrap/>
            <w:vAlign w:val="center"/>
          </w:tcPr>
          <w:p>
            <w:pPr>
              <w:jc w:val="right"/>
              <w:rPr>
                <w:rFonts w:hint="eastAsia" w:ascii="仿宋_GB2312" w:eastAsia="仿宋_GB2312"/>
                <w:color w:val="000000"/>
                <w:sz w:val="20"/>
                <w:szCs w:val="20"/>
              </w:rPr>
            </w:pPr>
            <w:r>
              <w:rPr>
                <w:rFonts w:hint="eastAsia" w:ascii="仿宋_GB2312" w:eastAsia="仿宋_GB2312"/>
                <w:color w:val="000000"/>
                <w:sz w:val="20"/>
                <w:szCs w:val="20"/>
              </w:rPr>
              <w:t>　</w:t>
            </w:r>
          </w:p>
        </w:tc>
        <w:tc>
          <w:tcPr>
            <w:tcW w:w="680" w:type="dxa"/>
            <w:shd w:val="clear" w:color="auto" w:fill="auto"/>
            <w:noWrap/>
            <w:vAlign w:val="center"/>
          </w:tcPr>
          <w:p>
            <w:pPr>
              <w:jc w:val="right"/>
              <w:rPr>
                <w:rFonts w:hint="eastAsia" w:ascii="仿宋_GB2312" w:eastAsia="仿宋_GB2312"/>
                <w:color w:val="000000"/>
                <w:sz w:val="20"/>
                <w:szCs w:val="20"/>
              </w:rPr>
            </w:pPr>
            <w:r>
              <w:rPr>
                <w:rFonts w:hint="eastAsia" w:ascii="仿宋_GB2312" w:eastAsia="仿宋_GB2312"/>
                <w:color w:val="000000"/>
                <w:sz w:val="20"/>
                <w:szCs w:val="20"/>
              </w:rPr>
              <w:t>　</w:t>
            </w:r>
          </w:p>
        </w:tc>
        <w:tc>
          <w:tcPr>
            <w:tcW w:w="680" w:type="dxa"/>
            <w:shd w:val="clear" w:color="auto" w:fill="auto"/>
            <w:noWrap/>
            <w:vAlign w:val="center"/>
          </w:tcPr>
          <w:p>
            <w:pPr>
              <w:jc w:val="right"/>
              <w:rPr>
                <w:rFonts w:hint="eastAsia" w:ascii="仿宋_GB2312" w:eastAsia="仿宋_GB2312"/>
                <w:color w:val="000000"/>
                <w:sz w:val="20"/>
                <w:szCs w:val="20"/>
              </w:rPr>
            </w:pPr>
            <w:r>
              <w:rPr>
                <w:rFonts w:hint="eastAsia" w:ascii="仿宋_GB2312" w:eastAsia="仿宋_GB2312"/>
                <w:color w:val="000000"/>
                <w:sz w:val="20"/>
                <w:szCs w:val="20"/>
              </w:rPr>
              <w:t>　</w:t>
            </w:r>
          </w:p>
        </w:tc>
        <w:tc>
          <w:tcPr>
            <w:tcW w:w="680" w:type="dxa"/>
            <w:shd w:val="clear" w:color="auto" w:fill="auto"/>
            <w:noWrap/>
            <w:vAlign w:val="center"/>
          </w:tcPr>
          <w:p>
            <w:pPr>
              <w:jc w:val="right"/>
              <w:rPr>
                <w:rFonts w:hint="eastAsia" w:ascii="仿宋_GB2312" w:eastAsia="仿宋_GB2312"/>
                <w:color w:val="000000"/>
                <w:sz w:val="20"/>
                <w:szCs w:val="20"/>
              </w:rPr>
            </w:pPr>
            <w:r>
              <w:rPr>
                <w:rFonts w:hint="eastAsia" w:ascii="仿宋_GB2312" w:eastAsia="仿宋_GB2312"/>
                <w:color w:val="000000"/>
                <w:sz w:val="20"/>
                <w:szCs w:val="20"/>
              </w:rPr>
              <w:t>　</w:t>
            </w:r>
          </w:p>
        </w:tc>
        <w:tc>
          <w:tcPr>
            <w:tcW w:w="678" w:type="dxa"/>
            <w:shd w:val="clear" w:color="auto" w:fill="auto"/>
            <w:noWrap/>
            <w:vAlign w:val="center"/>
          </w:tcPr>
          <w:p>
            <w:pPr>
              <w:jc w:val="right"/>
              <w:rPr>
                <w:rFonts w:hint="eastAsia" w:ascii="仿宋_GB2312" w:eastAsia="仿宋_GB2312"/>
                <w:color w:val="000000"/>
                <w:sz w:val="20"/>
                <w:szCs w:val="20"/>
              </w:rPr>
            </w:pPr>
            <w:r>
              <w:rPr>
                <w:rFonts w:hint="eastAsia" w:ascii="仿宋_GB2312" w:eastAsia="仿宋_GB2312"/>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476" w:type="dxa"/>
            <w:shd w:val="clear" w:color="auto" w:fill="auto"/>
            <w:vAlign w:val="center"/>
          </w:tcPr>
          <w:p>
            <w:pPr>
              <w:jc w:val="center"/>
              <w:rPr>
                <w:rFonts w:ascii="宋体" w:cs="宋体"/>
                <w:sz w:val="15"/>
                <w:szCs w:val="15"/>
              </w:rPr>
            </w:pPr>
            <w:r>
              <w:rPr>
                <w:rFonts w:ascii="宋体" w:hAnsi="宋体"/>
                <w:sz w:val="15"/>
                <w:szCs w:val="15"/>
              </w:rPr>
              <w:t>201</w:t>
            </w:r>
          </w:p>
        </w:tc>
        <w:tc>
          <w:tcPr>
            <w:tcW w:w="476" w:type="dxa"/>
            <w:shd w:val="clear" w:color="auto" w:fill="auto"/>
            <w:vAlign w:val="center"/>
          </w:tcPr>
          <w:p>
            <w:pPr>
              <w:jc w:val="center"/>
              <w:rPr>
                <w:rFonts w:ascii="宋体" w:cs="宋体"/>
                <w:sz w:val="15"/>
                <w:szCs w:val="15"/>
              </w:rPr>
            </w:pPr>
            <w:r>
              <w:rPr>
                <w:rFonts w:ascii="宋体" w:hAnsi="宋体"/>
                <w:sz w:val="15"/>
                <w:szCs w:val="15"/>
              </w:rPr>
              <w:t>03</w:t>
            </w:r>
          </w:p>
        </w:tc>
        <w:tc>
          <w:tcPr>
            <w:tcW w:w="476" w:type="dxa"/>
            <w:shd w:val="clear" w:color="auto" w:fill="auto"/>
            <w:vAlign w:val="center"/>
          </w:tcPr>
          <w:p>
            <w:pPr>
              <w:jc w:val="center"/>
              <w:rPr>
                <w:rFonts w:ascii="宋体" w:cs="宋体"/>
                <w:sz w:val="15"/>
                <w:szCs w:val="15"/>
              </w:rPr>
            </w:pPr>
          </w:p>
        </w:tc>
        <w:tc>
          <w:tcPr>
            <w:tcW w:w="1478" w:type="dxa"/>
            <w:shd w:val="clear" w:color="auto" w:fill="auto"/>
            <w:vAlign w:val="center"/>
          </w:tcPr>
          <w:p>
            <w:pPr>
              <w:jc w:val="center"/>
              <w:rPr>
                <w:rFonts w:ascii="宋体" w:cs="宋体"/>
                <w:sz w:val="20"/>
                <w:szCs w:val="20"/>
                <w:shd w:val="clear" w:color="auto" w:fill="auto"/>
              </w:rPr>
            </w:pPr>
            <w:r>
              <w:rPr>
                <w:rFonts w:hint="eastAsia" w:ascii="宋体" w:hAnsi="宋体" w:cs="宋体"/>
                <w:sz w:val="20"/>
                <w:szCs w:val="20"/>
                <w:shd w:val="clear" w:color="auto" w:fill="auto"/>
              </w:rPr>
              <w:t>政府办公厅（室）及相关机构事物</w:t>
            </w:r>
          </w:p>
        </w:tc>
        <w:tc>
          <w:tcPr>
            <w:tcW w:w="995" w:type="dxa"/>
            <w:shd w:val="clear" w:color="auto" w:fill="auto"/>
            <w:noWrap/>
            <w:vAlign w:val="center"/>
          </w:tcPr>
          <w:p>
            <w:pPr>
              <w:spacing w:line="240" w:lineRule="auto"/>
              <w:jc w:val="right"/>
              <w:rPr>
                <w:rFonts w:hint="eastAsia" w:ascii="仿宋_GB2312" w:eastAsia="仿宋_GB2312"/>
                <w:color w:val="000000"/>
                <w:sz w:val="20"/>
                <w:szCs w:val="20"/>
                <w:shd w:val="clear" w:color="auto" w:fill="auto"/>
                <w:lang w:val="en-US" w:eastAsia="zh-CN"/>
              </w:rPr>
            </w:pPr>
            <w:r>
              <w:rPr>
                <w:rFonts w:hint="eastAsia" w:ascii="仿宋_GB2312" w:eastAsia="仿宋_GB2312"/>
                <w:color w:val="000000"/>
                <w:sz w:val="20"/>
                <w:szCs w:val="20"/>
                <w:shd w:val="clear" w:color="auto" w:fill="auto"/>
                <w:lang w:val="en-US" w:eastAsia="zh-CN"/>
              </w:rPr>
              <w:t>92.86</w:t>
            </w:r>
          </w:p>
        </w:tc>
        <w:tc>
          <w:tcPr>
            <w:tcW w:w="995" w:type="dxa"/>
            <w:shd w:val="clear" w:color="auto" w:fill="auto"/>
            <w:noWrap/>
            <w:vAlign w:val="center"/>
          </w:tcPr>
          <w:p>
            <w:pPr>
              <w:spacing w:line="240" w:lineRule="auto"/>
              <w:jc w:val="right"/>
              <w:rPr>
                <w:rFonts w:hint="eastAsia" w:ascii="仿宋_GB2312" w:eastAsia="仿宋_GB2312"/>
                <w:color w:val="000000"/>
                <w:sz w:val="20"/>
                <w:szCs w:val="20"/>
                <w:shd w:val="clear" w:color="auto" w:fill="auto"/>
                <w:lang w:val="en-US" w:eastAsia="zh-CN"/>
              </w:rPr>
            </w:pPr>
            <w:r>
              <w:rPr>
                <w:rFonts w:hint="eastAsia" w:ascii="仿宋_GB2312" w:eastAsia="仿宋_GB2312"/>
                <w:color w:val="000000"/>
                <w:sz w:val="20"/>
                <w:szCs w:val="20"/>
                <w:shd w:val="clear" w:color="auto" w:fill="auto"/>
                <w:lang w:val="en-US" w:eastAsia="zh-CN"/>
              </w:rPr>
              <w:t>92.86</w:t>
            </w:r>
          </w:p>
        </w:tc>
        <w:tc>
          <w:tcPr>
            <w:tcW w:w="680" w:type="dxa"/>
            <w:shd w:val="clear" w:color="auto" w:fill="auto"/>
            <w:noWrap/>
            <w:vAlign w:val="center"/>
          </w:tcPr>
          <w:p>
            <w:pPr>
              <w:jc w:val="right"/>
              <w:rPr>
                <w:rFonts w:hint="eastAsia" w:ascii="仿宋_GB2312" w:eastAsia="仿宋_GB2312"/>
                <w:color w:val="000000"/>
                <w:sz w:val="20"/>
                <w:szCs w:val="20"/>
              </w:rPr>
            </w:pPr>
            <w:r>
              <w:rPr>
                <w:rFonts w:hint="eastAsia" w:ascii="仿宋_GB2312" w:eastAsia="仿宋_GB2312"/>
                <w:color w:val="000000"/>
                <w:sz w:val="20"/>
                <w:szCs w:val="20"/>
              </w:rPr>
              <w:t>　</w:t>
            </w:r>
          </w:p>
        </w:tc>
        <w:tc>
          <w:tcPr>
            <w:tcW w:w="680" w:type="dxa"/>
            <w:shd w:val="clear" w:color="auto" w:fill="auto"/>
            <w:noWrap/>
            <w:vAlign w:val="center"/>
          </w:tcPr>
          <w:p>
            <w:pPr>
              <w:jc w:val="right"/>
              <w:rPr>
                <w:rFonts w:hint="eastAsia" w:ascii="仿宋_GB2312" w:eastAsia="仿宋_GB2312"/>
                <w:color w:val="000000"/>
                <w:sz w:val="20"/>
                <w:szCs w:val="20"/>
              </w:rPr>
            </w:pPr>
            <w:r>
              <w:rPr>
                <w:rFonts w:hint="eastAsia" w:ascii="仿宋_GB2312" w:eastAsia="仿宋_GB2312"/>
                <w:color w:val="000000"/>
                <w:sz w:val="20"/>
                <w:szCs w:val="20"/>
              </w:rPr>
              <w:t>　</w:t>
            </w:r>
          </w:p>
        </w:tc>
        <w:tc>
          <w:tcPr>
            <w:tcW w:w="680" w:type="dxa"/>
            <w:shd w:val="clear" w:color="auto" w:fill="auto"/>
            <w:noWrap/>
            <w:vAlign w:val="center"/>
          </w:tcPr>
          <w:p>
            <w:pPr>
              <w:jc w:val="right"/>
              <w:rPr>
                <w:rFonts w:hint="eastAsia" w:ascii="仿宋_GB2312" w:eastAsia="仿宋_GB2312"/>
                <w:color w:val="000000"/>
                <w:sz w:val="20"/>
                <w:szCs w:val="20"/>
              </w:rPr>
            </w:pPr>
            <w:r>
              <w:rPr>
                <w:rFonts w:hint="eastAsia" w:ascii="仿宋_GB2312" w:eastAsia="仿宋_GB2312"/>
                <w:color w:val="000000"/>
                <w:sz w:val="20"/>
                <w:szCs w:val="20"/>
              </w:rPr>
              <w:t>　</w:t>
            </w:r>
          </w:p>
        </w:tc>
        <w:tc>
          <w:tcPr>
            <w:tcW w:w="680" w:type="dxa"/>
            <w:shd w:val="clear" w:color="auto" w:fill="auto"/>
            <w:noWrap/>
            <w:vAlign w:val="center"/>
          </w:tcPr>
          <w:p>
            <w:pPr>
              <w:jc w:val="right"/>
              <w:rPr>
                <w:rFonts w:hint="eastAsia" w:ascii="仿宋_GB2312" w:eastAsia="仿宋_GB2312"/>
                <w:color w:val="000000"/>
                <w:sz w:val="20"/>
                <w:szCs w:val="20"/>
              </w:rPr>
            </w:pPr>
            <w:r>
              <w:rPr>
                <w:rFonts w:hint="eastAsia" w:ascii="仿宋_GB2312" w:eastAsia="仿宋_GB2312"/>
                <w:color w:val="000000"/>
                <w:sz w:val="20"/>
                <w:szCs w:val="20"/>
              </w:rPr>
              <w:t>　</w:t>
            </w:r>
          </w:p>
        </w:tc>
        <w:tc>
          <w:tcPr>
            <w:tcW w:w="680" w:type="dxa"/>
            <w:shd w:val="clear" w:color="auto" w:fill="auto"/>
            <w:noWrap/>
            <w:vAlign w:val="center"/>
          </w:tcPr>
          <w:p>
            <w:pPr>
              <w:jc w:val="right"/>
              <w:rPr>
                <w:rFonts w:hint="eastAsia" w:ascii="仿宋_GB2312" w:eastAsia="仿宋_GB2312"/>
                <w:color w:val="000000"/>
                <w:sz w:val="20"/>
                <w:szCs w:val="20"/>
              </w:rPr>
            </w:pPr>
            <w:r>
              <w:rPr>
                <w:rFonts w:hint="eastAsia" w:ascii="仿宋_GB2312" w:eastAsia="仿宋_GB2312"/>
                <w:color w:val="000000"/>
                <w:sz w:val="20"/>
                <w:szCs w:val="20"/>
              </w:rPr>
              <w:t>　</w:t>
            </w:r>
          </w:p>
        </w:tc>
        <w:tc>
          <w:tcPr>
            <w:tcW w:w="680" w:type="dxa"/>
            <w:shd w:val="clear" w:color="auto" w:fill="auto"/>
            <w:noWrap/>
            <w:vAlign w:val="center"/>
          </w:tcPr>
          <w:p>
            <w:pPr>
              <w:jc w:val="right"/>
              <w:rPr>
                <w:rFonts w:hint="eastAsia" w:ascii="仿宋_GB2312" w:eastAsia="仿宋_GB2312"/>
                <w:color w:val="000000"/>
                <w:sz w:val="20"/>
                <w:szCs w:val="20"/>
              </w:rPr>
            </w:pPr>
            <w:r>
              <w:rPr>
                <w:rFonts w:hint="eastAsia" w:ascii="仿宋_GB2312" w:eastAsia="仿宋_GB2312"/>
                <w:color w:val="000000"/>
                <w:sz w:val="20"/>
                <w:szCs w:val="20"/>
              </w:rPr>
              <w:t>　</w:t>
            </w:r>
          </w:p>
        </w:tc>
        <w:tc>
          <w:tcPr>
            <w:tcW w:w="678" w:type="dxa"/>
            <w:shd w:val="clear" w:color="auto" w:fill="auto"/>
            <w:noWrap/>
            <w:vAlign w:val="center"/>
          </w:tcPr>
          <w:p>
            <w:pPr>
              <w:jc w:val="right"/>
              <w:rPr>
                <w:rFonts w:hint="eastAsia" w:ascii="仿宋_GB2312" w:eastAsia="仿宋_GB2312"/>
                <w:color w:val="000000"/>
                <w:sz w:val="20"/>
                <w:szCs w:val="20"/>
              </w:rPr>
            </w:pPr>
            <w:r>
              <w:rPr>
                <w:rFonts w:hint="eastAsia" w:ascii="仿宋_GB2312" w:eastAsia="仿宋_GB2312"/>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4" w:hRule="atLeast"/>
          <w:jc w:val="center"/>
        </w:trPr>
        <w:tc>
          <w:tcPr>
            <w:tcW w:w="476" w:type="dxa"/>
            <w:shd w:val="clear" w:color="auto" w:fill="auto"/>
            <w:vAlign w:val="center"/>
          </w:tcPr>
          <w:p>
            <w:pPr>
              <w:jc w:val="center"/>
              <w:rPr>
                <w:rFonts w:ascii="宋体" w:cs="宋体"/>
                <w:sz w:val="15"/>
                <w:szCs w:val="15"/>
              </w:rPr>
            </w:pPr>
            <w:r>
              <w:rPr>
                <w:rFonts w:ascii="宋体" w:hAnsi="宋体"/>
                <w:sz w:val="15"/>
                <w:szCs w:val="15"/>
              </w:rPr>
              <w:t>201</w:t>
            </w:r>
          </w:p>
        </w:tc>
        <w:tc>
          <w:tcPr>
            <w:tcW w:w="476" w:type="dxa"/>
            <w:shd w:val="clear" w:color="auto" w:fill="auto"/>
            <w:vAlign w:val="center"/>
          </w:tcPr>
          <w:p>
            <w:pPr>
              <w:jc w:val="center"/>
              <w:rPr>
                <w:rFonts w:ascii="宋体" w:cs="宋体"/>
                <w:sz w:val="15"/>
                <w:szCs w:val="15"/>
              </w:rPr>
            </w:pPr>
            <w:r>
              <w:rPr>
                <w:rFonts w:ascii="宋体" w:hAnsi="宋体"/>
                <w:sz w:val="15"/>
                <w:szCs w:val="15"/>
              </w:rPr>
              <w:t>03</w:t>
            </w:r>
          </w:p>
        </w:tc>
        <w:tc>
          <w:tcPr>
            <w:tcW w:w="476" w:type="dxa"/>
            <w:shd w:val="clear" w:color="auto" w:fill="auto"/>
            <w:vAlign w:val="center"/>
          </w:tcPr>
          <w:p>
            <w:pPr>
              <w:jc w:val="center"/>
              <w:rPr>
                <w:rFonts w:ascii="宋体" w:cs="宋体"/>
                <w:sz w:val="15"/>
                <w:szCs w:val="15"/>
              </w:rPr>
            </w:pPr>
            <w:r>
              <w:rPr>
                <w:rFonts w:ascii="宋体" w:hAnsi="宋体"/>
                <w:sz w:val="15"/>
                <w:szCs w:val="15"/>
              </w:rPr>
              <w:t>01</w:t>
            </w:r>
          </w:p>
        </w:tc>
        <w:tc>
          <w:tcPr>
            <w:tcW w:w="1478" w:type="dxa"/>
            <w:shd w:val="clear" w:color="auto" w:fill="auto"/>
            <w:vAlign w:val="center"/>
          </w:tcPr>
          <w:p>
            <w:pPr>
              <w:jc w:val="center"/>
              <w:rPr>
                <w:rFonts w:ascii="宋体" w:cs="宋体"/>
                <w:sz w:val="20"/>
                <w:szCs w:val="20"/>
                <w:shd w:val="clear" w:color="auto" w:fill="auto"/>
              </w:rPr>
            </w:pPr>
            <w:r>
              <w:rPr>
                <w:rFonts w:hint="eastAsia" w:ascii="宋体" w:hAnsi="宋体" w:cs="宋体"/>
                <w:sz w:val="20"/>
                <w:szCs w:val="20"/>
                <w:shd w:val="clear" w:color="auto" w:fill="auto"/>
              </w:rPr>
              <w:t>行政运行</w:t>
            </w:r>
          </w:p>
        </w:tc>
        <w:tc>
          <w:tcPr>
            <w:tcW w:w="995" w:type="dxa"/>
            <w:shd w:val="clear" w:color="auto" w:fill="auto"/>
            <w:noWrap/>
            <w:vAlign w:val="center"/>
          </w:tcPr>
          <w:p>
            <w:pPr>
              <w:spacing w:line="240" w:lineRule="auto"/>
              <w:jc w:val="right"/>
              <w:rPr>
                <w:rFonts w:hint="eastAsia" w:ascii="仿宋_GB2312" w:eastAsia="仿宋_GB2312"/>
                <w:color w:val="000000"/>
                <w:sz w:val="20"/>
                <w:szCs w:val="20"/>
                <w:shd w:val="clear" w:color="auto" w:fill="auto"/>
                <w:lang w:val="en-US" w:eastAsia="zh-CN"/>
              </w:rPr>
            </w:pPr>
            <w:r>
              <w:rPr>
                <w:rFonts w:hint="eastAsia" w:ascii="仿宋_GB2312" w:eastAsia="仿宋_GB2312"/>
                <w:color w:val="000000"/>
                <w:sz w:val="20"/>
                <w:szCs w:val="20"/>
                <w:shd w:val="clear" w:color="auto" w:fill="auto"/>
                <w:lang w:val="en-US" w:eastAsia="zh-CN"/>
              </w:rPr>
              <w:t>92.86</w:t>
            </w:r>
          </w:p>
        </w:tc>
        <w:tc>
          <w:tcPr>
            <w:tcW w:w="995" w:type="dxa"/>
            <w:shd w:val="clear" w:color="auto" w:fill="auto"/>
            <w:noWrap/>
            <w:vAlign w:val="center"/>
          </w:tcPr>
          <w:p>
            <w:pPr>
              <w:spacing w:line="240" w:lineRule="auto"/>
              <w:jc w:val="right"/>
              <w:rPr>
                <w:rFonts w:hint="eastAsia" w:ascii="仿宋_GB2312" w:eastAsia="仿宋_GB2312"/>
                <w:color w:val="000000"/>
                <w:sz w:val="20"/>
                <w:szCs w:val="20"/>
                <w:shd w:val="clear" w:color="auto" w:fill="auto"/>
                <w:lang w:val="en-US" w:eastAsia="zh-CN"/>
              </w:rPr>
            </w:pPr>
            <w:r>
              <w:rPr>
                <w:rFonts w:hint="eastAsia" w:ascii="仿宋_GB2312" w:eastAsia="仿宋_GB2312"/>
                <w:color w:val="000000"/>
                <w:sz w:val="20"/>
                <w:szCs w:val="20"/>
                <w:shd w:val="clear" w:color="auto" w:fill="auto"/>
                <w:lang w:val="en-US" w:eastAsia="zh-CN"/>
              </w:rPr>
              <w:t>92.86</w:t>
            </w:r>
          </w:p>
        </w:tc>
        <w:tc>
          <w:tcPr>
            <w:tcW w:w="680" w:type="dxa"/>
            <w:shd w:val="clear" w:color="auto" w:fill="auto"/>
            <w:noWrap/>
            <w:vAlign w:val="center"/>
          </w:tcPr>
          <w:p>
            <w:pPr>
              <w:jc w:val="right"/>
              <w:rPr>
                <w:rFonts w:hint="eastAsia" w:ascii="仿宋_GB2312" w:eastAsia="仿宋_GB2312"/>
                <w:color w:val="000000"/>
                <w:sz w:val="20"/>
                <w:szCs w:val="20"/>
              </w:rPr>
            </w:pPr>
            <w:r>
              <w:rPr>
                <w:rFonts w:hint="eastAsia" w:ascii="仿宋_GB2312" w:eastAsia="仿宋_GB2312"/>
                <w:color w:val="000000"/>
                <w:sz w:val="20"/>
                <w:szCs w:val="20"/>
              </w:rPr>
              <w:t>　</w:t>
            </w:r>
          </w:p>
        </w:tc>
        <w:tc>
          <w:tcPr>
            <w:tcW w:w="680" w:type="dxa"/>
            <w:shd w:val="clear" w:color="auto" w:fill="auto"/>
            <w:noWrap/>
            <w:vAlign w:val="center"/>
          </w:tcPr>
          <w:p>
            <w:pPr>
              <w:jc w:val="right"/>
              <w:rPr>
                <w:rFonts w:hint="eastAsia" w:ascii="仿宋_GB2312" w:eastAsia="仿宋_GB2312"/>
                <w:color w:val="000000"/>
                <w:sz w:val="20"/>
                <w:szCs w:val="20"/>
              </w:rPr>
            </w:pPr>
            <w:r>
              <w:rPr>
                <w:rFonts w:hint="eastAsia" w:ascii="仿宋_GB2312" w:eastAsia="仿宋_GB2312"/>
                <w:color w:val="000000"/>
                <w:sz w:val="20"/>
                <w:szCs w:val="20"/>
              </w:rPr>
              <w:t>　</w:t>
            </w:r>
          </w:p>
        </w:tc>
        <w:tc>
          <w:tcPr>
            <w:tcW w:w="680" w:type="dxa"/>
            <w:shd w:val="clear" w:color="auto" w:fill="auto"/>
            <w:noWrap/>
            <w:vAlign w:val="center"/>
          </w:tcPr>
          <w:p>
            <w:pPr>
              <w:jc w:val="right"/>
              <w:rPr>
                <w:rFonts w:hint="eastAsia" w:ascii="仿宋_GB2312" w:eastAsia="仿宋_GB2312"/>
                <w:color w:val="000000"/>
                <w:sz w:val="20"/>
                <w:szCs w:val="20"/>
              </w:rPr>
            </w:pPr>
            <w:r>
              <w:rPr>
                <w:rFonts w:hint="eastAsia" w:ascii="仿宋_GB2312" w:eastAsia="仿宋_GB2312"/>
                <w:color w:val="000000"/>
                <w:sz w:val="20"/>
                <w:szCs w:val="20"/>
              </w:rPr>
              <w:t>　</w:t>
            </w:r>
          </w:p>
        </w:tc>
        <w:tc>
          <w:tcPr>
            <w:tcW w:w="680" w:type="dxa"/>
            <w:shd w:val="clear" w:color="auto" w:fill="auto"/>
            <w:noWrap/>
            <w:vAlign w:val="center"/>
          </w:tcPr>
          <w:p>
            <w:pPr>
              <w:jc w:val="right"/>
              <w:rPr>
                <w:rFonts w:hint="eastAsia" w:ascii="仿宋_GB2312" w:eastAsia="仿宋_GB2312"/>
                <w:color w:val="000000"/>
                <w:sz w:val="20"/>
                <w:szCs w:val="20"/>
              </w:rPr>
            </w:pPr>
            <w:r>
              <w:rPr>
                <w:rFonts w:hint="eastAsia" w:ascii="仿宋_GB2312" w:eastAsia="仿宋_GB2312"/>
                <w:color w:val="000000"/>
                <w:sz w:val="20"/>
                <w:szCs w:val="20"/>
              </w:rPr>
              <w:t>　</w:t>
            </w:r>
          </w:p>
        </w:tc>
        <w:tc>
          <w:tcPr>
            <w:tcW w:w="680" w:type="dxa"/>
            <w:shd w:val="clear" w:color="auto" w:fill="auto"/>
            <w:noWrap/>
            <w:vAlign w:val="center"/>
          </w:tcPr>
          <w:p>
            <w:pPr>
              <w:jc w:val="right"/>
              <w:rPr>
                <w:rFonts w:hint="eastAsia" w:ascii="仿宋_GB2312" w:eastAsia="仿宋_GB2312"/>
                <w:color w:val="000000"/>
                <w:sz w:val="20"/>
                <w:szCs w:val="20"/>
              </w:rPr>
            </w:pPr>
            <w:r>
              <w:rPr>
                <w:rFonts w:hint="eastAsia" w:ascii="仿宋_GB2312" w:eastAsia="仿宋_GB2312"/>
                <w:color w:val="000000"/>
                <w:sz w:val="20"/>
                <w:szCs w:val="20"/>
              </w:rPr>
              <w:t>　</w:t>
            </w:r>
          </w:p>
        </w:tc>
        <w:tc>
          <w:tcPr>
            <w:tcW w:w="680" w:type="dxa"/>
            <w:shd w:val="clear" w:color="auto" w:fill="auto"/>
            <w:noWrap/>
            <w:vAlign w:val="center"/>
          </w:tcPr>
          <w:p>
            <w:pPr>
              <w:jc w:val="right"/>
              <w:rPr>
                <w:rFonts w:hint="eastAsia" w:ascii="仿宋_GB2312" w:eastAsia="仿宋_GB2312"/>
                <w:color w:val="000000"/>
                <w:sz w:val="20"/>
                <w:szCs w:val="20"/>
              </w:rPr>
            </w:pPr>
            <w:r>
              <w:rPr>
                <w:rFonts w:hint="eastAsia" w:ascii="仿宋_GB2312" w:eastAsia="仿宋_GB2312"/>
                <w:color w:val="000000"/>
                <w:sz w:val="20"/>
                <w:szCs w:val="20"/>
              </w:rPr>
              <w:t>　</w:t>
            </w:r>
          </w:p>
        </w:tc>
        <w:tc>
          <w:tcPr>
            <w:tcW w:w="678" w:type="dxa"/>
            <w:shd w:val="clear" w:color="auto" w:fill="auto"/>
            <w:noWrap/>
            <w:vAlign w:val="center"/>
          </w:tcPr>
          <w:p>
            <w:pPr>
              <w:jc w:val="right"/>
              <w:rPr>
                <w:rFonts w:hint="eastAsia" w:ascii="仿宋_GB2312" w:eastAsia="仿宋_GB2312"/>
                <w:color w:val="000000"/>
                <w:sz w:val="20"/>
                <w:szCs w:val="20"/>
              </w:rPr>
            </w:pPr>
            <w:r>
              <w:rPr>
                <w:rFonts w:hint="eastAsia" w:ascii="仿宋_GB2312" w:eastAsia="仿宋_GB2312"/>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476" w:type="dxa"/>
            <w:shd w:val="clear" w:color="auto" w:fill="auto"/>
            <w:vAlign w:val="center"/>
          </w:tcPr>
          <w:p>
            <w:pPr>
              <w:jc w:val="center"/>
              <w:rPr>
                <w:rFonts w:ascii="宋体" w:cs="宋体"/>
                <w:sz w:val="15"/>
                <w:szCs w:val="15"/>
              </w:rPr>
            </w:pPr>
            <w:r>
              <w:rPr>
                <w:rFonts w:ascii="宋体" w:hAnsi="宋体" w:cs="宋体"/>
                <w:sz w:val="15"/>
                <w:szCs w:val="15"/>
              </w:rPr>
              <w:t>208</w:t>
            </w:r>
          </w:p>
        </w:tc>
        <w:tc>
          <w:tcPr>
            <w:tcW w:w="476" w:type="dxa"/>
            <w:shd w:val="clear" w:color="auto" w:fill="auto"/>
            <w:vAlign w:val="center"/>
          </w:tcPr>
          <w:p>
            <w:pPr>
              <w:jc w:val="center"/>
              <w:rPr>
                <w:rFonts w:ascii="宋体" w:cs="宋体"/>
                <w:sz w:val="15"/>
                <w:szCs w:val="15"/>
              </w:rPr>
            </w:pPr>
          </w:p>
        </w:tc>
        <w:tc>
          <w:tcPr>
            <w:tcW w:w="476" w:type="dxa"/>
            <w:shd w:val="clear" w:color="auto" w:fill="auto"/>
            <w:vAlign w:val="center"/>
          </w:tcPr>
          <w:p>
            <w:pPr>
              <w:jc w:val="center"/>
              <w:rPr>
                <w:rFonts w:ascii="宋体" w:cs="宋体"/>
                <w:sz w:val="15"/>
                <w:szCs w:val="15"/>
              </w:rPr>
            </w:pPr>
          </w:p>
        </w:tc>
        <w:tc>
          <w:tcPr>
            <w:tcW w:w="1478" w:type="dxa"/>
            <w:shd w:val="clear" w:color="auto" w:fill="auto"/>
            <w:vAlign w:val="center"/>
          </w:tcPr>
          <w:p>
            <w:pPr>
              <w:jc w:val="center"/>
              <w:rPr>
                <w:rFonts w:ascii="宋体" w:cs="宋体"/>
                <w:sz w:val="20"/>
                <w:szCs w:val="20"/>
                <w:shd w:val="clear" w:color="auto" w:fill="auto"/>
              </w:rPr>
            </w:pPr>
            <w:r>
              <w:rPr>
                <w:rFonts w:hint="eastAsia" w:ascii="宋体" w:hAnsi="宋体" w:cs="Arial"/>
                <w:sz w:val="20"/>
                <w:szCs w:val="20"/>
                <w:shd w:val="clear" w:color="auto" w:fill="auto"/>
              </w:rPr>
              <w:t>社会保障和就业支出</w:t>
            </w:r>
          </w:p>
        </w:tc>
        <w:tc>
          <w:tcPr>
            <w:tcW w:w="995" w:type="dxa"/>
            <w:shd w:val="clear" w:color="auto" w:fill="auto"/>
            <w:noWrap/>
            <w:vAlign w:val="center"/>
          </w:tcPr>
          <w:p>
            <w:pPr>
              <w:spacing w:line="240" w:lineRule="auto"/>
              <w:jc w:val="right"/>
              <w:rPr>
                <w:rFonts w:hint="eastAsia" w:ascii="仿宋_GB2312" w:eastAsia="仿宋_GB2312"/>
                <w:color w:val="000000"/>
                <w:sz w:val="20"/>
                <w:szCs w:val="20"/>
                <w:shd w:val="clear" w:color="auto" w:fill="auto"/>
                <w:lang w:val="en-US" w:eastAsia="zh-CN"/>
              </w:rPr>
            </w:pPr>
            <w:r>
              <w:rPr>
                <w:rFonts w:hint="eastAsia" w:ascii="仿宋_GB2312" w:eastAsia="仿宋_GB2312"/>
                <w:color w:val="000000"/>
                <w:sz w:val="20"/>
                <w:szCs w:val="20"/>
                <w:shd w:val="clear" w:color="auto" w:fill="auto"/>
                <w:lang w:val="en-US" w:eastAsia="zh-CN"/>
              </w:rPr>
              <w:t>73.15</w:t>
            </w:r>
          </w:p>
        </w:tc>
        <w:tc>
          <w:tcPr>
            <w:tcW w:w="995" w:type="dxa"/>
            <w:shd w:val="clear" w:color="auto" w:fill="auto"/>
            <w:noWrap/>
            <w:vAlign w:val="center"/>
          </w:tcPr>
          <w:p>
            <w:pPr>
              <w:spacing w:line="240" w:lineRule="auto"/>
              <w:jc w:val="right"/>
              <w:rPr>
                <w:rFonts w:hint="eastAsia" w:ascii="仿宋_GB2312" w:eastAsia="仿宋_GB2312"/>
                <w:color w:val="000000"/>
                <w:sz w:val="20"/>
                <w:szCs w:val="20"/>
                <w:shd w:val="clear" w:color="auto" w:fill="auto"/>
                <w:lang w:val="en-US" w:eastAsia="zh-CN"/>
              </w:rPr>
            </w:pPr>
            <w:r>
              <w:rPr>
                <w:rFonts w:hint="eastAsia" w:ascii="仿宋_GB2312" w:eastAsia="仿宋_GB2312"/>
                <w:color w:val="000000"/>
                <w:sz w:val="20"/>
                <w:szCs w:val="20"/>
                <w:shd w:val="clear" w:color="auto" w:fill="auto"/>
                <w:lang w:val="en-US" w:eastAsia="zh-CN"/>
              </w:rPr>
              <w:t>73.15</w:t>
            </w:r>
          </w:p>
        </w:tc>
        <w:tc>
          <w:tcPr>
            <w:tcW w:w="680" w:type="dxa"/>
            <w:shd w:val="clear" w:color="auto" w:fill="auto"/>
            <w:noWrap/>
            <w:vAlign w:val="center"/>
          </w:tcPr>
          <w:p>
            <w:pPr>
              <w:jc w:val="right"/>
              <w:rPr>
                <w:rFonts w:hint="eastAsia" w:ascii="仿宋_GB2312" w:eastAsia="仿宋_GB2312"/>
                <w:color w:val="000000"/>
                <w:sz w:val="20"/>
                <w:szCs w:val="20"/>
              </w:rPr>
            </w:pPr>
            <w:r>
              <w:rPr>
                <w:rFonts w:hint="eastAsia" w:ascii="仿宋_GB2312" w:eastAsia="仿宋_GB2312"/>
                <w:color w:val="000000"/>
                <w:sz w:val="20"/>
                <w:szCs w:val="20"/>
              </w:rPr>
              <w:t>　</w:t>
            </w:r>
          </w:p>
        </w:tc>
        <w:tc>
          <w:tcPr>
            <w:tcW w:w="680" w:type="dxa"/>
            <w:shd w:val="clear" w:color="auto" w:fill="auto"/>
            <w:noWrap/>
            <w:vAlign w:val="center"/>
          </w:tcPr>
          <w:p>
            <w:pPr>
              <w:jc w:val="right"/>
              <w:rPr>
                <w:rFonts w:hint="eastAsia" w:ascii="仿宋_GB2312" w:eastAsia="仿宋_GB2312"/>
                <w:color w:val="000000"/>
                <w:sz w:val="20"/>
                <w:szCs w:val="20"/>
              </w:rPr>
            </w:pPr>
            <w:r>
              <w:rPr>
                <w:rFonts w:hint="eastAsia" w:ascii="仿宋_GB2312" w:eastAsia="仿宋_GB2312"/>
                <w:color w:val="000000"/>
                <w:sz w:val="20"/>
                <w:szCs w:val="20"/>
              </w:rPr>
              <w:t>　</w:t>
            </w:r>
          </w:p>
        </w:tc>
        <w:tc>
          <w:tcPr>
            <w:tcW w:w="680" w:type="dxa"/>
            <w:shd w:val="clear" w:color="auto" w:fill="auto"/>
            <w:noWrap/>
            <w:vAlign w:val="center"/>
          </w:tcPr>
          <w:p>
            <w:pPr>
              <w:jc w:val="right"/>
              <w:rPr>
                <w:rFonts w:hint="eastAsia" w:ascii="仿宋_GB2312" w:eastAsia="仿宋_GB2312"/>
                <w:color w:val="000000"/>
                <w:sz w:val="20"/>
                <w:szCs w:val="20"/>
              </w:rPr>
            </w:pPr>
            <w:r>
              <w:rPr>
                <w:rFonts w:hint="eastAsia" w:ascii="仿宋_GB2312" w:eastAsia="仿宋_GB2312"/>
                <w:color w:val="000000"/>
                <w:sz w:val="20"/>
                <w:szCs w:val="20"/>
              </w:rPr>
              <w:t>　</w:t>
            </w:r>
          </w:p>
        </w:tc>
        <w:tc>
          <w:tcPr>
            <w:tcW w:w="680" w:type="dxa"/>
            <w:shd w:val="clear" w:color="auto" w:fill="auto"/>
            <w:noWrap/>
            <w:vAlign w:val="center"/>
          </w:tcPr>
          <w:p>
            <w:pPr>
              <w:jc w:val="right"/>
              <w:rPr>
                <w:rFonts w:hint="eastAsia" w:ascii="仿宋_GB2312" w:eastAsia="仿宋_GB2312"/>
                <w:color w:val="000000"/>
                <w:sz w:val="20"/>
                <w:szCs w:val="20"/>
              </w:rPr>
            </w:pPr>
            <w:r>
              <w:rPr>
                <w:rFonts w:hint="eastAsia" w:ascii="仿宋_GB2312" w:eastAsia="仿宋_GB2312"/>
                <w:color w:val="000000"/>
                <w:sz w:val="20"/>
                <w:szCs w:val="20"/>
              </w:rPr>
              <w:t>　</w:t>
            </w:r>
          </w:p>
        </w:tc>
        <w:tc>
          <w:tcPr>
            <w:tcW w:w="680" w:type="dxa"/>
            <w:shd w:val="clear" w:color="auto" w:fill="auto"/>
            <w:noWrap/>
            <w:vAlign w:val="center"/>
          </w:tcPr>
          <w:p>
            <w:pPr>
              <w:jc w:val="right"/>
              <w:rPr>
                <w:rFonts w:hint="eastAsia" w:ascii="仿宋_GB2312" w:eastAsia="仿宋_GB2312"/>
                <w:color w:val="000000"/>
                <w:sz w:val="20"/>
                <w:szCs w:val="20"/>
              </w:rPr>
            </w:pPr>
            <w:r>
              <w:rPr>
                <w:rFonts w:hint="eastAsia" w:ascii="仿宋_GB2312" w:eastAsia="仿宋_GB2312"/>
                <w:color w:val="000000"/>
                <w:sz w:val="20"/>
                <w:szCs w:val="20"/>
              </w:rPr>
              <w:t>　</w:t>
            </w:r>
          </w:p>
        </w:tc>
        <w:tc>
          <w:tcPr>
            <w:tcW w:w="680" w:type="dxa"/>
            <w:shd w:val="clear" w:color="auto" w:fill="auto"/>
            <w:noWrap/>
            <w:vAlign w:val="center"/>
          </w:tcPr>
          <w:p>
            <w:pPr>
              <w:jc w:val="right"/>
              <w:rPr>
                <w:rFonts w:hint="eastAsia" w:ascii="仿宋_GB2312" w:eastAsia="仿宋_GB2312"/>
                <w:color w:val="000000"/>
                <w:sz w:val="20"/>
                <w:szCs w:val="20"/>
              </w:rPr>
            </w:pPr>
            <w:r>
              <w:rPr>
                <w:rFonts w:hint="eastAsia" w:ascii="仿宋_GB2312" w:eastAsia="仿宋_GB2312"/>
                <w:color w:val="000000"/>
                <w:sz w:val="20"/>
                <w:szCs w:val="20"/>
              </w:rPr>
              <w:t>　</w:t>
            </w:r>
          </w:p>
        </w:tc>
        <w:tc>
          <w:tcPr>
            <w:tcW w:w="678" w:type="dxa"/>
            <w:shd w:val="clear" w:color="auto" w:fill="auto"/>
            <w:noWrap/>
            <w:vAlign w:val="center"/>
          </w:tcPr>
          <w:p>
            <w:pPr>
              <w:jc w:val="right"/>
              <w:rPr>
                <w:rFonts w:hint="eastAsia" w:ascii="仿宋_GB2312" w:eastAsia="仿宋_GB2312"/>
                <w:color w:val="000000"/>
                <w:sz w:val="20"/>
                <w:szCs w:val="20"/>
              </w:rPr>
            </w:pPr>
            <w:r>
              <w:rPr>
                <w:rFonts w:hint="eastAsia" w:ascii="仿宋_GB2312" w:eastAsia="仿宋_GB2312"/>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476" w:type="dxa"/>
            <w:shd w:val="clear" w:color="auto" w:fill="auto"/>
            <w:vAlign w:val="center"/>
          </w:tcPr>
          <w:p>
            <w:pPr>
              <w:jc w:val="center"/>
              <w:rPr>
                <w:rFonts w:ascii="宋体" w:cs="宋体"/>
                <w:sz w:val="15"/>
                <w:szCs w:val="15"/>
              </w:rPr>
            </w:pPr>
            <w:r>
              <w:rPr>
                <w:rFonts w:ascii="宋体" w:hAnsi="宋体"/>
                <w:sz w:val="15"/>
                <w:szCs w:val="15"/>
              </w:rPr>
              <w:t>208</w:t>
            </w:r>
          </w:p>
        </w:tc>
        <w:tc>
          <w:tcPr>
            <w:tcW w:w="476" w:type="dxa"/>
            <w:shd w:val="clear" w:color="auto" w:fill="auto"/>
            <w:vAlign w:val="center"/>
          </w:tcPr>
          <w:p>
            <w:pPr>
              <w:jc w:val="center"/>
              <w:rPr>
                <w:rFonts w:ascii="宋体" w:cs="宋体"/>
                <w:sz w:val="15"/>
                <w:szCs w:val="15"/>
              </w:rPr>
            </w:pPr>
            <w:r>
              <w:rPr>
                <w:rFonts w:ascii="宋体" w:hAnsi="宋体"/>
                <w:sz w:val="15"/>
                <w:szCs w:val="15"/>
              </w:rPr>
              <w:t>02</w:t>
            </w:r>
          </w:p>
        </w:tc>
        <w:tc>
          <w:tcPr>
            <w:tcW w:w="476" w:type="dxa"/>
            <w:shd w:val="clear" w:color="auto" w:fill="auto"/>
            <w:vAlign w:val="center"/>
          </w:tcPr>
          <w:p>
            <w:pPr>
              <w:jc w:val="center"/>
              <w:rPr>
                <w:rFonts w:ascii="宋体" w:cs="宋体"/>
                <w:sz w:val="15"/>
                <w:szCs w:val="15"/>
              </w:rPr>
            </w:pPr>
          </w:p>
        </w:tc>
        <w:tc>
          <w:tcPr>
            <w:tcW w:w="1478" w:type="dxa"/>
            <w:shd w:val="clear" w:color="auto" w:fill="auto"/>
            <w:vAlign w:val="center"/>
          </w:tcPr>
          <w:p>
            <w:pPr>
              <w:jc w:val="center"/>
              <w:rPr>
                <w:rFonts w:ascii="宋体" w:cs="宋体"/>
                <w:sz w:val="20"/>
                <w:szCs w:val="20"/>
                <w:shd w:val="clear" w:color="auto" w:fill="auto"/>
              </w:rPr>
            </w:pPr>
            <w:r>
              <w:rPr>
                <w:rFonts w:hint="eastAsia" w:ascii="宋体" w:hAnsi="宋体" w:cs="宋体"/>
                <w:sz w:val="20"/>
                <w:szCs w:val="20"/>
                <w:shd w:val="clear" w:color="auto" w:fill="auto"/>
              </w:rPr>
              <w:t>民政管理事务</w:t>
            </w:r>
          </w:p>
        </w:tc>
        <w:tc>
          <w:tcPr>
            <w:tcW w:w="995" w:type="dxa"/>
            <w:shd w:val="clear" w:color="auto" w:fill="auto"/>
            <w:noWrap/>
            <w:vAlign w:val="center"/>
          </w:tcPr>
          <w:p>
            <w:pPr>
              <w:spacing w:line="240" w:lineRule="auto"/>
              <w:jc w:val="right"/>
              <w:rPr>
                <w:rFonts w:hint="default" w:ascii="仿宋_GB2312" w:eastAsia="仿宋_GB2312"/>
                <w:color w:val="000000"/>
                <w:sz w:val="20"/>
                <w:szCs w:val="20"/>
                <w:shd w:val="clear" w:color="auto" w:fill="auto"/>
                <w:lang w:val="en-US" w:eastAsia="zh-CN"/>
              </w:rPr>
            </w:pPr>
            <w:r>
              <w:rPr>
                <w:rFonts w:hint="eastAsia" w:ascii="仿宋_GB2312" w:eastAsia="仿宋_GB2312"/>
                <w:color w:val="000000"/>
                <w:sz w:val="20"/>
                <w:szCs w:val="20"/>
                <w:shd w:val="clear" w:color="auto" w:fill="auto"/>
                <w:lang w:val="en-US" w:eastAsia="zh-CN"/>
              </w:rPr>
              <w:t>67.00</w:t>
            </w:r>
          </w:p>
        </w:tc>
        <w:tc>
          <w:tcPr>
            <w:tcW w:w="995" w:type="dxa"/>
            <w:shd w:val="clear" w:color="auto" w:fill="auto"/>
            <w:noWrap/>
            <w:vAlign w:val="center"/>
          </w:tcPr>
          <w:p>
            <w:pPr>
              <w:spacing w:line="240" w:lineRule="auto"/>
              <w:jc w:val="right"/>
              <w:rPr>
                <w:rFonts w:hint="default" w:ascii="仿宋_GB2312" w:eastAsia="仿宋_GB2312"/>
                <w:color w:val="000000"/>
                <w:sz w:val="20"/>
                <w:szCs w:val="20"/>
                <w:shd w:val="clear" w:color="auto" w:fill="auto"/>
                <w:lang w:val="en-US" w:eastAsia="zh-CN"/>
              </w:rPr>
            </w:pPr>
            <w:r>
              <w:rPr>
                <w:rFonts w:hint="eastAsia" w:ascii="仿宋_GB2312" w:eastAsia="仿宋_GB2312"/>
                <w:color w:val="000000"/>
                <w:sz w:val="20"/>
                <w:szCs w:val="20"/>
                <w:shd w:val="clear" w:color="auto" w:fill="auto"/>
                <w:lang w:val="en-US" w:eastAsia="zh-CN"/>
              </w:rPr>
              <w:t>67.00</w:t>
            </w:r>
          </w:p>
        </w:tc>
        <w:tc>
          <w:tcPr>
            <w:tcW w:w="680" w:type="dxa"/>
            <w:shd w:val="clear" w:color="auto" w:fill="auto"/>
            <w:noWrap/>
            <w:vAlign w:val="center"/>
          </w:tcPr>
          <w:p>
            <w:pPr>
              <w:jc w:val="right"/>
              <w:rPr>
                <w:rFonts w:hint="eastAsia" w:ascii="仿宋_GB2312" w:eastAsia="仿宋_GB2312"/>
                <w:color w:val="000000"/>
                <w:sz w:val="20"/>
                <w:szCs w:val="20"/>
              </w:rPr>
            </w:pPr>
            <w:r>
              <w:rPr>
                <w:rFonts w:hint="eastAsia" w:ascii="仿宋_GB2312" w:eastAsia="仿宋_GB2312"/>
                <w:color w:val="000000"/>
                <w:sz w:val="20"/>
                <w:szCs w:val="20"/>
              </w:rPr>
              <w:t>　</w:t>
            </w:r>
          </w:p>
        </w:tc>
        <w:tc>
          <w:tcPr>
            <w:tcW w:w="680" w:type="dxa"/>
            <w:shd w:val="clear" w:color="auto" w:fill="auto"/>
            <w:noWrap/>
            <w:vAlign w:val="center"/>
          </w:tcPr>
          <w:p>
            <w:pPr>
              <w:jc w:val="right"/>
              <w:rPr>
                <w:rFonts w:hint="eastAsia" w:ascii="仿宋_GB2312" w:eastAsia="仿宋_GB2312"/>
                <w:color w:val="000000"/>
                <w:sz w:val="20"/>
                <w:szCs w:val="20"/>
              </w:rPr>
            </w:pPr>
            <w:r>
              <w:rPr>
                <w:rFonts w:hint="eastAsia" w:ascii="仿宋_GB2312" w:eastAsia="仿宋_GB2312"/>
                <w:color w:val="000000"/>
                <w:sz w:val="20"/>
                <w:szCs w:val="20"/>
              </w:rPr>
              <w:t>　</w:t>
            </w:r>
          </w:p>
        </w:tc>
        <w:tc>
          <w:tcPr>
            <w:tcW w:w="680" w:type="dxa"/>
            <w:shd w:val="clear" w:color="auto" w:fill="auto"/>
            <w:noWrap/>
            <w:vAlign w:val="center"/>
          </w:tcPr>
          <w:p>
            <w:pPr>
              <w:jc w:val="right"/>
              <w:rPr>
                <w:rFonts w:hint="eastAsia" w:ascii="仿宋_GB2312" w:eastAsia="仿宋_GB2312"/>
                <w:color w:val="000000"/>
                <w:sz w:val="20"/>
                <w:szCs w:val="20"/>
              </w:rPr>
            </w:pPr>
            <w:r>
              <w:rPr>
                <w:rFonts w:hint="eastAsia" w:ascii="仿宋_GB2312" w:eastAsia="仿宋_GB2312"/>
                <w:color w:val="000000"/>
                <w:sz w:val="20"/>
                <w:szCs w:val="20"/>
              </w:rPr>
              <w:t>　</w:t>
            </w:r>
          </w:p>
        </w:tc>
        <w:tc>
          <w:tcPr>
            <w:tcW w:w="680" w:type="dxa"/>
            <w:shd w:val="clear" w:color="auto" w:fill="auto"/>
            <w:noWrap/>
            <w:vAlign w:val="center"/>
          </w:tcPr>
          <w:p>
            <w:pPr>
              <w:jc w:val="right"/>
              <w:rPr>
                <w:rFonts w:hint="eastAsia" w:ascii="仿宋_GB2312" w:eastAsia="仿宋_GB2312"/>
                <w:color w:val="000000"/>
                <w:sz w:val="20"/>
                <w:szCs w:val="20"/>
              </w:rPr>
            </w:pPr>
            <w:r>
              <w:rPr>
                <w:rFonts w:hint="eastAsia" w:ascii="仿宋_GB2312" w:eastAsia="仿宋_GB2312"/>
                <w:color w:val="000000"/>
                <w:sz w:val="20"/>
                <w:szCs w:val="20"/>
              </w:rPr>
              <w:t>　</w:t>
            </w:r>
          </w:p>
        </w:tc>
        <w:tc>
          <w:tcPr>
            <w:tcW w:w="680" w:type="dxa"/>
            <w:shd w:val="clear" w:color="auto" w:fill="auto"/>
            <w:noWrap/>
            <w:vAlign w:val="center"/>
          </w:tcPr>
          <w:p>
            <w:pPr>
              <w:jc w:val="right"/>
              <w:rPr>
                <w:rFonts w:hint="eastAsia" w:ascii="仿宋_GB2312" w:eastAsia="仿宋_GB2312"/>
                <w:color w:val="000000"/>
                <w:sz w:val="20"/>
                <w:szCs w:val="20"/>
              </w:rPr>
            </w:pPr>
            <w:r>
              <w:rPr>
                <w:rFonts w:hint="eastAsia" w:ascii="仿宋_GB2312" w:eastAsia="仿宋_GB2312"/>
                <w:color w:val="000000"/>
                <w:sz w:val="20"/>
                <w:szCs w:val="20"/>
              </w:rPr>
              <w:t>　</w:t>
            </w:r>
          </w:p>
        </w:tc>
        <w:tc>
          <w:tcPr>
            <w:tcW w:w="680" w:type="dxa"/>
            <w:shd w:val="clear" w:color="auto" w:fill="auto"/>
            <w:noWrap/>
            <w:vAlign w:val="center"/>
          </w:tcPr>
          <w:p>
            <w:pPr>
              <w:jc w:val="right"/>
              <w:rPr>
                <w:rFonts w:hint="eastAsia" w:ascii="仿宋_GB2312" w:eastAsia="仿宋_GB2312"/>
                <w:color w:val="000000"/>
                <w:sz w:val="20"/>
                <w:szCs w:val="20"/>
              </w:rPr>
            </w:pPr>
            <w:r>
              <w:rPr>
                <w:rFonts w:hint="eastAsia" w:ascii="仿宋_GB2312" w:eastAsia="仿宋_GB2312"/>
                <w:color w:val="000000"/>
                <w:sz w:val="20"/>
                <w:szCs w:val="20"/>
              </w:rPr>
              <w:t>　</w:t>
            </w:r>
          </w:p>
        </w:tc>
        <w:tc>
          <w:tcPr>
            <w:tcW w:w="678" w:type="dxa"/>
            <w:shd w:val="clear" w:color="auto" w:fill="auto"/>
            <w:noWrap/>
            <w:vAlign w:val="center"/>
          </w:tcPr>
          <w:p>
            <w:pPr>
              <w:jc w:val="right"/>
              <w:rPr>
                <w:rFonts w:hint="eastAsia" w:ascii="仿宋_GB2312" w:eastAsia="仿宋_GB2312"/>
                <w:color w:val="000000"/>
                <w:sz w:val="20"/>
                <w:szCs w:val="20"/>
              </w:rPr>
            </w:pPr>
            <w:r>
              <w:rPr>
                <w:rFonts w:hint="eastAsia" w:ascii="仿宋_GB2312" w:eastAsia="仿宋_GB2312"/>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476" w:type="dxa"/>
            <w:shd w:val="clear" w:color="auto" w:fill="auto"/>
            <w:vAlign w:val="center"/>
          </w:tcPr>
          <w:p>
            <w:pPr>
              <w:jc w:val="center"/>
              <w:rPr>
                <w:rFonts w:ascii="宋体" w:cs="宋体"/>
                <w:sz w:val="15"/>
                <w:szCs w:val="15"/>
              </w:rPr>
            </w:pPr>
            <w:r>
              <w:rPr>
                <w:rFonts w:ascii="宋体" w:hAnsi="宋体"/>
                <w:sz w:val="15"/>
                <w:szCs w:val="15"/>
              </w:rPr>
              <w:t>208</w:t>
            </w:r>
          </w:p>
        </w:tc>
        <w:tc>
          <w:tcPr>
            <w:tcW w:w="476" w:type="dxa"/>
            <w:shd w:val="clear" w:color="auto" w:fill="auto"/>
            <w:vAlign w:val="center"/>
          </w:tcPr>
          <w:p>
            <w:pPr>
              <w:jc w:val="center"/>
              <w:rPr>
                <w:rFonts w:ascii="宋体" w:cs="宋体"/>
                <w:sz w:val="15"/>
                <w:szCs w:val="15"/>
              </w:rPr>
            </w:pPr>
            <w:r>
              <w:rPr>
                <w:rFonts w:ascii="宋体" w:hAnsi="宋体"/>
                <w:sz w:val="15"/>
                <w:szCs w:val="15"/>
              </w:rPr>
              <w:t>02</w:t>
            </w:r>
          </w:p>
        </w:tc>
        <w:tc>
          <w:tcPr>
            <w:tcW w:w="476" w:type="dxa"/>
            <w:shd w:val="clear" w:color="auto" w:fill="auto"/>
            <w:vAlign w:val="center"/>
          </w:tcPr>
          <w:p>
            <w:pPr>
              <w:jc w:val="center"/>
              <w:rPr>
                <w:rFonts w:ascii="宋体" w:cs="宋体"/>
                <w:sz w:val="15"/>
                <w:szCs w:val="15"/>
              </w:rPr>
            </w:pPr>
            <w:r>
              <w:rPr>
                <w:rFonts w:ascii="宋体" w:hAnsi="宋体"/>
                <w:sz w:val="15"/>
                <w:szCs w:val="15"/>
              </w:rPr>
              <w:t>08</w:t>
            </w:r>
          </w:p>
        </w:tc>
        <w:tc>
          <w:tcPr>
            <w:tcW w:w="1478" w:type="dxa"/>
            <w:shd w:val="clear" w:color="auto" w:fill="auto"/>
            <w:vAlign w:val="center"/>
          </w:tcPr>
          <w:p>
            <w:pPr>
              <w:jc w:val="center"/>
              <w:rPr>
                <w:rFonts w:ascii="宋体" w:cs="宋体"/>
                <w:sz w:val="20"/>
                <w:szCs w:val="20"/>
                <w:shd w:val="clear" w:color="auto" w:fill="auto"/>
              </w:rPr>
            </w:pPr>
            <w:r>
              <w:rPr>
                <w:rFonts w:hint="eastAsia" w:ascii="宋体" w:hAnsi="宋体" w:cs="宋体"/>
                <w:sz w:val="20"/>
                <w:szCs w:val="20"/>
                <w:shd w:val="clear" w:color="auto" w:fill="auto"/>
              </w:rPr>
              <w:t>基层政权和社区建设</w:t>
            </w:r>
          </w:p>
        </w:tc>
        <w:tc>
          <w:tcPr>
            <w:tcW w:w="995" w:type="dxa"/>
            <w:shd w:val="clear" w:color="auto" w:fill="auto"/>
            <w:noWrap/>
            <w:vAlign w:val="center"/>
          </w:tcPr>
          <w:p>
            <w:pPr>
              <w:spacing w:line="240" w:lineRule="auto"/>
              <w:jc w:val="right"/>
              <w:rPr>
                <w:rFonts w:hint="default" w:ascii="仿宋_GB2312" w:eastAsia="仿宋_GB2312"/>
                <w:color w:val="000000"/>
                <w:sz w:val="20"/>
                <w:szCs w:val="20"/>
                <w:shd w:val="clear" w:color="auto" w:fill="auto"/>
                <w:lang w:val="en-US" w:eastAsia="zh-CN"/>
              </w:rPr>
            </w:pPr>
            <w:r>
              <w:rPr>
                <w:rFonts w:hint="eastAsia" w:ascii="仿宋_GB2312" w:eastAsia="仿宋_GB2312"/>
                <w:color w:val="000000"/>
                <w:sz w:val="20"/>
                <w:szCs w:val="20"/>
                <w:shd w:val="clear" w:color="auto" w:fill="auto"/>
                <w:lang w:val="en-US" w:eastAsia="zh-CN"/>
              </w:rPr>
              <w:t>67.00</w:t>
            </w:r>
          </w:p>
        </w:tc>
        <w:tc>
          <w:tcPr>
            <w:tcW w:w="995" w:type="dxa"/>
            <w:shd w:val="clear" w:color="auto" w:fill="auto"/>
            <w:noWrap/>
            <w:vAlign w:val="center"/>
          </w:tcPr>
          <w:p>
            <w:pPr>
              <w:spacing w:line="240" w:lineRule="auto"/>
              <w:jc w:val="right"/>
              <w:rPr>
                <w:rFonts w:hint="default" w:ascii="仿宋_GB2312" w:eastAsia="仿宋_GB2312"/>
                <w:color w:val="000000"/>
                <w:sz w:val="20"/>
                <w:szCs w:val="20"/>
                <w:shd w:val="clear" w:color="auto" w:fill="auto"/>
                <w:lang w:val="en-US" w:eastAsia="zh-CN"/>
              </w:rPr>
            </w:pPr>
            <w:r>
              <w:rPr>
                <w:rFonts w:hint="eastAsia" w:ascii="仿宋_GB2312" w:eastAsia="仿宋_GB2312"/>
                <w:color w:val="000000"/>
                <w:sz w:val="20"/>
                <w:szCs w:val="20"/>
                <w:shd w:val="clear" w:color="auto" w:fill="auto"/>
                <w:lang w:val="en-US" w:eastAsia="zh-CN"/>
              </w:rPr>
              <w:t>67.00</w:t>
            </w:r>
          </w:p>
        </w:tc>
        <w:tc>
          <w:tcPr>
            <w:tcW w:w="680" w:type="dxa"/>
            <w:shd w:val="clear" w:color="auto" w:fill="auto"/>
            <w:noWrap/>
            <w:vAlign w:val="center"/>
          </w:tcPr>
          <w:p>
            <w:pPr>
              <w:jc w:val="right"/>
              <w:rPr>
                <w:rFonts w:hint="eastAsia" w:ascii="仿宋_GB2312" w:eastAsia="仿宋_GB2312"/>
                <w:color w:val="000000"/>
                <w:sz w:val="20"/>
                <w:szCs w:val="20"/>
              </w:rPr>
            </w:pPr>
            <w:r>
              <w:rPr>
                <w:rFonts w:hint="eastAsia" w:ascii="仿宋_GB2312" w:eastAsia="仿宋_GB2312"/>
                <w:color w:val="000000"/>
                <w:sz w:val="20"/>
                <w:szCs w:val="20"/>
              </w:rPr>
              <w:t>　</w:t>
            </w:r>
          </w:p>
        </w:tc>
        <w:tc>
          <w:tcPr>
            <w:tcW w:w="680" w:type="dxa"/>
            <w:shd w:val="clear" w:color="auto" w:fill="auto"/>
            <w:noWrap/>
            <w:vAlign w:val="center"/>
          </w:tcPr>
          <w:p>
            <w:pPr>
              <w:jc w:val="right"/>
              <w:rPr>
                <w:rFonts w:hint="eastAsia" w:ascii="仿宋_GB2312" w:eastAsia="仿宋_GB2312"/>
                <w:color w:val="000000"/>
                <w:sz w:val="20"/>
                <w:szCs w:val="20"/>
              </w:rPr>
            </w:pPr>
            <w:r>
              <w:rPr>
                <w:rFonts w:hint="eastAsia" w:ascii="仿宋_GB2312" w:eastAsia="仿宋_GB2312"/>
                <w:color w:val="000000"/>
                <w:sz w:val="20"/>
                <w:szCs w:val="20"/>
              </w:rPr>
              <w:t>　</w:t>
            </w:r>
          </w:p>
        </w:tc>
        <w:tc>
          <w:tcPr>
            <w:tcW w:w="680" w:type="dxa"/>
            <w:shd w:val="clear" w:color="auto" w:fill="auto"/>
            <w:noWrap/>
            <w:vAlign w:val="center"/>
          </w:tcPr>
          <w:p>
            <w:pPr>
              <w:jc w:val="right"/>
              <w:rPr>
                <w:rFonts w:hint="eastAsia" w:ascii="仿宋_GB2312" w:eastAsia="仿宋_GB2312"/>
                <w:color w:val="000000"/>
                <w:sz w:val="20"/>
                <w:szCs w:val="20"/>
              </w:rPr>
            </w:pPr>
            <w:r>
              <w:rPr>
                <w:rFonts w:hint="eastAsia" w:ascii="仿宋_GB2312" w:eastAsia="仿宋_GB2312"/>
                <w:color w:val="000000"/>
                <w:sz w:val="20"/>
                <w:szCs w:val="20"/>
              </w:rPr>
              <w:t>　</w:t>
            </w:r>
          </w:p>
        </w:tc>
        <w:tc>
          <w:tcPr>
            <w:tcW w:w="680" w:type="dxa"/>
            <w:shd w:val="clear" w:color="auto" w:fill="auto"/>
            <w:noWrap/>
            <w:vAlign w:val="center"/>
          </w:tcPr>
          <w:p>
            <w:pPr>
              <w:jc w:val="right"/>
              <w:rPr>
                <w:rFonts w:hint="eastAsia" w:ascii="仿宋_GB2312" w:eastAsia="仿宋_GB2312"/>
                <w:color w:val="000000"/>
                <w:sz w:val="20"/>
                <w:szCs w:val="20"/>
              </w:rPr>
            </w:pPr>
            <w:r>
              <w:rPr>
                <w:rFonts w:hint="eastAsia" w:ascii="仿宋_GB2312" w:eastAsia="仿宋_GB2312"/>
                <w:color w:val="000000"/>
                <w:sz w:val="20"/>
                <w:szCs w:val="20"/>
              </w:rPr>
              <w:t>　</w:t>
            </w:r>
          </w:p>
        </w:tc>
        <w:tc>
          <w:tcPr>
            <w:tcW w:w="680" w:type="dxa"/>
            <w:shd w:val="clear" w:color="auto" w:fill="auto"/>
            <w:noWrap/>
            <w:vAlign w:val="center"/>
          </w:tcPr>
          <w:p>
            <w:pPr>
              <w:jc w:val="right"/>
              <w:rPr>
                <w:rFonts w:hint="eastAsia" w:ascii="仿宋_GB2312" w:eastAsia="仿宋_GB2312"/>
                <w:color w:val="000000"/>
                <w:sz w:val="20"/>
                <w:szCs w:val="20"/>
              </w:rPr>
            </w:pPr>
            <w:r>
              <w:rPr>
                <w:rFonts w:hint="eastAsia" w:ascii="仿宋_GB2312" w:eastAsia="仿宋_GB2312"/>
                <w:color w:val="000000"/>
                <w:sz w:val="20"/>
                <w:szCs w:val="20"/>
              </w:rPr>
              <w:t>　</w:t>
            </w:r>
          </w:p>
        </w:tc>
        <w:tc>
          <w:tcPr>
            <w:tcW w:w="680" w:type="dxa"/>
            <w:shd w:val="clear" w:color="auto" w:fill="auto"/>
            <w:noWrap/>
            <w:vAlign w:val="center"/>
          </w:tcPr>
          <w:p>
            <w:pPr>
              <w:jc w:val="right"/>
              <w:rPr>
                <w:rFonts w:hint="eastAsia" w:ascii="仿宋_GB2312" w:eastAsia="仿宋_GB2312"/>
                <w:color w:val="000000"/>
                <w:sz w:val="20"/>
                <w:szCs w:val="20"/>
              </w:rPr>
            </w:pPr>
            <w:r>
              <w:rPr>
                <w:rFonts w:hint="eastAsia" w:ascii="仿宋_GB2312" w:eastAsia="仿宋_GB2312"/>
                <w:color w:val="000000"/>
                <w:sz w:val="20"/>
                <w:szCs w:val="20"/>
              </w:rPr>
              <w:t>　</w:t>
            </w:r>
          </w:p>
        </w:tc>
        <w:tc>
          <w:tcPr>
            <w:tcW w:w="678" w:type="dxa"/>
            <w:shd w:val="clear" w:color="auto" w:fill="auto"/>
            <w:noWrap/>
            <w:vAlign w:val="center"/>
          </w:tcPr>
          <w:p>
            <w:pPr>
              <w:jc w:val="right"/>
              <w:rPr>
                <w:rFonts w:hint="eastAsia" w:ascii="仿宋_GB2312" w:eastAsia="仿宋_GB2312"/>
                <w:color w:val="000000"/>
                <w:sz w:val="20"/>
                <w:szCs w:val="20"/>
              </w:rPr>
            </w:pPr>
            <w:r>
              <w:rPr>
                <w:rFonts w:hint="eastAsia" w:ascii="仿宋_GB2312" w:eastAsia="仿宋_GB2312"/>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476" w:type="dxa"/>
            <w:shd w:val="clear" w:color="auto" w:fill="auto"/>
            <w:vAlign w:val="center"/>
          </w:tcPr>
          <w:p>
            <w:pPr>
              <w:jc w:val="center"/>
              <w:rPr>
                <w:rFonts w:ascii="宋体" w:cs="Arial"/>
                <w:sz w:val="15"/>
                <w:szCs w:val="15"/>
              </w:rPr>
            </w:pPr>
            <w:r>
              <w:rPr>
                <w:rFonts w:ascii="宋体" w:hAnsi="宋体" w:cs="Arial"/>
                <w:sz w:val="15"/>
                <w:szCs w:val="15"/>
              </w:rPr>
              <w:t>208</w:t>
            </w:r>
          </w:p>
        </w:tc>
        <w:tc>
          <w:tcPr>
            <w:tcW w:w="476" w:type="dxa"/>
            <w:shd w:val="clear" w:color="auto" w:fill="auto"/>
            <w:vAlign w:val="center"/>
          </w:tcPr>
          <w:p>
            <w:pPr>
              <w:jc w:val="center"/>
              <w:rPr>
                <w:rFonts w:ascii="宋体" w:cs="Arial"/>
                <w:sz w:val="15"/>
                <w:szCs w:val="15"/>
              </w:rPr>
            </w:pPr>
            <w:r>
              <w:rPr>
                <w:rFonts w:ascii="宋体" w:hAnsi="宋体" w:cs="Arial"/>
                <w:sz w:val="15"/>
                <w:szCs w:val="15"/>
              </w:rPr>
              <w:t>05</w:t>
            </w:r>
          </w:p>
        </w:tc>
        <w:tc>
          <w:tcPr>
            <w:tcW w:w="476" w:type="dxa"/>
            <w:shd w:val="clear" w:color="auto" w:fill="auto"/>
            <w:vAlign w:val="center"/>
          </w:tcPr>
          <w:p>
            <w:pPr>
              <w:jc w:val="center"/>
              <w:rPr>
                <w:rFonts w:ascii="宋体" w:cs="Arial"/>
                <w:sz w:val="15"/>
                <w:szCs w:val="15"/>
              </w:rPr>
            </w:pPr>
          </w:p>
        </w:tc>
        <w:tc>
          <w:tcPr>
            <w:tcW w:w="1478" w:type="dxa"/>
            <w:shd w:val="clear" w:color="auto" w:fill="auto"/>
            <w:vAlign w:val="center"/>
          </w:tcPr>
          <w:p>
            <w:pPr>
              <w:jc w:val="center"/>
              <w:rPr>
                <w:rFonts w:ascii="宋体" w:cs="Arial"/>
                <w:sz w:val="20"/>
                <w:szCs w:val="20"/>
              </w:rPr>
            </w:pPr>
            <w:r>
              <w:rPr>
                <w:rFonts w:hint="eastAsia" w:ascii="宋体" w:hAnsi="宋体" w:cs="Arial"/>
                <w:sz w:val="20"/>
                <w:szCs w:val="20"/>
              </w:rPr>
              <w:t>行政单位离退休</w:t>
            </w:r>
          </w:p>
        </w:tc>
        <w:tc>
          <w:tcPr>
            <w:tcW w:w="995" w:type="dxa"/>
            <w:shd w:val="clear" w:color="auto" w:fill="auto"/>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6.15</w:t>
            </w:r>
          </w:p>
        </w:tc>
        <w:tc>
          <w:tcPr>
            <w:tcW w:w="995" w:type="dxa"/>
            <w:shd w:val="clear" w:color="auto" w:fill="auto"/>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6.15</w:t>
            </w:r>
          </w:p>
        </w:tc>
        <w:tc>
          <w:tcPr>
            <w:tcW w:w="680" w:type="dxa"/>
            <w:shd w:val="clear" w:color="auto" w:fill="auto"/>
            <w:vAlign w:val="center"/>
          </w:tcPr>
          <w:p>
            <w:pPr>
              <w:jc w:val="right"/>
              <w:rPr>
                <w:rFonts w:ascii="宋体" w:cs="Arial"/>
                <w:sz w:val="20"/>
                <w:szCs w:val="20"/>
              </w:rPr>
            </w:pPr>
            <w:r>
              <w:rPr>
                <w:rFonts w:hint="eastAsia" w:ascii="仿宋_GB2312" w:eastAsia="仿宋_GB2312"/>
                <w:color w:val="000000"/>
                <w:sz w:val="20"/>
                <w:szCs w:val="20"/>
              </w:rPr>
              <w:t>　</w:t>
            </w:r>
          </w:p>
        </w:tc>
        <w:tc>
          <w:tcPr>
            <w:tcW w:w="680" w:type="dxa"/>
            <w:shd w:val="clear" w:color="auto" w:fill="auto"/>
            <w:vAlign w:val="center"/>
          </w:tcPr>
          <w:p>
            <w:pPr>
              <w:jc w:val="right"/>
              <w:rPr>
                <w:rFonts w:ascii="宋体" w:cs="Arial"/>
                <w:sz w:val="20"/>
                <w:szCs w:val="20"/>
              </w:rPr>
            </w:pPr>
            <w:r>
              <w:rPr>
                <w:rFonts w:hint="eastAsia" w:ascii="仿宋_GB2312" w:eastAsia="仿宋_GB2312"/>
                <w:color w:val="000000"/>
                <w:sz w:val="20"/>
                <w:szCs w:val="20"/>
              </w:rPr>
              <w:t>　</w:t>
            </w:r>
          </w:p>
        </w:tc>
        <w:tc>
          <w:tcPr>
            <w:tcW w:w="680" w:type="dxa"/>
            <w:shd w:val="clear" w:color="auto" w:fill="auto"/>
            <w:vAlign w:val="center"/>
          </w:tcPr>
          <w:p>
            <w:pPr>
              <w:jc w:val="right"/>
              <w:rPr>
                <w:rFonts w:ascii="宋体" w:cs="Arial"/>
                <w:sz w:val="20"/>
                <w:szCs w:val="20"/>
              </w:rPr>
            </w:pPr>
            <w:r>
              <w:rPr>
                <w:rFonts w:hint="eastAsia" w:ascii="仿宋_GB2312" w:eastAsia="仿宋_GB2312"/>
                <w:color w:val="000000"/>
                <w:sz w:val="20"/>
                <w:szCs w:val="20"/>
              </w:rPr>
              <w:t>　</w:t>
            </w:r>
          </w:p>
        </w:tc>
        <w:tc>
          <w:tcPr>
            <w:tcW w:w="680" w:type="dxa"/>
            <w:shd w:val="clear" w:color="auto" w:fill="auto"/>
            <w:vAlign w:val="center"/>
          </w:tcPr>
          <w:p>
            <w:pPr>
              <w:jc w:val="right"/>
              <w:rPr>
                <w:rFonts w:ascii="宋体" w:cs="Arial"/>
                <w:sz w:val="20"/>
                <w:szCs w:val="20"/>
              </w:rPr>
            </w:pPr>
            <w:r>
              <w:rPr>
                <w:rFonts w:hint="eastAsia" w:ascii="仿宋_GB2312" w:eastAsia="仿宋_GB2312"/>
                <w:color w:val="000000"/>
                <w:sz w:val="20"/>
                <w:szCs w:val="20"/>
              </w:rPr>
              <w:t>　</w:t>
            </w:r>
          </w:p>
        </w:tc>
        <w:tc>
          <w:tcPr>
            <w:tcW w:w="680" w:type="dxa"/>
            <w:shd w:val="clear" w:color="auto" w:fill="auto"/>
            <w:vAlign w:val="center"/>
          </w:tcPr>
          <w:p>
            <w:pPr>
              <w:jc w:val="right"/>
              <w:rPr>
                <w:rFonts w:ascii="宋体" w:cs="宋体"/>
                <w:color w:val="000000"/>
                <w:sz w:val="20"/>
                <w:szCs w:val="20"/>
              </w:rPr>
            </w:pPr>
            <w:r>
              <w:rPr>
                <w:rFonts w:hint="eastAsia" w:ascii="仿宋_GB2312" w:eastAsia="仿宋_GB2312"/>
                <w:color w:val="000000"/>
                <w:sz w:val="20"/>
                <w:szCs w:val="20"/>
              </w:rPr>
              <w:t>　</w:t>
            </w:r>
          </w:p>
        </w:tc>
        <w:tc>
          <w:tcPr>
            <w:tcW w:w="680" w:type="dxa"/>
            <w:shd w:val="clear" w:color="auto" w:fill="auto"/>
            <w:vAlign w:val="center"/>
          </w:tcPr>
          <w:p>
            <w:pPr>
              <w:jc w:val="right"/>
              <w:rPr>
                <w:rFonts w:ascii="宋体" w:cs="宋体"/>
                <w:color w:val="000000"/>
                <w:sz w:val="20"/>
                <w:szCs w:val="20"/>
              </w:rPr>
            </w:pPr>
            <w:r>
              <w:rPr>
                <w:rFonts w:hint="eastAsia" w:ascii="仿宋_GB2312" w:eastAsia="仿宋_GB2312"/>
                <w:color w:val="000000"/>
                <w:sz w:val="20"/>
                <w:szCs w:val="20"/>
              </w:rPr>
              <w:t>　</w:t>
            </w:r>
          </w:p>
        </w:tc>
        <w:tc>
          <w:tcPr>
            <w:tcW w:w="678" w:type="dxa"/>
            <w:shd w:val="clear" w:color="auto" w:fill="auto"/>
            <w:vAlign w:val="center"/>
          </w:tcPr>
          <w:p>
            <w:pPr>
              <w:jc w:val="right"/>
              <w:rPr>
                <w:rFonts w:ascii="宋体" w:cs="宋体"/>
                <w:color w:val="000000"/>
                <w:sz w:val="20"/>
                <w:szCs w:val="20"/>
              </w:rPr>
            </w:pPr>
            <w:r>
              <w:rPr>
                <w:rFonts w:hint="eastAsia" w:ascii="仿宋_GB2312" w:eastAsia="仿宋_GB2312"/>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476" w:type="dxa"/>
            <w:shd w:val="clear" w:color="auto" w:fill="auto"/>
            <w:vAlign w:val="center"/>
          </w:tcPr>
          <w:p>
            <w:pPr>
              <w:jc w:val="center"/>
              <w:rPr>
                <w:rFonts w:ascii="宋体" w:cs="Arial"/>
                <w:sz w:val="15"/>
                <w:szCs w:val="15"/>
              </w:rPr>
            </w:pPr>
            <w:r>
              <w:rPr>
                <w:rFonts w:ascii="宋体" w:hAnsi="宋体" w:cs="Arial"/>
                <w:sz w:val="15"/>
                <w:szCs w:val="15"/>
              </w:rPr>
              <w:t>208</w:t>
            </w:r>
          </w:p>
        </w:tc>
        <w:tc>
          <w:tcPr>
            <w:tcW w:w="476" w:type="dxa"/>
            <w:shd w:val="clear" w:color="auto" w:fill="auto"/>
            <w:vAlign w:val="center"/>
          </w:tcPr>
          <w:p>
            <w:pPr>
              <w:jc w:val="center"/>
              <w:rPr>
                <w:rFonts w:ascii="宋体" w:cs="Arial"/>
                <w:sz w:val="15"/>
                <w:szCs w:val="15"/>
              </w:rPr>
            </w:pPr>
            <w:r>
              <w:rPr>
                <w:rFonts w:ascii="宋体" w:hAnsi="宋体" w:cs="Arial"/>
                <w:sz w:val="15"/>
                <w:szCs w:val="15"/>
              </w:rPr>
              <w:t>05</w:t>
            </w:r>
          </w:p>
        </w:tc>
        <w:tc>
          <w:tcPr>
            <w:tcW w:w="476" w:type="dxa"/>
            <w:shd w:val="clear" w:color="auto" w:fill="auto"/>
            <w:vAlign w:val="center"/>
          </w:tcPr>
          <w:p>
            <w:pPr>
              <w:jc w:val="center"/>
              <w:rPr>
                <w:rFonts w:ascii="宋体" w:cs="Arial"/>
                <w:sz w:val="15"/>
                <w:szCs w:val="15"/>
              </w:rPr>
            </w:pPr>
            <w:r>
              <w:rPr>
                <w:rFonts w:ascii="宋体" w:hAnsi="宋体" w:cs="Arial"/>
                <w:sz w:val="15"/>
                <w:szCs w:val="15"/>
              </w:rPr>
              <w:t>05</w:t>
            </w:r>
          </w:p>
        </w:tc>
        <w:tc>
          <w:tcPr>
            <w:tcW w:w="1478" w:type="dxa"/>
            <w:shd w:val="clear" w:color="auto" w:fill="auto"/>
            <w:vAlign w:val="center"/>
          </w:tcPr>
          <w:p>
            <w:pPr>
              <w:jc w:val="center"/>
              <w:rPr>
                <w:rFonts w:ascii="宋体" w:cs="Arial"/>
                <w:sz w:val="20"/>
                <w:szCs w:val="20"/>
              </w:rPr>
            </w:pPr>
            <w:r>
              <w:rPr>
                <w:rFonts w:hint="eastAsia" w:ascii="宋体" w:hAnsi="宋体" w:cs="Arial"/>
                <w:sz w:val="20"/>
                <w:szCs w:val="20"/>
              </w:rPr>
              <w:t>机关事业单位基本养老保险缴费</w:t>
            </w:r>
          </w:p>
        </w:tc>
        <w:tc>
          <w:tcPr>
            <w:tcW w:w="995" w:type="dxa"/>
            <w:shd w:val="clear" w:color="auto" w:fill="auto"/>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6.15</w:t>
            </w:r>
          </w:p>
        </w:tc>
        <w:tc>
          <w:tcPr>
            <w:tcW w:w="995" w:type="dxa"/>
            <w:shd w:val="clear" w:color="auto" w:fill="auto"/>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6.15</w:t>
            </w:r>
          </w:p>
        </w:tc>
        <w:tc>
          <w:tcPr>
            <w:tcW w:w="680" w:type="dxa"/>
            <w:shd w:val="clear" w:color="auto" w:fill="auto"/>
            <w:vAlign w:val="center"/>
          </w:tcPr>
          <w:p>
            <w:pPr>
              <w:jc w:val="right"/>
              <w:rPr>
                <w:rFonts w:ascii="宋体" w:cs="Arial"/>
                <w:sz w:val="20"/>
                <w:szCs w:val="20"/>
              </w:rPr>
            </w:pPr>
            <w:r>
              <w:rPr>
                <w:rFonts w:hint="eastAsia" w:ascii="仿宋_GB2312" w:eastAsia="仿宋_GB2312"/>
                <w:color w:val="000000"/>
                <w:sz w:val="20"/>
                <w:szCs w:val="20"/>
              </w:rPr>
              <w:t>　</w:t>
            </w:r>
          </w:p>
        </w:tc>
        <w:tc>
          <w:tcPr>
            <w:tcW w:w="680" w:type="dxa"/>
            <w:shd w:val="clear" w:color="auto" w:fill="auto"/>
            <w:vAlign w:val="center"/>
          </w:tcPr>
          <w:p>
            <w:pPr>
              <w:jc w:val="right"/>
              <w:rPr>
                <w:rFonts w:ascii="宋体" w:cs="Arial"/>
                <w:sz w:val="20"/>
                <w:szCs w:val="20"/>
              </w:rPr>
            </w:pPr>
            <w:r>
              <w:rPr>
                <w:rFonts w:hint="eastAsia" w:ascii="仿宋_GB2312" w:eastAsia="仿宋_GB2312"/>
                <w:color w:val="000000"/>
                <w:sz w:val="20"/>
                <w:szCs w:val="20"/>
              </w:rPr>
              <w:t>　</w:t>
            </w:r>
          </w:p>
        </w:tc>
        <w:tc>
          <w:tcPr>
            <w:tcW w:w="680" w:type="dxa"/>
            <w:shd w:val="clear" w:color="auto" w:fill="auto"/>
            <w:vAlign w:val="center"/>
          </w:tcPr>
          <w:p>
            <w:pPr>
              <w:jc w:val="right"/>
              <w:rPr>
                <w:rFonts w:ascii="宋体" w:cs="Arial"/>
                <w:sz w:val="20"/>
                <w:szCs w:val="20"/>
              </w:rPr>
            </w:pPr>
            <w:r>
              <w:rPr>
                <w:rFonts w:hint="eastAsia" w:ascii="仿宋_GB2312" w:eastAsia="仿宋_GB2312"/>
                <w:color w:val="000000"/>
                <w:sz w:val="20"/>
                <w:szCs w:val="20"/>
              </w:rPr>
              <w:t>　</w:t>
            </w:r>
          </w:p>
        </w:tc>
        <w:tc>
          <w:tcPr>
            <w:tcW w:w="680" w:type="dxa"/>
            <w:shd w:val="clear" w:color="auto" w:fill="auto"/>
            <w:vAlign w:val="center"/>
          </w:tcPr>
          <w:p>
            <w:pPr>
              <w:jc w:val="right"/>
              <w:rPr>
                <w:rFonts w:ascii="宋体" w:cs="Arial"/>
                <w:sz w:val="20"/>
                <w:szCs w:val="20"/>
              </w:rPr>
            </w:pPr>
            <w:r>
              <w:rPr>
                <w:rFonts w:hint="eastAsia" w:ascii="仿宋_GB2312" w:eastAsia="仿宋_GB2312"/>
                <w:color w:val="000000"/>
                <w:sz w:val="20"/>
                <w:szCs w:val="20"/>
              </w:rPr>
              <w:t>　</w:t>
            </w:r>
          </w:p>
        </w:tc>
        <w:tc>
          <w:tcPr>
            <w:tcW w:w="680" w:type="dxa"/>
            <w:shd w:val="clear" w:color="auto" w:fill="auto"/>
            <w:vAlign w:val="center"/>
          </w:tcPr>
          <w:p>
            <w:pPr>
              <w:jc w:val="right"/>
              <w:rPr>
                <w:rFonts w:ascii="宋体" w:cs="宋体"/>
                <w:color w:val="000000"/>
                <w:sz w:val="20"/>
                <w:szCs w:val="20"/>
              </w:rPr>
            </w:pPr>
            <w:r>
              <w:rPr>
                <w:rFonts w:hint="eastAsia" w:ascii="仿宋_GB2312" w:eastAsia="仿宋_GB2312"/>
                <w:color w:val="000000"/>
                <w:sz w:val="20"/>
                <w:szCs w:val="20"/>
              </w:rPr>
              <w:t>　</w:t>
            </w:r>
          </w:p>
        </w:tc>
        <w:tc>
          <w:tcPr>
            <w:tcW w:w="680" w:type="dxa"/>
            <w:shd w:val="clear" w:color="auto" w:fill="auto"/>
            <w:vAlign w:val="center"/>
          </w:tcPr>
          <w:p>
            <w:pPr>
              <w:jc w:val="right"/>
              <w:rPr>
                <w:rFonts w:ascii="宋体" w:cs="宋体"/>
                <w:color w:val="000000"/>
                <w:sz w:val="20"/>
                <w:szCs w:val="20"/>
              </w:rPr>
            </w:pPr>
            <w:r>
              <w:rPr>
                <w:rFonts w:hint="eastAsia" w:ascii="仿宋_GB2312" w:eastAsia="仿宋_GB2312"/>
                <w:color w:val="000000"/>
                <w:sz w:val="20"/>
                <w:szCs w:val="20"/>
              </w:rPr>
              <w:t>　</w:t>
            </w:r>
          </w:p>
        </w:tc>
        <w:tc>
          <w:tcPr>
            <w:tcW w:w="678" w:type="dxa"/>
            <w:shd w:val="clear" w:color="auto" w:fill="auto"/>
            <w:vAlign w:val="center"/>
          </w:tcPr>
          <w:p>
            <w:pPr>
              <w:jc w:val="right"/>
              <w:rPr>
                <w:rFonts w:ascii="宋体" w:cs="宋体"/>
                <w:color w:val="000000"/>
                <w:sz w:val="20"/>
                <w:szCs w:val="20"/>
              </w:rPr>
            </w:pPr>
            <w:r>
              <w:rPr>
                <w:rFonts w:hint="eastAsia" w:ascii="仿宋_GB2312" w:eastAsia="仿宋_GB2312"/>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76" w:type="dxa"/>
            <w:shd w:val="clear" w:color="auto" w:fill="auto"/>
            <w:vAlign w:val="center"/>
          </w:tcPr>
          <w:p>
            <w:pPr>
              <w:jc w:val="center"/>
              <w:rPr>
                <w:rFonts w:ascii="宋体" w:cs="宋体"/>
                <w:color w:val="000000"/>
                <w:sz w:val="20"/>
                <w:szCs w:val="20"/>
              </w:rPr>
            </w:pPr>
          </w:p>
        </w:tc>
        <w:tc>
          <w:tcPr>
            <w:tcW w:w="476" w:type="dxa"/>
            <w:shd w:val="clear" w:color="auto" w:fill="auto"/>
            <w:vAlign w:val="center"/>
          </w:tcPr>
          <w:p>
            <w:pPr>
              <w:jc w:val="center"/>
              <w:rPr>
                <w:rFonts w:ascii="宋体" w:cs="宋体"/>
                <w:color w:val="000000"/>
                <w:sz w:val="20"/>
                <w:szCs w:val="20"/>
              </w:rPr>
            </w:pPr>
          </w:p>
        </w:tc>
        <w:tc>
          <w:tcPr>
            <w:tcW w:w="476" w:type="dxa"/>
            <w:shd w:val="clear" w:color="auto" w:fill="auto"/>
            <w:vAlign w:val="center"/>
          </w:tcPr>
          <w:p>
            <w:pPr>
              <w:jc w:val="center"/>
              <w:rPr>
                <w:rFonts w:ascii="宋体" w:cs="宋体"/>
                <w:color w:val="000000"/>
                <w:sz w:val="20"/>
                <w:szCs w:val="20"/>
              </w:rPr>
            </w:pPr>
          </w:p>
        </w:tc>
        <w:tc>
          <w:tcPr>
            <w:tcW w:w="1478" w:type="dxa"/>
            <w:shd w:val="clear" w:color="auto" w:fill="auto"/>
            <w:vAlign w:val="center"/>
          </w:tcPr>
          <w:p>
            <w:pPr>
              <w:jc w:val="center"/>
              <w:rPr>
                <w:rFonts w:ascii="宋体" w:cs="宋体"/>
                <w:color w:val="000000"/>
                <w:sz w:val="20"/>
                <w:szCs w:val="20"/>
              </w:rPr>
            </w:pPr>
            <w:r>
              <w:rPr>
                <w:rFonts w:hint="eastAsia" w:ascii="宋体" w:hAnsi="宋体"/>
                <w:color w:val="000000"/>
                <w:sz w:val="20"/>
                <w:szCs w:val="20"/>
              </w:rPr>
              <w:t>合计</w:t>
            </w:r>
          </w:p>
        </w:tc>
        <w:tc>
          <w:tcPr>
            <w:tcW w:w="995" w:type="dxa"/>
            <w:shd w:val="clear" w:color="auto" w:fill="auto"/>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166.01</w:t>
            </w:r>
          </w:p>
        </w:tc>
        <w:tc>
          <w:tcPr>
            <w:tcW w:w="995" w:type="dxa"/>
            <w:shd w:val="clear" w:color="auto" w:fill="auto"/>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166.01</w:t>
            </w:r>
          </w:p>
        </w:tc>
        <w:tc>
          <w:tcPr>
            <w:tcW w:w="680" w:type="dxa"/>
            <w:shd w:val="clear" w:color="auto" w:fill="auto"/>
            <w:vAlign w:val="center"/>
          </w:tcPr>
          <w:p>
            <w:pPr>
              <w:jc w:val="right"/>
              <w:rPr>
                <w:rFonts w:ascii="宋体" w:cs="宋体"/>
                <w:color w:val="000000"/>
                <w:sz w:val="20"/>
                <w:szCs w:val="20"/>
              </w:rPr>
            </w:pPr>
            <w:r>
              <w:rPr>
                <w:rFonts w:hint="eastAsia" w:ascii="仿宋_GB2312" w:eastAsia="仿宋_GB2312"/>
                <w:color w:val="000000"/>
                <w:sz w:val="20"/>
                <w:szCs w:val="20"/>
              </w:rPr>
              <w:t>　</w:t>
            </w:r>
          </w:p>
        </w:tc>
        <w:tc>
          <w:tcPr>
            <w:tcW w:w="680" w:type="dxa"/>
            <w:shd w:val="clear" w:color="auto" w:fill="auto"/>
            <w:vAlign w:val="center"/>
          </w:tcPr>
          <w:p>
            <w:pPr>
              <w:jc w:val="right"/>
              <w:rPr>
                <w:rFonts w:ascii="宋体" w:cs="宋体"/>
                <w:color w:val="000000"/>
                <w:sz w:val="20"/>
                <w:szCs w:val="20"/>
              </w:rPr>
            </w:pPr>
            <w:r>
              <w:rPr>
                <w:rFonts w:hint="eastAsia" w:ascii="仿宋_GB2312" w:eastAsia="仿宋_GB2312"/>
                <w:color w:val="000000"/>
                <w:sz w:val="20"/>
                <w:szCs w:val="20"/>
              </w:rPr>
              <w:t>　</w:t>
            </w:r>
          </w:p>
        </w:tc>
        <w:tc>
          <w:tcPr>
            <w:tcW w:w="680" w:type="dxa"/>
            <w:shd w:val="clear" w:color="auto" w:fill="auto"/>
            <w:vAlign w:val="center"/>
          </w:tcPr>
          <w:p>
            <w:pPr>
              <w:jc w:val="right"/>
              <w:rPr>
                <w:rFonts w:ascii="宋体" w:cs="宋体"/>
                <w:color w:val="000000"/>
                <w:sz w:val="20"/>
                <w:szCs w:val="20"/>
              </w:rPr>
            </w:pPr>
            <w:r>
              <w:rPr>
                <w:rFonts w:hint="eastAsia" w:ascii="仿宋_GB2312" w:eastAsia="仿宋_GB2312"/>
                <w:color w:val="000000"/>
                <w:sz w:val="20"/>
                <w:szCs w:val="20"/>
              </w:rPr>
              <w:t>　</w:t>
            </w:r>
          </w:p>
        </w:tc>
        <w:tc>
          <w:tcPr>
            <w:tcW w:w="680" w:type="dxa"/>
            <w:shd w:val="clear" w:color="auto" w:fill="auto"/>
            <w:vAlign w:val="center"/>
          </w:tcPr>
          <w:p>
            <w:pPr>
              <w:jc w:val="right"/>
              <w:rPr>
                <w:rFonts w:ascii="宋体" w:cs="宋体"/>
                <w:color w:val="000000"/>
                <w:sz w:val="20"/>
                <w:szCs w:val="20"/>
              </w:rPr>
            </w:pPr>
            <w:r>
              <w:rPr>
                <w:rFonts w:hint="eastAsia" w:ascii="仿宋_GB2312" w:eastAsia="仿宋_GB2312"/>
                <w:color w:val="000000"/>
                <w:sz w:val="20"/>
                <w:szCs w:val="20"/>
              </w:rPr>
              <w:t>　</w:t>
            </w:r>
          </w:p>
        </w:tc>
        <w:tc>
          <w:tcPr>
            <w:tcW w:w="680" w:type="dxa"/>
            <w:shd w:val="clear" w:color="auto" w:fill="auto"/>
            <w:vAlign w:val="center"/>
          </w:tcPr>
          <w:p>
            <w:pPr>
              <w:jc w:val="right"/>
              <w:rPr>
                <w:rFonts w:ascii="宋体" w:cs="宋体"/>
                <w:color w:val="000000"/>
                <w:sz w:val="20"/>
                <w:szCs w:val="20"/>
              </w:rPr>
            </w:pPr>
            <w:r>
              <w:rPr>
                <w:rFonts w:hint="eastAsia" w:ascii="仿宋_GB2312" w:eastAsia="仿宋_GB2312"/>
                <w:color w:val="000000"/>
                <w:sz w:val="20"/>
                <w:szCs w:val="20"/>
              </w:rPr>
              <w:t>　</w:t>
            </w:r>
          </w:p>
        </w:tc>
        <w:tc>
          <w:tcPr>
            <w:tcW w:w="680" w:type="dxa"/>
            <w:shd w:val="clear" w:color="auto" w:fill="auto"/>
            <w:vAlign w:val="center"/>
          </w:tcPr>
          <w:p>
            <w:pPr>
              <w:jc w:val="right"/>
              <w:rPr>
                <w:rFonts w:ascii="宋体" w:cs="宋体"/>
                <w:color w:val="000000"/>
                <w:sz w:val="20"/>
                <w:szCs w:val="20"/>
              </w:rPr>
            </w:pPr>
            <w:r>
              <w:rPr>
                <w:rFonts w:hint="eastAsia" w:ascii="仿宋_GB2312" w:eastAsia="仿宋_GB2312"/>
                <w:color w:val="000000"/>
                <w:sz w:val="20"/>
                <w:szCs w:val="20"/>
              </w:rPr>
              <w:t>　</w:t>
            </w:r>
          </w:p>
        </w:tc>
        <w:tc>
          <w:tcPr>
            <w:tcW w:w="678" w:type="dxa"/>
            <w:shd w:val="clear" w:color="auto" w:fill="auto"/>
            <w:vAlign w:val="center"/>
          </w:tcPr>
          <w:p>
            <w:pPr>
              <w:jc w:val="right"/>
              <w:rPr>
                <w:rFonts w:ascii="宋体" w:cs="宋体"/>
                <w:color w:val="000000"/>
                <w:sz w:val="20"/>
                <w:szCs w:val="20"/>
              </w:rPr>
            </w:pPr>
            <w:r>
              <w:rPr>
                <w:rFonts w:hint="eastAsia" w:ascii="仿宋_GB2312" w:eastAsia="仿宋_GB2312"/>
                <w:color w:val="000000"/>
                <w:sz w:val="20"/>
                <w:szCs w:val="20"/>
              </w:rPr>
              <w:t>　</w:t>
            </w:r>
          </w:p>
        </w:tc>
      </w:tr>
    </w:tbl>
    <w:p>
      <w:pPr>
        <w:widowControl/>
        <w:spacing w:line="240" w:lineRule="auto"/>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line="240" w:lineRule="auto"/>
        <w:jc w:val="left"/>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表三：</w:t>
      </w:r>
    </w:p>
    <w:p>
      <w:pPr>
        <w:widowControl/>
        <w:spacing w:line="240" w:lineRule="auto"/>
        <w:jc w:val="left"/>
        <w:outlineLvl w:val="1"/>
        <w:rPr>
          <w:rFonts w:hint="eastAsia" w:ascii="仿宋_GB2312" w:hAnsi="宋体" w:eastAsia="仿宋_GB2312"/>
          <w:b/>
          <w:kern w:val="0"/>
          <w:sz w:val="32"/>
          <w:szCs w:val="32"/>
        </w:rPr>
      </w:pPr>
    </w:p>
    <w:p>
      <w:pPr>
        <w:widowControl/>
        <w:spacing w:line="240" w:lineRule="auto"/>
        <w:jc w:val="center"/>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spacing w:line="240" w:lineRule="auto"/>
        <w:jc w:val="left"/>
        <w:outlineLvl w:val="1"/>
        <w:rPr>
          <w:rFonts w:hint="eastAsia"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val="en-US" w:eastAsia="zh-CN"/>
        </w:rPr>
        <w:t>:</w:t>
      </w:r>
      <w:r>
        <w:rPr>
          <w:rFonts w:hint="eastAsia" w:ascii="仿宋_GB2312" w:hAnsi="宋体" w:eastAsia="仿宋_GB2312"/>
          <w:kern w:val="0"/>
          <w:sz w:val="24"/>
        </w:rPr>
        <w:t xml:space="preserve">县清水泉管委会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9"/>
        <w:tblW w:w="9229" w:type="dxa"/>
        <w:jc w:val="center"/>
        <w:tblLayout w:type="fixed"/>
        <w:tblCellMar>
          <w:top w:w="0" w:type="dxa"/>
          <w:left w:w="108" w:type="dxa"/>
          <w:bottom w:w="0" w:type="dxa"/>
          <w:right w:w="108" w:type="dxa"/>
        </w:tblCellMar>
      </w:tblPr>
      <w:tblGrid>
        <w:gridCol w:w="550"/>
        <w:gridCol w:w="439"/>
        <w:gridCol w:w="439"/>
        <w:gridCol w:w="2526"/>
        <w:gridCol w:w="1807"/>
        <w:gridCol w:w="1802"/>
        <w:gridCol w:w="1666"/>
      </w:tblGrid>
      <w:tr>
        <w:tblPrEx>
          <w:tblCellMar>
            <w:top w:w="0" w:type="dxa"/>
            <w:left w:w="108" w:type="dxa"/>
            <w:bottom w:w="0" w:type="dxa"/>
            <w:right w:w="108" w:type="dxa"/>
          </w:tblCellMar>
        </w:tblPrEx>
        <w:trPr>
          <w:trHeight w:val="345" w:hRule="atLeast"/>
          <w:jc w:val="center"/>
        </w:trPr>
        <w:tc>
          <w:tcPr>
            <w:tcW w:w="3954"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275" w:type="dxa"/>
            <w:gridSpan w:val="3"/>
            <w:tcBorders>
              <w:top w:val="single" w:color="auto" w:sz="4" w:space="0"/>
              <w:left w:val="nil"/>
              <w:bottom w:val="single" w:color="auto" w:sz="4" w:space="0"/>
              <w:right w:val="single" w:color="000000" w:sz="4" w:space="0"/>
            </w:tcBorders>
            <w:vAlign w:val="center"/>
          </w:tcPr>
          <w:p>
            <w:pPr>
              <w:widowControl/>
              <w:spacing w:line="240" w:lineRule="auto"/>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jc w:val="center"/>
        </w:trPr>
        <w:tc>
          <w:tcPr>
            <w:tcW w:w="142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26" w:type="dxa"/>
            <w:vMerge w:val="restart"/>
            <w:tcBorders>
              <w:top w:val="nil"/>
              <w:left w:val="single" w:color="auto" w:sz="4" w:space="0"/>
              <w:bottom w:val="single" w:color="000000" w:sz="4" w:space="0"/>
              <w:right w:val="single" w:color="auto" w:sz="4" w:space="0"/>
            </w:tcBorders>
            <w:vAlign w:val="center"/>
          </w:tcPr>
          <w:p>
            <w:pPr>
              <w:widowControl/>
              <w:spacing w:line="240" w:lineRule="auto"/>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07" w:type="dxa"/>
            <w:vMerge w:val="restart"/>
            <w:tcBorders>
              <w:top w:val="nil"/>
              <w:left w:val="single" w:color="auto" w:sz="4" w:space="0"/>
              <w:bottom w:val="single" w:color="000000" w:sz="4" w:space="0"/>
              <w:right w:val="single" w:color="auto" w:sz="4" w:space="0"/>
            </w:tcBorders>
            <w:vAlign w:val="center"/>
          </w:tcPr>
          <w:p>
            <w:pPr>
              <w:widowControl/>
              <w:spacing w:line="240" w:lineRule="auto"/>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02" w:type="dxa"/>
            <w:vMerge w:val="restart"/>
            <w:tcBorders>
              <w:top w:val="nil"/>
              <w:left w:val="single" w:color="auto" w:sz="4" w:space="0"/>
              <w:bottom w:val="single" w:color="000000" w:sz="4" w:space="0"/>
              <w:right w:val="single" w:color="auto" w:sz="4" w:space="0"/>
            </w:tcBorders>
            <w:vAlign w:val="center"/>
          </w:tcPr>
          <w:p>
            <w:pPr>
              <w:widowControl/>
              <w:spacing w:line="240" w:lineRule="auto"/>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666" w:type="dxa"/>
            <w:vMerge w:val="restart"/>
            <w:tcBorders>
              <w:top w:val="nil"/>
              <w:left w:val="single" w:color="auto" w:sz="4" w:space="0"/>
              <w:bottom w:val="single" w:color="000000" w:sz="4" w:space="0"/>
              <w:right w:val="single" w:color="auto" w:sz="4" w:space="0"/>
            </w:tcBorders>
            <w:vAlign w:val="center"/>
          </w:tcPr>
          <w:p>
            <w:pPr>
              <w:widowControl/>
              <w:spacing w:line="240" w:lineRule="auto"/>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jc w:val="center"/>
        </w:trPr>
        <w:tc>
          <w:tcPr>
            <w:tcW w:w="550"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类</w:t>
            </w:r>
          </w:p>
        </w:tc>
        <w:tc>
          <w:tcPr>
            <w:tcW w:w="43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款</w:t>
            </w:r>
          </w:p>
        </w:tc>
        <w:tc>
          <w:tcPr>
            <w:tcW w:w="43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项</w:t>
            </w:r>
          </w:p>
        </w:tc>
        <w:tc>
          <w:tcPr>
            <w:tcW w:w="25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8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80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66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vAlign w:val="center"/>
          </w:tcPr>
          <w:p>
            <w:pPr>
              <w:jc w:val="center"/>
              <w:rPr>
                <w:rFonts w:ascii="宋体" w:cs="宋体"/>
                <w:sz w:val="20"/>
                <w:szCs w:val="20"/>
              </w:rPr>
            </w:pPr>
            <w:r>
              <w:rPr>
                <w:rFonts w:ascii="宋体" w:hAnsi="宋体"/>
                <w:sz w:val="20"/>
                <w:szCs w:val="20"/>
              </w:rPr>
              <w:t>201</w:t>
            </w:r>
          </w:p>
        </w:tc>
        <w:tc>
          <w:tcPr>
            <w:tcW w:w="439" w:type="dxa"/>
            <w:tcBorders>
              <w:top w:val="nil"/>
              <w:left w:val="nil"/>
              <w:bottom w:val="single" w:color="auto" w:sz="4" w:space="0"/>
              <w:right w:val="single" w:color="auto" w:sz="4" w:space="0"/>
            </w:tcBorders>
            <w:vAlign w:val="center"/>
          </w:tcPr>
          <w:p>
            <w:pPr>
              <w:jc w:val="center"/>
              <w:rPr>
                <w:rFonts w:ascii="宋体" w:cs="宋体"/>
                <w:sz w:val="20"/>
                <w:szCs w:val="20"/>
              </w:rPr>
            </w:pPr>
          </w:p>
        </w:tc>
        <w:tc>
          <w:tcPr>
            <w:tcW w:w="439" w:type="dxa"/>
            <w:tcBorders>
              <w:top w:val="nil"/>
              <w:left w:val="nil"/>
              <w:bottom w:val="single" w:color="auto" w:sz="4" w:space="0"/>
              <w:right w:val="single" w:color="auto" w:sz="4" w:space="0"/>
            </w:tcBorders>
            <w:vAlign w:val="center"/>
          </w:tcPr>
          <w:p>
            <w:pPr>
              <w:jc w:val="center"/>
              <w:rPr>
                <w:rFonts w:ascii="宋体" w:cs="宋体"/>
                <w:sz w:val="20"/>
                <w:szCs w:val="20"/>
              </w:rPr>
            </w:pPr>
          </w:p>
        </w:tc>
        <w:tc>
          <w:tcPr>
            <w:tcW w:w="2526"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ascii="宋体" w:hAnsi="宋体" w:cs="宋体"/>
                <w:sz w:val="20"/>
                <w:szCs w:val="20"/>
              </w:rPr>
              <w:t>一般公共服务支出</w:t>
            </w:r>
          </w:p>
        </w:tc>
        <w:tc>
          <w:tcPr>
            <w:tcW w:w="1807" w:type="dxa"/>
            <w:tcBorders>
              <w:top w:val="nil"/>
              <w:left w:val="nil"/>
              <w:bottom w:val="single" w:color="auto" w:sz="4" w:space="0"/>
              <w:right w:val="single" w:color="auto" w:sz="4" w:space="0"/>
            </w:tcBorders>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92.86</w:t>
            </w:r>
          </w:p>
        </w:tc>
        <w:tc>
          <w:tcPr>
            <w:tcW w:w="1802" w:type="dxa"/>
            <w:tcBorders>
              <w:top w:val="nil"/>
              <w:left w:val="nil"/>
              <w:bottom w:val="single" w:color="auto" w:sz="4" w:space="0"/>
              <w:right w:val="single" w:color="auto" w:sz="4" w:space="0"/>
            </w:tcBorders>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92.86</w:t>
            </w:r>
          </w:p>
        </w:tc>
        <w:tc>
          <w:tcPr>
            <w:tcW w:w="1666" w:type="dxa"/>
            <w:tcBorders>
              <w:top w:val="nil"/>
              <w:left w:val="nil"/>
              <w:bottom w:val="single" w:color="auto" w:sz="4" w:space="0"/>
              <w:right w:val="single" w:color="auto" w:sz="4" w:space="0"/>
            </w:tcBorders>
            <w:vAlign w:val="center"/>
          </w:tcPr>
          <w:p>
            <w:pPr>
              <w:spacing w:line="240" w:lineRule="auto"/>
              <w:jc w:val="right"/>
              <w:rPr>
                <w:rFonts w:hint="eastAsia" w:ascii="仿宋_GB2312" w:eastAsia="仿宋_GB2312"/>
                <w:color w:val="000000"/>
                <w:sz w:val="20"/>
                <w:szCs w:val="20"/>
                <w:lang w:val="en-US" w:eastAsia="zh-CN"/>
              </w:rPr>
            </w:pP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vAlign w:val="center"/>
          </w:tcPr>
          <w:p>
            <w:pPr>
              <w:jc w:val="center"/>
              <w:rPr>
                <w:rFonts w:ascii="宋体" w:cs="宋体"/>
                <w:sz w:val="20"/>
                <w:szCs w:val="20"/>
              </w:rPr>
            </w:pPr>
            <w:r>
              <w:rPr>
                <w:rFonts w:ascii="宋体" w:hAnsi="宋体"/>
                <w:sz w:val="20"/>
                <w:szCs w:val="20"/>
              </w:rPr>
              <w:t>201</w:t>
            </w:r>
          </w:p>
        </w:tc>
        <w:tc>
          <w:tcPr>
            <w:tcW w:w="439" w:type="dxa"/>
            <w:tcBorders>
              <w:top w:val="nil"/>
              <w:left w:val="nil"/>
              <w:bottom w:val="single" w:color="auto" w:sz="4" w:space="0"/>
              <w:right w:val="single" w:color="auto" w:sz="4" w:space="0"/>
            </w:tcBorders>
            <w:vAlign w:val="center"/>
          </w:tcPr>
          <w:p>
            <w:pPr>
              <w:jc w:val="center"/>
              <w:rPr>
                <w:rFonts w:ascii="宋体" w:cs="宋体"/>
                <w:sz w:val="20"/>
                <w:szCs w:val="20"/>
              </w:rPr>
            </w:pPr>
            <w:r>
              <w:rPr>
                <w:rFonts w:ascii="宋体" w:hAnsi="宋体"/>
                <w:sz w:val="20"/>
                <w:szCs w:val="20"/>
              </w:rPr>
              <w:t>03</w:t>
            </w:r>
          </w:p>
        </w:tc>
        <w:tc>
          <w:tcPr>
            <w:tcW w:w="439" w:type="dxa"/>
            <w:tcBorders>
              <w:top w:val="nil"/>
              <w:left w:val="nil"/>
              <w:bottom w:val="single" w:color="auto" w:sz="4" w:space="0"/>
              <w:right w:val="single" w:color="auto" w:sz="4" w:space="0"/>
            </w:tcBorders>
            <w:vAlign w:val="center"/>
          </w:tcPr>
          <w:p>
            <w:pPr>
              <w:jc w:val="center"/>
              <w:rPr>
                <w:rFonts w:ascii="宋体" w:cs="宋体"/>
                <w:sz w:val="20"/>
                <w:szCs w:val="20"/>
              </w:rPr>
            </w:pPr>
          </w:p>
        </w:tc>
        <w:tc>
          <w:tcPr>
            <w:tcW w:w="2526"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ascii="宋体" w:hAnsi="宋体" w:cs="宋体"/>
                <w:sz w:val="20"/>
                <w:szCs w:val="20"/>
              </w:rPr>
              <w:t>政府办公厅（室）及相关机构事物</w:t>
            </w:r>
          </w:p>
        </w:tc>
        <w:tc>
          <w:tcPr>
            <w:tcW w:w="1807" w:type="dxa"/>
            <w:tcBorders>
              <w:top w:val="nil"/>
              <w:left w:val="nil"/>
              <w:bottom w:val="single" w:color="auto" w:sz="4" w:space="0"/>
              <w:right w:val="single" w:color="auto" w:sz="4" w:space="0"/>
            </w:tcBorders>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92.86</w:t>
            </w:r>
          </w:p>
        </w:tc>
        <w:tc>
          <w:tcPr>
            <w:tcW w:w="1802" w:type="dxa"/>
            <w:tcBorders>
              <w:top w:val="nil"/>
              <w:left w:val="nil"/>
              <w:bottom w:val="single" w:color="auto" w:sz="4" w:space="0"/>
              <w:right w:val="single" w:color="auto" w:sz="4" w:space="0"/>
            </w:tcBorders>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92.86</w:t>
            </w:r>
          </w:p>
        </w:tc>
        <w:tc>
          <w:tcPr>
            <w:tcW w:w="1666" w:type="dxa"/>
            <w:tcBorders>
              <w:top w:val="nil"/>
              <w:left w:val="nil"/>
              <w:bottom w:val="single" w:color="auto" w:sz="4" w:space="0"/>
              <w:right w:val="single" w:color="auto" w:sz="4" w:space="0"/>
            </w:tcBorders>
            <w:vAlign w:val="center"/>
          </w:tcPr>
          <w:p>
            <w:pPr>
              <w:spacing w:line="240" w:lineRule="auto"/>
              <w:jc w:val="right"/>
              <w:rPr>
                <w:rFonts w:hint="eastAsia" w:ascii="仿宋_GB2312" w:eastAsia="仿宋_GB2312"/>
                <w:color w:val="000000"/>
                <w:sz w:val="20"/>
                <w:szCs w:val="20"/>
                <w:lang w:val="en-US" w:eastAsia="zh-CN"/>
              </w:rPr>
            </w:pP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vAlign w:val="center"/>
          </w:tcPr>
          <w:p>
            <w:pPr>
              <w:jc w:val="center"/>
              <w:rPr>
                <w:rFonts w:ascii="宋体" w:cs="宋体"/>
                <w:sz w:val="20"/>
                <w:szCs w:val="20"/>
              </w:rPr>
            </w:pPr>
            <w:r>
              <w:rPr>
                <w:rFonts w:ascii="宋体" w:hAnsi="宋体"/>
                <w:sz w:val="20"/>
                <w:szCs w:val="20"/>
              </w:rPr>
              <w:t>201</w:t>
            </w:r>
          </w:p>
        </w:tc>
        <w:tc>
          <w:tcPr>
            <w:tcW w:w="439" w:type="dxa"/>
            <w:tcBorders>
              <w:top w:val="nil"/>
              <w:left w:val="nil"/>
              <w:bottom w:val="single" w:color="auto" w:sz="4" w:space="0"/>
              <w:right w:val="single" w:color="auto" w:sz="4" w:space="0"/>
            </w:tcBorders>
            <w:vAlign w:val="center"/>
          </w:tcPr>
          <w:p>
            <w:pPr>
              <w:jc w:val="center"/>
              <w:rPr>
                <w:rFonts w:ascii="宋体" w:cs="宋体"/>
                <w:sz w:val="20"/>
                <w:szCs w:val="20"/>
              </w:rPr>
            </w:pPr>
            <w:r>
              <w:rPr>
                <w:rFonts w:ascii="宋体" w:hAnsi="宋体"/>
                <w:sz w:val="20"/>
                <w:szCs w:val="20"/>
              </w:rPr>
              <w:t>03</w:t>
            </w:r>
          </w:p>
        </w:tc>
        <w:tc>
          <w:tcPr>
            <w:tcW w:w="439" w:type="dxa"/>
            <w:tcBorders>
              <w:top w:val="nil"/>
              <w:left w:val="nil"/>
              <w:bottom w:val="single" w:color="auto" w:sz="4" w:space="0"/>
              <w:right w:val="single" w:color="auto" w:sz="4" w:space="0"/>
            </w:tcBorders>
            <w:vAlign w:val="center"/>
          </w:tcPr>
          <w:p>
            <w:pPr>
              <w:jc w:val="center"/>
              <w:rPr>
                <w:rFonts w:ascii="宋体" w:cs="宋体"/>
                <w:sz w:val="20"/>
                <w:szCs w:val="20"/>
              </w:rPr>
            </w:pPr>
            <w:r>
              <w:rPr>
                <w:rFonts w:ascii="宋体" w:hAnsi="宋体"/>
                <w:sz w:val="20"/>
                <w:szCs w:val="20"/>
              </w:rPr>
              <w:t>01</w:t>
            </w:r>
          </w:p>
        </w:tc>
        <w:tc>
          <w:tcPr>
            <w:tcW w:w="2526"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ascii="宋体" w:hAnsi="宋体" w:cs="宋体"/>
                <w:sz w:val="20"/>
                <w:szCs w:val="20"/>
              </w:rPr>
              <w:t>行政运行</w:t>
            </w:r>
          </w:p>
        </w:tc>
        <w:tc>
          <w:tcPr>
            <w:tcW w:w="1807" w:type="dxa"/>
            <w:tcBorders>
              <w:top w:val="nil"/>
              <w:left w:val="nil"/>
              <w:bottom w:val="single" w:color="auto" w:sz="4" w:space="0"/>
              <w:right w:val="single" w:color="auto" w:sz="4" w:space="0"/>
            </w:tcBorders>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92.86</w:t>
            </w:r>
          </w:p>
        </w:tc>
        <w:tc>
          <w:tcPr>
            <w:tcW w:w="1802" w:type="dxa"/>
            <w:tcBorders>
              <w:top w:val="nil"/>
              <w:left w:val="nil"/>
              <w:bottom w:val="single" w:color="auto" w:sz="4" w:space="0"/>
              <w:right w:val="single" w:color="auto" w:sz="4" w:space="0"/>
            </w:tcBorders>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92.86</w:t>
            </w:r>
          </w:p>
        </w:tc>
        <w:tc>
          <w:tcPr>
            <w:tcW w:w="1666" w:type="dxa"/>
            <w:tcBorders>
              <w:top w:val="nil"/>
              <w:left w:val="nil"/>
              <w:bottom w:val="single" w:color="auto" w:sz="4" w:space="0"/>
              <w:right w:val="single" w:color="auto" w:sz="4" w:space="0"/>
            </w:tcBorders>
            <w:vAlign w:val="center"/>
          </w:tcPr>
          <w:p>
            <w:pPr>
              <w:spacing w:line="240" w:lineRule="auto"/>
              <w:jc w:val="right"/>
              <w:rPr>
                <w:rFonts w:hint="eastAsia" w:ascii="仿宋_GB2312" w:eastAsia="仿宋_GB2312"/>
                <w:color w:val="000000"/>
                <w:sz w:val="20"/>
                <w:szCs w:val="20"/>
                <w:lang w:val="en-US" w:eastAsia="zh-CN"/>
              </w:rPr>
            </w:pP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vAlign w:val="center"/>
          </w:tcPr>
          <w:p>
            <w:pPr>
              <w:jc w:val="center"/>
              <w:rPr>
                <w:rFonts w:ascii="宋体" w:cs="宋体"/>
                <w:sz w:val="20"/>
                <w:szCs w:val="20"/>
              </w:rPr>
            </w:pPr>
            <w:r>
              <w:rPr>
                <w:rFonts w:ascii="宋体" w:hAnsi="宋体" w:cs="宋体"/>
                <w:sz w:val="20"/>
                <w:szCs w:val="20"/>
              </w:rPr>
              <w:t>208</w:t>
            </w:r>
          </w:p>
        </w:tc>
        <w:tc>
          <w:tcPr>
            <w:tcW w:w="439" w:type="dxa"/>
            <w:tcBorders>
              <w:top w:val="nil"/>
              <w:left w:val="nil"/>
              <w:bottom w:val="single" w:color="auto" w:sz="4" w:space="0"/>
              <w:right w:val="single" w:color="auto" w:sz="4" w:space="0"/>
            </w:tcBorders>
            <w:vAlign w:val="center"/>
          </w:tcPr>
          <w:p>
            <w:pPr>
              <w:jc w:val="center"/>
              <w:rPr>
                <w:rFonts w:ascii="宋体" w:cs="宋体"/>
                <w:sz w:val="20"/>
                <w:szCs w:val="20"/>
              </w:rPr>
            </w:pPr>
          </w:p>
        </w:tc>
        <w:tc>
          <w:tcPr>
            <w:tcW w:w="439" w:type="dxa"/>
            <w:tcBorders>
              <w:top w:val="nil"/>
              <w:left w:val="nil"/>
              <w:bottom w:val="single" w:color="auto" w:sz="4" w:space="0"/>
              <w:right w:val="single" w:color="auto" w:sz="4" w:space="0"/>
            </w:tcBorders>
            <w:vAlign w:val="center"/>
          </w:tcPr>
          <w:p>
            <w:pPr>
              <w:jc w:val="center"/>
              <w:rPr>
                <w:rFonts w:ascii="宋体" w:cs="宋体"/>
                <w:sz w:val="20"/>
                <w:szCs w:val="20"/>
              </w:rPr>
            </w:pPr>
          </w:p>
        </w:tc>
        <w:tc>
          <w:tcPr>
            <w:tcW w:w="2526"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ascii="宋体" w:hAnsi="宋体" w:cs="Arial"/>
                <w:sz w:val="20"/>
                <w:szCs w:val="20"/>
              </w:rPr>
              <w:t>社会保障和就业支出</w:t>
            </w:r>
          </w:p>
        </w:tc>
        <w:tc>
          <w:tcPr>
            <w:tcW w:w="1807" w:type="dxa"/>
            <w:tcBorders>
              <w:top w:val="nil"/>
              <w:left w:val="nil"/>
              <w:bottom w:val="single" w:color="auto" w:sz="4" w:space="0"/>
              <w:right w:val="single" w:color="auto" w:sz="4" w:space="0"/>
            </w:tcBorders>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73.15</w:t>
            </w:r>
          </w:p>
        </w:tc>
        <w:tc>
          <w:tcPr>
            <w:tcW w:w="1802" w:type="dxa"/>
            <w:tcBorders>
              <w:top w:val="nil"/>
              <w:left w:val="nil"/>
              <w:bottom w:val="single" w:color="auto" w:sz="4" w:space="0"/>
              <w:right w:val="single" w:color="auto" w:sz="4" w:space="0"/>
            </w:tcBorders>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6.15</w:t>
            </w:r>
          </w:p>
        </w:tc>
        <w:tc>
          <w:tcPr>
            <w:tcW w:w="1666" w:type="dxa"/>
            <w:tcBorders>
              <w:top w:val="nil"/>
              <w:left w:val="nil"/>
              <w:bottom w:val="single" w:color="auto" w:sz="4" w:space="0"/>
              <w:right w:val="single" w:color="auto" w:sz="4" w:space="0"/>
            </w:tcBorders>
            <w:vAlign w:val="center"/>
          </w:tcPr>
          <w:p>
            <w:pPr>
              <w:spacing w:line="240" w:lineRule="auto"/>
              <w:jc w:val="right"/>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67.00</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vAlign w:val="center"/>
          </w:tcPr>
          <w:p>
            <w:pPr>
              <w:jc w:val="center"/>
              <w:rPr>
                <w:rFonts w:ascii="宋体" w:cs="宋体"/>
                <w:sz w:val="20"/>
                <w:szCs w:val="20"/>
              </w:rPr>
            </w:pPr>
            <w:r>
              <w:rPr>
                <w:rFonts w:ascii="宋体" w:hAnsi="宋体"/>
                <w:sz w:val="20"/>
                <w:szCs w:val="20"/>
              </w:rPr>
              <w:t>208</w:t>
            </w:r>
          </w:p>
        </w:tc>
        <w:tc>
          <w:tcPr>
            <w:tcW w:w="439" w:type="dxa"/>
            <w:tcBorders>
              <w:top w:val="nil"/>
              <w:left w:val="nil"/>
              <w:bottom w:val="single" w:color="auto" w:sz="4" w:space="0"/>
              <w:right w:val="single" w:color="auto" w:sz="4" w:space="0"/>
            </w:tcBorders>
            <w:vAlign w:val="center"/>
          </w:tcPr>
          <w:p>
            <w:pPr>
              <w:jc w:val="center"/>
              <w:rPr>
                <w:rFonts w:ascii="宋体" w:cs="宋体"/>
                <w:sz w:val="20"/>
                <w:szCs w:val="20"/>
              </w:rPr>
            </w:pPr>
            <w:r>
              <w:rPr>
                <w:rFonts w:ascii="宋体" w:hAnsi="宋体"/>
                <w:sz w:val="20"/>
                <w:szCs w:val="20"/>
              </w:rPr>
              <w:t>02</w:t>
            </w:r>
          </w:p>
        </w:tc>
        <w:tc>
          <w:tcPr>
            <w:tcW w:w="439" w:type="dxa"/>
            <w:tcBorders>
              <w:top w:val="nil"/>
              <w:left w:val="nil"/>
              <w:bottom w:val="single" w:color="auto" w:sz="4" w:space="0"/>
              <w:right w:val="single" w:color="auto" w:sz="4" w:space="0"/>
            </w:tcBorders>
            <w:vAlign w:val="center"/>
          </w:tcPr>
          <w:p>
            <w:pPr>
              <w:jc w:val="center"/>
              <w:rPr>
                <w:rFonts w:ascii="宋体" w:cs="宋体"/>
                <w:sz w:val="20"/>
                <w:szCs w:val="20"/>
              </w:rPr>
            </w:pPr>
          </w:p>
        </w:tc>
        <w:tc>
          <w:tcPr>
            <w:tcW w:w="2526"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ascii="宋体" w:hAnsi="宋体" w:cs="宋体"/>
                <w:sz w:val="20"/>
                <w:szCs w:val="20"/>
              </w:rPr>
              <w:t>民政管理事务</w:t>
            </w:r>
          </w:p>
        </w:tc>
        <w:tc>
          <w:tcPr>
            <w:tcW w:w="1807" w:type="dxa"/>
            <w:tcBorders>
              <w:top w:val="nil"/>
              <w:left w:val="nil"/>
              <w:bottom w:val="single" w:color="auto" w:sz="4" w:space="0"/>
              <w:right w:val="single" w:color="auto" w:sz="4" w:space="0"/>
            </w:tcBorders>
            <w:vAlign w:val="center"/>
          </w:tcPr>
          <w:p>
            <w:pPr>
              <w:spacing w:line="240" w:lineRule="auto"/>
              <w:jc w:val="right"/>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67.00</w:t>
            </w:r>
          </w:p>
        </w:tc>
        <w:tc>
          <w:tcPr>
            <w:tcW w:w="1802" w:type="dxa"/>
            <w:tcBorders>
              <w:top w:val="nil"/>
              <w:left w:val="nil"/>
              <w:bottom w:val="single" w:color="auto" w:sz="4" w:space="0"/>
              <w:right w:val="single" w:color="auto" w:sz="4" w:space="0"/>
            </w:tcBorders>
            <w:vAlign w:val="center"/>
          </w:tcPr>
          <w:p>
            <w:pPr>
              <w:spacing w:line="240" w:lineRule="auto"/>
              <w:jc w:val="right"/>
              <w:rPr>
                <w:rFonts w:hint="eastAsia" w:ascii="仿宋_GB2312" w:eastAsia="仿宋_GB2312"/>
                <w:color w:val="000000"/>
                <w:sz w:val="20"/>
                <w:szCs w:val="20"/>
                <w:lang w:val="en-US" w:eastAsia="zh-CN"/>
              </w:rPr>
            </w:pPr>
          </w:p>
        </w:tc>
        <w:tc>
          <w:tcPr>
            <w:tcW w:w="1666" w:type="dxa"/>
            <w:tcBorders>
              <w:top w:val="nil"/>
              <w:left w:val="nil"/>
              <w:bottom w:val="single" w:color="auto" w:sz="4" w:space="0"/>
              <w:right w:val="single" w:color="auto" w:sz="4" w:space="0"/>
            </w:tcBorders>
            <w:vAlign w:val="center"/>
          </w:tcPr>
          <w:p>
            <w:pPr>
              <w:spacing w:line="240" w:lineRule="auto"/>
              <w:jc w:val="right"/>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67.00</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vAlign w:val="center"/>
          </w:tcPr>
          <w:p>
            <w:pPr>
              <w:jc w:val="center"/>
              <w:rPr>
                <w:rFonts w:ascii="宋体" w:cs="宋体"/>
                <w:sz w:val="20"/>
                <w:szCs w:val="20"/>
              </w:rPr>
            </w:pPr>
            <w:r>
              <w:rPr>
                <w:rFonts w:ascii="宋体" w:hAnsi="宋体"/>
                <w:sz w:val="20"/>
                <w:szCs w:val="20"/>
              </w:rPr>
              <w:t>208</w:t>
            </w:r>
          </w:p>
        </w:tc>
        <w:tc>
          <w:tcPr>
            <w:tcW w:w="439" w:type="dxa"/>
            <w:tcBorders>
              <w:top w:val="nil"/>
              <w:left w:val="nil"/>
              <w:bottom w:val="single" w:color="auto" w:sz="4" w:space="0"/>
              <w:right w:val="single" w:color="auto" w:sz="4" w:space="0"/>
            </w:tcBorders>
            <w:vAlign w:val="center"/>
          </w:tcPr>
          <w:p>
            <w:pPr>
              <w:jc w:val="center"/>
              <w:rPr>
                <w:rFonts w:ascii="宋体" w:cs="宋体"/>
                <w:sz w:val="20"/>
                <w:szCs w:val="20"/>
              </w:rPr>
            </w:pPr>
            <w:r>
              <w:rPr>
                <w:rFonts w:ascii="宋体" w:hAnsi="宋体"/>
                <w:sz w:val="20"/>
                <w:szCs w:val="20"/>
              </w:rPr>
              <w:t>02</w:t>
            </w:r>
          </w:p>
        </w:tc>
        <w:tc>
          <w:tcPr>
            <w:tcW w:w="439" w:type="dxa"/>
            <w:tcBorders>
              <w:top w:val="nil"/>
              <w:left w:val="nil"/>
              <w:bottom w:val="single" w:color="auto" w:sz="4" w:space="0"/>
              <w:right w:val="single" w:color="auto" w:sz="4" w:space="0"/>
            </w:tcBorders>
            <w:vAlign w:val="center"/>
          </w:tcPr>
          <w:p>
            <w:pPr>
              <w:jc w:val="center"/>
              <w:rPr>
                <w:rFonts w:ascii="宋体" w:cs="宋体"/>
                <w:sz w:val="20"/>
                <w:szCs w:val="20"/>
              </w:rPr>
            </w:pPr>
            <w:r>
              <w:rPr>
                <w:rFonts w:ascii="宋体" w:hAnsi="宋体"/>
                <w:sz w:val="20"/>
                <w:szCs w:val="20"/>
              </w:rPr>
              <w:t>08</w:t>
            </w:r>
          </w:p>
        </w:tc>
        <w:tc>
          <w:tcPr>
            <w:tcW w:w="2526"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ascii="宋体" w:hAnsi="宋体" w:cs="宋体"/>
                <w:sz w:val="20"/>
                <w:szCs w:val="20"/>
              </w:rPr>
              <w:t>基层政权和社区建设</w:t>
            </w:r>
          </w:p>
        </w:tc>
        <w:tc>
          <w:tcPr>
            <w:tcW w:w="1807" w:type="dxa"/>
            <w:tcBorders>
              <w:top w:val="nil"/>
              <w:left w:val="nil"/>
              <w:bottom w:val="single" w:color="auto" w:sz="4" w:space="0"/>
              <w:right w:val="single" w:color="auto" w:sz="4" w:space="0"/>
            </w:tcBorders>
            <w:vAlign w:val="center"/>
          </w:tcPr>
          <w:p>
            <w:pPr>
              <w:spacing w:line="240" w:lineRule="auto"/>
              <w:jc w:val="right"/>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67.00</w:t>
            </w:r>
          </w:p>
        </w:tc>
        <w:tc>
          <w:tcPr>
            <w:tcW w:w="1802" w:type="dxa"/>
            <w:tcBorders>
              <w:top w:val="nil"/>
              <w:left w:val="nil"/>
              <w:bottom w:val="single" w:color="auto" w:sz="4" w:space="0"/>
              <w:right w:val="single" w:color="auto" w:sz="4" w:space="0"/>
            </w:tcBorders>
            <w:vAlign w:val="center"/>
          </w:tcPr>
          <w:p>
            <w:pPr>
              <w:spacing w:line="240" w:lineRule="auto"/>
              <w:jc w:val="right"/>
              <w:rPr>
                <w:rFonts w:hint="eastAsia" w:ascii="仿宋_GB2312" w:eastAsia="仿宋_GB2312"/>
                <w:color w:val="000000"/>
                <w:sz w:val="20"/>
                <w:szCs w:val="20"/>
                <w:lang w:val="en-US" w:eastAsia="zh-CN"/>
              </w:rPr>
            </w:pPr>
          </w:p>
        </w:tc>
        <w:tc>
          <w:tcPr>
            <w:tcW w:w="1666" w:type="dxa"/>
            <w:tcBorders>
              <w:top w:val="nil"/>
              <w:left w:val="nil"/>
              <w:bottom w:val="single" w:color="auto" w:sz="4" w:space="0"/>
              <w:right w:val="single" w:color="auto" w:sz="4" w:space="0"/>
            </w:tcBorders>
            <w:vAlign w:val="center"/>
          </w:tcPr>
          <w:p>
            <w:pPr>
              <w:spacing w:line="240" w:lineRule="auto"/>
              <w:jc w:val="right"/>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67.00</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vAlign w:val="center"/>
          </w:tcPr>
          <w:p>
            <w:pPr>
              <w:jc w:val="center"/>
              <w:rPr>
                <w:rFonts w:ascii="宋体" w:cs="Arial"/>
                <w:sz w:val="20"/>
                <w:szCs w:val="20"/>
              </w:rPr>
            </w:pPr>
            <w:r>
              <w:rPr>
                <w:rFonts w:ascii="宋体" w:hAnsi="宋体" w:cs="Arial"/>
                <w:sz w:val="20"/>
                <w:szCs w:val="20"/>
              </w:rPr>
              <w:t>208</w:t>
            </w:r>
          </w:p>
        </w:tc>
        <w:tc>
          <w:tcPr>
            <w:tcW w:w="439" w:type="dxa"/>
            <w:tcBorders>
              <w:top w:val="nil"/>
              <w:left w:val="nil"/>
              <w:bottom w:val="single" w:color="auto" w:sz="4" w:space="0"/>
              <w:right w:val="single" w:color="auto" w:sz="4" w:space="0"/>
            </w:tcBorders>
            <w:vAlign w:val="center"/>
          </w:tcPr>
          <w:p>
            <w:pPr>
              <w:jc w:val="center"/>
              <w:rPr>
                <w:rFonts w:ascii="宋体" w:cs="Arial"/>
                <w:sz w:val="20"/>
                <w:szCs w:val="20"/>
              </w:rPr>
            </w:pPr>
            <w:r>
              <w:rPr>
                <w:rFonts w:ascii="宋体" w:hAnsi="宋体" w:cs="Arial"/>
                <w:sz w:val="20"/>
                <w:szCs w:val="20"/>
              </w:rPr>
              <w:t>05</w:t>
            </w:r>
          </w:p>
        </w:tc>
        <w:tc>
          <w:tcPr>
            <w:tcW w:w="439" w:type="dxa"/>
            <w:tcBorders>
              <w:top w:val="nil"/>
              <w:left w:val="nil"/>
              <w:bottom w:val="single" w:color="auto" w:sz="4" w:space="0"/>
              <w:right w:val="single" w:color="auto" w:sz="4" w:space="0"/>
            </w:tcBorders>
            <w:vAlign w:val="center"/>
          </w:tcPr>
          <w:p>
            <w:pPr>
              <w:jc w:val="center"/>
              <w:rPr>
                <w:rFonts w:ascii="宋体" w:cs="Arial"/>
                <w:sz w:val="20"/>
                <w:szCs w:val="20"/>
              </w:rPr>
            </w:pPr>
          </w:p>
        </w:tc>
        <w:tc>
          <w:tcPr>
            <w:tcW w:w="2526" w:type="dxa"/>
            <w:tcBorders>
              <w:top w:val="nil"/>
              <w:left w:val="nil"/>
              <w:bottom w:val="single" w:color="auto" w:sz="4" w:space="0"/>
              <w:right w:val="single" w:color="auto" w:sz="4" w:space="0"/>
            </w:tcBorders>
            <w:vAlign w:val="center"/>
          </w:tcPr>
          <w:p>
            <w:pPr>
              <w:jc w:val="center"/>
              <w:rPr>
                <w:rFonts w:ascii="宋体" w:cs="Arial"/>
                <w:sz w:val="20"/>
                <w:szCs w:val="20"/>
              </w:rPr>
            </w:pPr>
            <w:r>
              <w:rPr>
                <w:rFonts w:hint="eastAsia" w:ascii="宋体" w:hAnsi="宋体" w:cs="Arial"/>
                <w:sz w:val="20"/>
                <w:szCs w:val="20"/>
              </w:rPr>
              <w:t>行政单位离退休</w:t>
            </w:r>
          </w:p>
        </w:tc>
        <w:tc>
          <w:tcPr>
            <w:tcW w:w="1807" w:type="dxa"/>
            <w:tcBorders>
              <w:top w:val="nil"/>
              <w:left w:val="nil"/>
              <w:bottom w:val="single" w:color="auto" w:sz="4" w:space="0"/>
              <w:right w:val="single" w:color="auto" w:sz="4" w:space="0"/>
            </w:tcBorders>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6.15</w:t>
            </w:r>
          </w:p>
        </w:tc>
        <w:tc>
          <w:tcPr>
            <w:tcW w:w="1802" w:type="dxa"/>
            <w:tcBorders>
              <w:top w:val="nil"/>
              <w:left w:val="nil"/>
              <w:bottom w:val="single" w:color="auto" w:sz="4" w:space="0"/>
              <w:right w:val="single" w:color="auto" w:sz="4" w:space="0"/>
            </w:tcBorders>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6.15</w:t>
            </w:r>
          </w:p>
        </w:tc>
        <w:tc>
          <w:tcPr>
            <w:tcW w:w="1666" w:type="dxa"/>
            <w:tcBorders>
              <w:top w:val="nil"/>
              <w:left w:val="nil"/>
              <w:bottom w:val="single" w:color="auto" w:sz="4" w:space="0"/>
              <w:right w:val="single" w:color="auto" w:sz="4" w:space="0"/>
            </w:tcBorders>
            <w:vAlign w:val="center"/>
          </w:tcPr>
          <w:p>
            <w:pPr>
              <w:spacing w:line="240" w:lineRule="auto"/>
              <w:jc w:val="right"/>
              <w:rPr>
                <w:rFonts w:hint="eastAsia" w:ascii="仿宋_GB2312" w:eastAsia="仿宋_GB2312"/>
                <w:color w:val="000000"/>
                <w:sz w:val="20"/>
                <w:szCs w:val="20"/>
                <w:lang w:val="en-US" w:eastAsia="zh-CN"/>
              </w:rPr>
            </w:pP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vAlign w:val="center"/>
          </w:tcPr>
          <w:p>
            <w:pPr>
              <w:jc w:val="center"/>
              <w:rPr>
                <w:rFonts w:ascii="宋体" w:cs="Arial"/>
                <w:sz w:val="20"/>
                <w:szCs w:val="20"/>
              </w:rPr>
            </w:pPr>
            <w:r>
              <w:rPr>
                <w:rFonts w:ascii="宋体" w:hAnsi="宋体" w:cs="Arial"/>
                <w:sz w:val="20"/>
                <w:szCs w:val="20"/>
              </w:rPr>
              <w:t>208</w:t>
            </w:r>
          </w:p>
        </w:tc>
        <w:tc>
          <w:tcPr>
            <w:tcW w:w="439" w:type="dxa"/>
            <w:tcBorders>
              <w:top w:val="nil"/>
              <w:left w:val="nil"/>
              <w:bottom w:val="single" w:color="auto" w:sz="4" w:space="0"/>
              <w:right w:val="single" w:color="auto" w:sz="4" w:space="0"/>
            </w:tcBorders>
            <w:vAlign w:val="center"/>
          </w:tcPr>
          <w:p>
            <w:pPr>
              <w:jc w:val="center"/>
              <w:rPr>
                <w:rFonts w:ascii="宋体" w:cs="Arial"/>
                <w:sz w:val="20"/>
                <w:szCs w:val="20"/>
              </w:rPr>
            </w:pPr>
            <w:r>
              <w:rPr>
                <w:rFonts w:ascii="宋体" w:hAnsi="宋体" w:cs="Arial"/>
                <w:sz w:val="20"/>
                <w:szCs w:val="20"/>
              </w:rPr>
              <w:t>05</w:t>
            </w:r>
          </w:p>
        </w:tc>
        <w:tc>
          <w:tcPr>
            <w:tcW w:w="439" w:type="dxa"/>
            <w:tcBorders>
              <w:top w:val="nil"/>
              <w:left w:val="nil"/>
              <w:bottom w:val="single" w:color="auto" w:sz="4" w:space="0"/>
              <w:right w:val="single" w:color="auto" w:sz="4" w:space="0"/>
            </w:tcBorders>
            <w:vAlign w:val="center"/>
          </w:tcPr>
          <w:p>
            <w:pPr>
              <w:jc w:val="center"/>
              <w:rPr>
                <w:rFonts w:ascii="宋体" w:cs="Arial"/>
                <w:sz w:val="20"/>
                <w:szCs w:val="20"/>
              </w:rPr>
            </w:pPr>
            <w:r>
              <w:rPr>
                <w:rFonts w:ascii="宋体" w:hAnsi="宋体" w:cs="Arial"/>
                <w:sz w:val="20"/>
                <w:szCs w:val="20"/>
              </w:rPr>
              <w:t>05</w:t>
            </w:r>
          </w:p>
        </w:tc>
        <w:tc>
          <w:tcPr>
            <w:tcW w:w="2526" w:type="dxa"/>
            <w:tcBorders>
              <w:top w:val="nil"/>
              <w:left w:val="nil"/>
              <w:bottom w:val="single" w:color="auto" w:sz="4" w:space="0"/>
              <w:right w:val="single" w:color="auto" w:sz="4" w:space="0"/>
            </w:tcBorders>
            <w:vAlign w:val="center"/>
          </w:tcPr>
          <w:p>
            <w:pPr>
              <w:jc w:val="center"/>
              <w:rPr>
                <w:rFonts w:ascii="宋体" w:cs="Arial"/>
                <w:sz w:val="20"/>
                <w:szCs w:val="20"/>
              </w:rPr>
            </w:pPr>
            <w:r>
              <w:rPr>
                <w:rFonts w:hint="eastAsia" w:ascii="宋体" w:hAnsi="宋体" w:cs="Arial"/>
                <w:sz w:val="20"/>
                <w:szCs w:val="20"/>
              </w:rPr>
              <w:t>机关事业单位基本养老保险缴费</w:t>
            </w:r>
          </w:p>
        </w:tc>
        <w:tc>
          <w:tcPr>
            <w:tcW w:w="1807" w:type="dxa"/>
            <w:tcBorders>
              <w:top w:val="nil"/>
              <w:left w:val="nil"/>
              <w:bottom w:val="single" w:color="auto" w:sz="4" w:space="0"/>
              <w:right w:val="single" w:color="auto" w:sz="4" w:space="0"/>
            </w:tcBorders>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6.15</w:t>
            </w:r>
          </w:p>
        </w:tc>
        <w:tc>
          <w:tcPr>
            <w:tcW w:w="1802" w:type="dxa"/>
            <w:tcBorders>
              <w:top w:val="nil"/>
              <w:left w:val="nil"/>
              <w:bottom w:val="single" w:color="auto" w:sz="4" w:space="0"/>
              <w:right w:val="single" w:color="auto" w:sz="4" w:space="0"/>
            </w:tcBorders>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6.15</w:t>
            </w:r>
          </w:p>
        </w:tc>
        <w:tc>
          <w:tcPr>
            <w:tcW w:w="1666" w:type="dxa"/>
            <w:tcBorders>
              <w:top w:val="nil"/>
              <w:left w:val="nil"/>
              <w:bottom w:val="single" w:color="auto" w:sz="4" w:space="0"/>
              <w:right w:val="single" w:color="auto" w:sz="4" w:space="0"/>
            </w:tcBorders>
            <w:vAlign w:val="center"/>
          </w:tcPr>
          <w:p>
            <w:pPr>
              <w:spacing w:line="240" w:lineRule="auto"/>
              <w:jc w:val="right"/>
              <w:rPr>
                <w:rFonts w:hint="eastAsia" w:ascii="仿宋_GB2312" w:eastAsia="仿宋_GB2312"/>
                <w:color w:val="000000"/>
                <w:sz w:val="20"/>
                <w:szCs w:val="20"/>
                <w:lang w:val="en-US" w:eastAsia="zh-CN"/>
              </w:rPr>
            </w:pP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vAlign w:val="center"/>
          </w:tcPr>
          <w:p>
            <w:pPr>
              <w:jc w:val="center"/>
              <w:rPr>
                <w:rFonts w:ascii="宋体" w:cs="宋体"/>
                <w:color w:val="000000"/>
                <w:sz w:val="20"/>
                <w:szCs w:val="20"/>
              </w:rPr>
            </w:pPr>
          </w:p>
        </w:tc>
        <w:tc>
          <w:tcPr>
            <w:tcW w:w="439" w:type="dxa"/>
            <w:tcBorders>
              <w:top w:val="nil"/>
              <w:left w:val="nil"/>
              <w:bottom w:val="single" w:color="auto" w:sz="4" w:space="0"/>
              <w:right w:val="single" w:color="auto" w:sz="4" w:space="0"/>
            </w:tcBorders>
            <w:vAlign w:val="center"/>
          </w:tcPr>
          <w:p>
            <w:pPr>
              <w:jc w:val="center"/>
              <w:rPr>
                <w:rFonts w:ascii="宋体" w:cs="宋体"/>
                <w:color w:val="000000"/>
                <w:sz w:val="20"/>
                <w:szCs w:val="20"/>
              </w:rPr>
            </w:pPr>
          </w:p>
        </w:tc>
        <w:tc>
          <w:tcPr>
            <w:tcW w:w="439" w:type="dxa"/>
            <w:tcBorders>
              <w:top w:val="nil"/>
              <w:left w:val="nil"/>
              <w:bottom w:val="single" w:color="auto" w:sz="4" w:space="0"/>
              <w:right w:val="single" w:color="auto" w:sz="4" w:space="0"/>
            </w:tcBorders>
            <w:vAlign w:val="center"/>
          </w:tcPr>
          <w:p>
            <w:pPr>
              <w:jc w:val="center"/>
              <w:rPr>
                <w:rFonts w:ascii="宋体" w:cs="宋体"/>
                <w:color w:val="000000"/>
                <w:sz w:val="20"/>
                <w:szCs w:val="20"/>
              </w:rPr>
            </w:pPr>
          </w:p>
        </w:tc>
        <w:tc>
          <w:tcPr>
            <w:tcW w:w="2526" w:type="dxa"/>
            <w:tcBorders>
              <w:top w:val="nil"/>
              <w:left w:val="nil"/>
              <w:bottom w:val="single" w:color="auto" w:sz="4" w:space="0"/>
              <w:right w:val="single" w:color="auto" w:sz="4" w:space="0"/>
            </w:tcBorders>
            <w:vAlign w:val="center"/>
          </w:tcPr>
          <w:p>
            <w:pPr>
              <w:jc w:val="center"/>
              <w:rPr>
                <w:rFonts w:ascii="宋体" w:cs="宋体"/>
                <w:color w:val="000000"/>
                <w:sz w:val="20"/>
                <w:szCs w:val="20"/>
              </w:rPr>
            </w:pPr>
            <w:r>
              <w:rPr>
                <w:rFonts w:hint="eastAsia" w:ascii="宋体" w:hAnsi="宋体"/>
                <w:color w:val="000000"/>
                <w:sz w:val="20"/>
                <w:szCs w:val="20"/>
              </w:rPr>
              <w:t>合计</w:t>
            </w:r>
          </w:p>
        </w:tc>
        <w:tc>
          <w:tcPr>
            <w:tcW w:w="1807" w:type="dxa"/>
            <w:tcBorders>
              <w:top w:val="nil"/>
              <w:left w:val="nil"/>
              <w:bottom w:val="single" w:color="auto" w:sz="4" w:space="0"/>
              <w:right w:val="single" w:color="auto" w:sz="4" w:space="0"/>
            </w:tcBorders>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166.01</w:t>
            </w:r>
          </w:p>
        </w:tc>
        <w:tc>
          <w:tcPr>
            <w:tcW w:w="1802" w:type="dxa"/>
            <w:tcBorders>
              <w:top w:val="nil"/>
              <w:left w:val="nil"/>
              <w:bottom w:val="single" w:color="auto" w:sz="4" w:space="0"/>
              <w:right w:val="single" w:color="auto" w:sz="4" w:space="0"/>
            </w:tcBorders>
            <w:vAlign w:val="center"/>
          </w:tcPr>
          <w:p>
            <w:pPr>
              <w:spacing w:line="240" w:lineRule="auto"/>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99.01</w:t>
            </w:r>
          </w:p>
        </w:tc>
        <w:tc>
          <w:tcPr>
            <w:tcW w:w="1666" w:type="dxa"/>
            <w:tcBorders>
              <w:top w:val="nil"/>
              <w:left w:val="nil"/>
              <w:bottom w:val="single" w:color="auto" w:sz="4" w:space="0"/>
              <w:right w:val="single" w:color="auto" w:sz="4" w:space="0"/>
            </w:tcBorders>
            <w:vAlign w:val="center"/>
          </w:tcPr>
          <w:p>
            <w:pPr>
              <w:spacing w:line="240" w:lineRule="auto"/>
              <w:jc w:val="right"/>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67.00</w:t>
            </w:r>
          </w:p>
        </w:tc>
      </w:tr>
    </w:tbl>
    <w:p>
      <w:pPr>
        <w:widowControl/>
        <w:spacing w:line="240" w:lineRule="auto"/>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Lines="50" w:line="240" w:lineRule="auto"/>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line="240" w:lineRule="auto"/>
        <w:jc w:val="center"/>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line="240" w:lineRule="auto"/>
        <w:outlineLvl w:val="1"/>
        <w:rPr>
          <w:rFonts w:hint="eastAsia"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8"/>
          <w:szCs w:val="28"/>
          <w:lang w:val="en-US" w:eastAsia="zh-CN"/>
        </w:rPr>
        <w:t>:</w:t>
      </w:r>
      <w:r>
        <w:rPr>
          <w:rFonts w:hint="eastAsia" w:ascii="仿宋_GB2312" w:hAnsi="宋体" w:eastAsia="仿宋_GB2312"/>
          <w:kern w:val="0"/>
          <w:sz w:val="28"/>
          <w:szCs w:val="28"/>
        </w:rPr>
        <w:t xml:space="preserve">县清水泉管委会                     </w:t>
      </w:r>
      <w:r>
        <w:rPr>
          <w:rFonts w:hint="eastAsia" w:ascii="仿宋_GB2312" w:hAnsi="宋体" w:eastAsia="仿宋_GB2312"/>
          <w:kern w:val="0"/>
          <w:sz w:val="28"/>
          <w:szCs w:val="28"/>
          <w:lang w:val="en-US" w:eastAsia="zh-CN"/>
        </w:rPr>
        <w:t xml:space="preserve"> </w:t>
      </w:r>
      <w:r>
        <w:rPr>
          <w:rFonts w:hint="eastAsia" w:ascii="仿宋_GB2312" w:hAnsi="宋体" w:eastAsia="仿宋_GB2312"/>
          <w:kern w:val="0"/>
          <w:sz w:val="28"/>
          <w:szCs w:val="28"/>
        </w:rPr>
        <w:t xml:space="preserve">      单位：万元</w:t>
      </w:r>
    </w:p>
    <w:tbl>
      <w:tblPr>
        <w:tblStyle w:val="9"/>
        <w:tblpPr w:leftFromText="180" w:rightFromText="180" w:vertAnchor="text" w:tblpXSpec="center" w:tblpY="1"/>
        <w:tblOverlap w:val="never"/>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230"/>
        <w:gridCol w:w="2694"/>
        <w:gridCol w:w="1022"/>
        <w:gridCol w:w="124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850" w:type="dxa"/>
            <w:gridSpan w:val="2"/>
            <w:noWrap/>
            <w:vAlign w:val="center"/>
          </w:tcPr>
          <w:p>
            <w:pPr>
              <w:widowControl/>
              <w:spacing w:line="240" w:lineRule="auto"/>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379" w:type="dxa"/>
            <w:gridSpan w:val="4"/>
            <w:noWrap/>
            <w:vAlign w:val="center"/>
          </w:tcPr>
          <w:p>
            <w:pPr>
              <w:widowControl/>
              <w:spacing w:line="240" w:lineRule="auto"/>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20" w:type="dxa"/>
            <w:vAlign w:val="center"/>
          </w:tcPr>
          <w:p>
            <w:pPr>
              <w:widowControl/>
              <w:spacing w:line="240" w:lineRule="auto"/>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项    目</w:t>
            </w:r>
          </w:p>
        </w:tc>
        <w:tc>
          <w:tcPr>
            <w:tcW w:w="1230" w:type="dxa"/>
            <w:vAlign w:val="center"/>
          </w:tcPr>
          <w:p>
            <w:pPr>
              <w:widowControl/>
              <w:spacing w:line="240" w:lineRule="auto"/>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合计</w:t>
            </w:r>
          </w:p>
        </w:tc>
        <w:tc>
          <w:tcPr>
            <w:tcW w:w="2694" w:type="dxa"/>
            <w:vAlign w:val="center"/>
          </w:tcPr>
          <w:p>
            <w:pPr>
              <w:widowControl/>
              <w:spacing w:line="240" w:lineRule="auto"/>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功  能  分  类</w:t>
            </w:r>
          </w:p>
        </w:tc>
        <w:tc>
          <w:tcPr>
            <w:tcW w:w="1022" w:type="dxa"/>
            <w:vAlign w:val="center"/>
          </w:tcPr>
          <w:p>
            <w:pPr>
              <w:widowControl/>
              <w:spacing w:line="240" w:lineRule="auto"/>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合计</w:t>
            </w:r>
          </w:p>
        </w:tc>
        <w:tc>
          <w:tcPr>
            <w:tcW w:w="1246" w:type="dxa"/>
            <w:vAlign w:val="center"/>
          </w:tcPr>
          <w:p>
            <w:pPr>
              <w:widowControl/>
              <w:spacing w:line="240" w:lineRule="auto"/>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一般公共预算</w:t>
            </w:r>
          </w:p>
        </w:tc>
        <w:tc>
          <w:tcPr>
            <w:tcW w:w="1417" w:type="dxa"/>
            <w:vAlign w:val="center"/>
          </w:tcPr>
          <w:p>
            <w:pPr>
              <w:widowControl/>
              <w:spacing w:line="240" w:lineRule="auto"/>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政府性基金预算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1620" w:type="dxa"/>
            <w:noWrap/>
            <w:vAlign w:val="center"/>
          </w:tcPr>
          <w:p>
            <w:pPr>
              <w:widowControl/>
              <w:jc w:val="left"/>
              <w:rPr>
                <w:rFonts w:ascii="宋体" w:cs="宋体"/>
                <w:kern w:val="0"/>
                <w:sz w:val="18"/>
                <w:szCs w:val="18"/>
              </w:rPr>
            </w:pPr>
            <w:r>
              <w:rPr>
                <w:rFonts w:hint="eastAsia" w:ascii="仿宋_GB2312" w:hAnsi="宋体" w:eastAsia="仿宋_GB2312" w:cs="宋体"/>
                <w:kern w:val="0"/>
                <w:sz w:val="18"/>
                <w:szCs w:val="18"/>
              </w:rPr>
              <w:t>财政拨款（补助）</w:t>
            </w:r>
          </w:p>
        </w:tc>
        <w:tc>
          <w:tcPr>
            <w:tcW w:w="1230" w:type="dxa"/>
            <w:vAlign w:val="center"/>
          </w:tcPr>
          <w:p>
            <w:pPr>
              <w:jc w:val="center"/>
              <w:rPr>
                <w:rFonts w:ascii="宋体"/>
              </w:rPr>
            </w:pPr>
            <w:r>
              <w:rPr>
                <w:rFonts w:hint="eastAsia" w:ascii="仿宋_GB2312" w:hAnsi="宋体" w:eastAsia="仿宋_GB2312" w:cs="宋体"/>
                <w:color w:val="000000"/>
                <w:kern w:val="0"/>
                <w:sz w:val="22"/>
                <w:szCs w:val="22"/>
                <w:lang w:val="en-US" w:eastAsia="zh-CN"/>
              </w:rPr>
              <w:t>166.01</w:t>
            </w:r>
          </w:p>
        </w:tc>
        <w:tc>
          <w:tcPr>
            <w:tcW w:w="2694" w:type="dxa"/>
            <w:noWrap/>
            <w:vAlign w:val="center"/>
          </w:tcPr>
          <w:p>
            <w:pPr>
              <w:widowControl/>
              <w:jc w:val="left"/>
              <w:rPr>
                <w:rFonts w:ascii="宋体" w:cs="宋体"/>
                <w:sz w:val="18"/>
                <w:szCs w:val="18"/>
              </w:rPr>
            </w:pPr>
            <w:r>
              <w:rPr>
                <w:rFonts w:ascii="仿宋_GB2312" w:hAnsi="宋体" w:eastAsia="仿宋_GB2312" w:cs="宋体"/>
                <w:kern w:val="0"/>
                <w:sz w:val="18"/>
                <w:szCs w:val="18"/>
              </w:rPr>
              <w:t xml:space="preserve">201 </w:t>
            </w:r>
            <w:r>
              <w:rPr>
                <w:rFonts w:hint="eastAsia" w:ascii="仿宋_GB2312" w:hAnsi="宋体" w:eastAsia="仿宋_GB2312" w:cs="宋体"/>
                <w:kern w:val="0"/>
                <w:sz w:val="18"/>
                <w:szCs w:val="18"/>
              </w:rPr>
              <w:t>一般公共服务支出</w:t>
            </w:r>
          </w:p>
        </w:tc>
        <w:tc>
          <w:tcPr>
            <w:tcW w:w="1022" w:type="dxa"/>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92.86</w:t>
            </w:r>
          </w:p>
        </w:tc>
        <w:tc>
          <w:tcPr>
            <w:tcW w:w="1246" w:type="dxa"/>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92.86</w:t>
            </w:r>
          </w:p>
        </w:tc>
        <w:tc>
          <w:tcPr>
            <w:tcW w:w="1417" w:type="dxa"/>
            <w:vAlign w:val="center"/>
          </w:tcPr>
          <w:p>
            <w:pPr>
              <w:widowControl/>
              <w:jc w:val="right"/>
              <w:rPr>
                <w:rFonts w:ascii="宋体" w:cs="Arial"/>
                <w:sz w:val="20"/>
                <w:szCs w:val="20"/>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pPr>
              <w:widowControl/>
              <w:jc w:val="left"/>
              <w:rPr>
                <w:rFonts w:ascii="宋体" w:cs="宋体"/>
                <w:color w:val="000000"/>
                <w:kern w:val="0"/>
                <w:sz w:val="18"/>
                <w:szCs w:val="18"/>
              </w:rPr>
            </w:pP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一般公共预算</w:t>
            </w:r>
          </w:p>
        </w:tc>
        <w:tc>
          <w:tcPr>
            <w:tcW w:w="1230"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166.01</w:t>
            </w:r>
          </w:p>
        </w:tc>
        <w:tc>
          <w:tcPr>
            <w:tcW w:w="2694" w:type="dxa"/>
            <w:noWrap/>
            <w:vAlign w:val="center"/>
          </w:tcPr>
          <w:p>
            <w:pPr>
              <w:widowControl/>
              <w:jc w:val="left"/>
              <w:rPr>
                <w:rFonts w:ascii="宋体" w:cs="宋体"/>
                <w:sz w:val="18"/>
                <w:szCs w:val="18"/>
              </w:rPr>
            </w:pPr>
            <w:r>
              <w:rPr>
                <w:rFonts w:ascii="仿宋_GB2312" w:hAnsi="宋体" w:eastAsia="仿宋_GB2312" w:cs="宋体"/>
                <w:kern w:val="0"/>
                <w:sz w:val="18"/>
                <w:szCs w:val="18"/>
              </w:rPr>
              <w:t xml:space="preserve">202 </w:t>
            </w:r>
            <w:r>
              <w:rPr>
                <w:rFonts w:hint="eastAsia" w:ascii="仿宋_GB2312" w:hAnsi="宋体" w:eastAsia="仿宋_GB2312" w:cs="宋体"/>
                <w:kern w:val="0"/>
                <w:sz w:val="18"/>
                <w:szCs w:val="18"/>
              </w:rPr>
              <w:t>外交支出</w:t>
            </w:r>
          </w:p>
        </w:tc>
        <w:tc>
          <w:tcPr>
            <w:tcW w:w="1022"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p>
        </w:tc>
        <w:tc>
          <w:tcPr>
            <w:tcW w:w="1246"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p>
        </w:tc>
        <w:tc>
          <w:tcPr>
            <w:tcW w:w="1417" w:type="dxa"/>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pPr>
              <w:widowControl/>
              <w:jc w:val="left"/>
              <w:rPr>
                <w:rFonts w:ascii="宋体" w:cs="宋体"/>
                <w:color w:val="000000"/>
                <w:kern w:val="0"/>
                <w:sz w:val="18"/>
                <w:szCs w:val="18"/>
              </w:rPr>
            </w:pP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政府性基金预算</w:t>
            </w:r>
          </w:p>
        </w:tc>
        <w:tc>
          <w:tcPr>
            <w:tcW w:w="1230"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2694" w:type="dxa"/>
            <w:noWrap/>
            <w:vAlign w:val="center"/>
          </w:tcPr>
          <w:p>
            <w:pPr>
              <w:widowControl/>
              <w:jc w:val="left"/>
              <w:rPr>
                <w:rFonts w:ascii="宋体" w:cs="宋体"/>
                <w:sz w:val="18"/>
                <w:szCs w:val="18"/>
              </w:rPr>
            </w:pPr>
            <w:r>
              <w:rPr>
                <w:rFonts w:ascii="仿宋_GB2312" w:hAnsi="宋体" w:eastAsia="仿宋_GB2312" w:cs="宋体"/>
                <w:kern w:val="0"/>
                <w:sz w:val="18"/>
                <w:szCs w:val="18"/>
              </w:rPr>
              <w:t xml:space="preserve">203 </w:t>
            </w:r>
            <w:r>
              <w:rPr>
                <w:rFonts w:hint="eastAsia" w:ascii="仿宋_GB2312" w:hAnsi="宋体" w:eastAsia="仿宋_GB2312" w:cs="宋体"/>
                <w:kern w:val="0"/>
                <w:sz w:val="18"/>
                <w:szCs w:val="18"/>
              </w:rPr>
              <w:t>国防支出</w:t>
            </w:r>
          </w:p>
        </w:tc>
        <w:tc>
          <w:tcPr>
            <w:tcW w:w="1022"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p>
        </w:tc>
        <w:tc>
          <w:tcPr>
            <w:tcW w:w="1246"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p>
        </w:tc>
        <w:tc>
          <w:tcPr>
            <w:tcW w:w="1417" w:type="dxa"/>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noWrap/>
            <w:vAlign w:val="bottom"/>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2694" w:type="dxa"/>
            <w:noWrap/>
            <w:vAlign w:val="center"/>
          </w:tcPr>
          <w:p>
            <w:pPr>
              <w:widowControl/>
              <w:jc w:val="left"/>
              <w:rPr>
                <w:rFonts w:ascii="宋体" w:cs="宋体"/>
                <w:sz w:val="18"/>
                <w:szCs w:val="18"/>
              </w:rPr>
            </w:pPr>
            <w:r>
              <w:rPr>
                <w:rFonts w:ascii="仿宋_GB2312" w:hAnsi="宋体" w:eastAsia="仿宋_GB2312" w:cs="宋体"/>
                <w:kern w:val="0"/>
                <w:sz w:val="18"/>
                <w:szCs w:val="18"/>
              </w:rPr>
              <w:t xml:space="preserve">204 </w:t>
            </w:r>
            <w:r>
              <w:rPr>
                <w:rFonts w:hint="eastAsia" w:ascii="仿宋_GB2312" w:hAnsi="宋体" w:eastAsia="仿宋_GB2312" w:cs="宋体"/>
                <w:kern w:val="0"/>
                <w:sz w:val="18"/>
                <w:szCs w:val="18"/>
              </w:rPr>
              <w:t>公共安全支出</w:t>
            </w:r>
          </w:p>
        </w:tc>
        <w:tc>
          <w:tcPr>
            <w:tcW w:w="1022" w:type="dxa"/>
          </w:tcPr>
          <w:p>
            <w:pPr>
              <w:widowControl/>
              <w:spacing w:line="240" w:lineRule="auto"/>
              <w:jc w:val="right"/>
              <w:rPr>
                <w:rFonts w:hint="eastAsia" w:ascii="仿宋_GB2312" w:hAnsi="宋体" w:eastAsia="仿宋_GB2312" w:cs="宋体"/>
                <w:color w:val="000000"/>
                <w:kern w:val="0"/>
                <w:sz w:val="22"/>
                <w:szCs w:val="22"/>
                <w:lang w:val="en-US" w:eastAsia="zh-CN"/>
              </w:rPr>
            </w:pPr>
          </w:p>
        </w:tc>
        <w:tc>
          <w:tcPr>
            <w:tcW w:w="1246" w:type="dxa"/>
          </w:tcPr>
          <w:p>
            <w:pPr>
              <w:widowControl/>
              <w:spacing w:line="240" w:lineRule="auto"/>
              <w:jc w:val="right"/>
              <w:rPr>
                <w:rFonts w:hint="eastAsia" w:ascii="仿宋_GB2312" w:hAnsi="宋体" w:eastAsia="仿宋_GB2312" w:cs="宋体"/>
                <w:color w:val="000000"/>
                <w:kern w:val="0"/>
                <w:sz w:val="22"/>
                <w:szCs w:val="22"/>
                <w:lang w:val="en-US" w:eastAsia="zh-CN"/>
              </w:rPr>
            </w:pPr>
          </w:p>
        </w:tc>
        <w:tc>
          <w:tcPr>
            <w:tcW w:w="1417" w:type="dxa"/>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noWrap/>
            <w:vAlign w:val="bottom"/>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2694" w:type="dxa"/>
            <w:noWrap/>
            <w:vAlign w:val="center"/>
          </w:tcPr>
          <w:p>
            <w:pPr>
              <w:widowControl/>
              <w:jc w:val="left"/>
              <w:rPr>
                <w:rFonts w:ascii="宋体" w:cs="宋体"/>
                <w:sz w:val="18"/>
                <w:szCs w:val="18"/>
              </w:rPr>
            </w:pPr>
            <w:r>
              <w:rPr>
                <w:rFonts w:ascii="仿宋_GB2312" w:hAnsi="宋体" w:eastAsia="仿宋_GB2312" w:cs="宋体"/>
                <w:kern w:val="0"/>
                <w:sz w:val="18"/>
                <w:szCs w:val="18"/>
              </w:rPr>
              <w:t xml:space="preserve">205 </w:t>
            </w:r>
            <w:r>
              <w:rPr>
                <w:rFonts w:hint="eastAsia" w:ascii="仿宋_GB2312" w:hAnsi="宋体" w:eastAsia="仿宋_GB2312" w:cs="宋体"/>
                <w:kern w:val="0"/>
                <w:sz w:val="18"/>
                <w:szCs w:val="18"/>
              </w:rPr>
              <w:t>教育支出</w:t>
            </w:r>
          </w:p>
        </w:tc>
        <w:tc>
          <w:tcPr>
            <w:tcW w:w="1022"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p>
        </w:tc>
        <w:tc>
          <w:tcPr>
            <w:tcW w:w="1246"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p>
        </w:tc>
        <w:tc>
          <w:tcPr>
            <w:tcW w:w="1417" w:type="dxa"/>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noWrap/>
            <w:vAlign w:val="bottom"/>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2694" w:type="dxa"/>
            <w:noWrap/>
            <w:vAlign w:val="center"/>
          </w:tcPr>
          <w:p>
            <w:pPr>
              <w:widowControl/>
              <w:jc w:val="left"/>
              <w:rPr>
                <w:rFonts w:ascii="宋体" w:cs="宋体"/>
                <w:sz w:val="18"/>
                <w:szCs w:val="18"/>
              </w:rPr>
            </w:pPr>
            <w:r>
              <w:rPr>
                <w:rFonts w:ascii="仿宋_GB2312" w:hAnsi="宋体" w:eastAsia="仿宋_GB2312" w:cs="宋体"/>
                <w:kern w:val="0"/>
                <w:sz w:val="18"/>
                <w:szCs w:val="18"/>
              </w:rPr>
              <w:t xml:space="preserve">206 </w:t>
            </w:r>
            <w:r>
              <w:rPr>
                <w:rFonts w:hint="eastAsia" w:ascii="仿宋_GB2312" w:hAnsi="宋体" w:eastAsia="仿宋_GB2312" w:cs="宋体"/>
                <w:kern w:val="0"/>
                <w:sz w:val="18"/>
                <w:szCs w:val="18"/>
              </w:rPr>
              <w:t>科学技术支出</w:t>
            </w:r>
          </w:p>
        </w:tc>
        <w:tc>
          <w:tcPr>
            <w:tcW w:w="1022"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p>
        </w:tc>
        <w:tc>
          <w:tcPr>
            <w:tcW w:w="1246"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p>
        </w:tc>
        <w:tc>
          <w:tcPr>
            <w:tcW w:w="1417" w:type="dxa"/>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noWrap/>
            <w:vAlign w:val="bottom"/>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2694" w:type="dxa"/>
            <w:noWrap/>
            <w:vAlign w:val="center"/>
          </w:tcPr>
          <w:p>
            <w:pPr>
              <w:widowControl/>
              <w:jc w:val="left"/>
              <w:rPr>
                <w:rFonts w:ascii="宋体" w:cs="宋体"/>
                <w:sz w:val="18"/>
                <w:szCs w:val="18"/>
              </w:rPr>
            </w:pPr>
            <w:r>
              <w:rPr>
                <w:rFonts w:ascii="仿宋_GB2312" w:hAnsi="宋体" w:eastAsia="仿宋_GB2312" w:cs="宋体"/>
                <w:kern w:val="0"/>
                <w:sz w:val="18"/>
                <w:szCs w:val="18"/>
              </w:rPr>
              <w:t xml:space="preserve">207 </w:t>
            </w:r>
            <w:r>
              <w:rPr>
                <w:rFonts w:hint="eastAsia" w:ascii="仿宋_GB2312" w:hAnsi="宋体" w:eastAsia="仿宋_GB2312" w:cs="宋体"/>
                <w:kern w:val="0"/>
                <w:sz w:val="18"/>
                <w:szCs w:val="18"/>
              </w:rPr>
              <w:t>文化旅游体育与传媒支出</w:t>
            </w:r>
          </w:p>
        </w:tc>
        <w:tc>
          <w:tcPr>
            <w:tcW w:w="1022"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p>
        </w:tc>
        <w:tc>
          <w:tcPr>
            <w:tcW w:w="1246"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p>
        </w:tc>
        <w:tc>
          <w:tcPr>
            <w:tcW w:w="1417" w:type="dxa"/>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noWrap/>
            <w:vAlign w:val="bottom"/>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2694" w:type="dxa"/>
            <w:noWrap/>
            <w:vAlign w:val="center"/>
          </w:tcPr>
          <w:p>
            <w:pPr>
              <w:widowControl/>
              <w:jc w:val="left"/>
              <w:rPr>
                <w:rFonts w:ascii="宋体" w:cs="宋体"/>
                <w:sz w:val="18"/>
                <w:szCs w:val="18"/>
              </w:rPr>
            </w:pPr>
            <w:r>
              <w:rPr>
                <w:rFonts w:ascii="仿宋_GB2312" w:hAnsi="宋体" w:eastAsia="仿宋_GB2312" w:cs="宋体"/>
                <w:kern w:val="0"/>
                <w:sz w:val="18"/>
                <w:szCs w:val="18"/>
              </w:rPr>
              <w:t xml:space="preserve">208 </w:t>
            </w:r>
            <w:r>
              <w:rPr>
                <w:rFonts w:hint="eastAsia" w:ascii="仿宋_GB2312" w:hAnsi="宋体" w:eastAsia="仿宋_GB2312" w:cs="宋体"/>
                <w:kern w:val="0"/>
                <w:sz w:val="18"/>
                <w:szCs w:val="18"/>
              </w:rPr>
              <w:t>社会保障和就业支出</w:t>
            </w:r>
          </w:p>
        </w:tc>
        <w:tc>
          <w:tcPr>
            <w:tcW w:w="1022"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73.15</w:t>
            </w:r>
          </w:p>
        </w:tc>
        <w:tc>
          <w:tcPr>
            <w:tcW w:w="1246"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73.15</w:t>
            </w:r>
          </w:p>
        </w:tc>
        <w:tc>
          <w:tcPr>
            <w:tcW w:w="1417" w:type="dxa"/>
            <w:vAlign w:val="center"/>
          </w:tcPr>
          <w:p>
            <w:pPr>
              <w:widowControl/>
              <w:jc w:val="right"/>
              <w:rPr>
                <w:rFonts w:ascii="宋体" w:cs="Arial"/>
                <w:sz w:val="20"/>
                <w:szCs w:val="20"/>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noWrap/>
            <w:vAlign w:val="bottom"/>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2694" w:type="dxa"/>
            <w:noWrap/>
            <w:vAlign w:val="center"/>
          </w:tcPr>
          <w:p>
            <w:pPr>
              <w:widowControl/>
              <w:jc w:val="left"/>
              <w:rPr>
                <w:rFonts w:ascii="宋体" w:cs="宋体"/>
                <w:sz w:val="18"/>
                <w:szCs w:val="18"/>
              </w:rPr>
            </w:pPr>
            <w:r>
              <w:rPr>
                <w:rFonts w:ascii="仿宋_GB2312" w:hAnsi="宋体" w:eastAsia="仿宋_GB2312" w:cs="宋体"/>
                <w:kern w:val="0"/>
                <w:sz w:val="18"/>
                <w:szCs w:val="18"/>
              </w:rPr>
              <w:t xml:space="preserve">209 </w:t>
            </w:r>
            <w:r>
              <w:rPr>
                <w:rFonts w:hint="eastAsia" w:ascii="仿宋_GB2312" w:hAnsi="宋体" w:eastAsia="仿宋_GB2312" w:cs="宋体"/>
                <w:kern w:val="0"/>
                <w:sz w:val="18"/>
                <w:szCs w:val="18"/>
              </w:rPr>
              <w:t>社会保险基金支出</w:t>
            </w:r>
          </w:p>
        </w:tc>
        <w:tc>
          <w:tcPr>
            <w:tcW w:w="1022"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1246"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1417" w:type="dxa"/>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noWrap/>
            <w:vAlign w:val="bottom"/>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2694" w:type="dxa"/>
            <w:noWrap/>
            <w:vAlign w:val="center"/>
          </w:tcPr>
          <w:p>
            <w:pPr>
              <w:widowControl/>
              <w:jc w:val="left"/>
              <w:rPr>
                <w:rFonts w:ascii="宋体" w:cs="宋体"/>
                <w:sz w:val="18"/>
                <w:szCs w:val="18"/>
              </w:rPr>
            </w:pPr>
            <w:r>
              <w:rPr>
                <w:rFonts w:ascii="仿宋_GB2312" w:hAnsi="宋体" w:eastAsia="仿宋_GB2312" w:cs="宋体"/>
                <w:kern w:val="0"/>
                <w:sz w:val="15"/>
                <w:szCs w:val="15"/>
              </w:rPr>
              <w:t xml:space="preserve">210 </w:t>
            </w:r>
            <w:r>
              <w:rPr>
                <w:rFonts w:hint="eastAsia" w:ascii="仿宋_GB2312" w:hAnsi="宋体" w:eastAsia="仿宋_GB2312" w:cs="宋体"/>
                <w:kern w:val="0"/>
                <w:sz w:val="18"/>
                <w:szCs w:val="18"/>
              </w:rPr>
              <w:t>卫生健康支出</w:t>
            </w:r>
          </w:p>
        </w:tc>
        <w:tc>
          <w:tcPr>
            <w:tcW w:w="1022"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1246"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1417" w:type="dxa"/>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noWrap/>
            <w:vAlign w:val="bottom"/>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2694" w:type="dxa"/>
            <w:noWrap/>
            <w:vAlign w:val="center"/>
          </w:tcPr>
          <w:p>
            <w:pPr>
              <w:widowControl/>
              <w:jc w:val="left"/>
              <w:rPr>
                <w:rFonts w:ascii="宋体" w:cs="宋体"/>
                <w:sz w:val="18"/>
                <w:szCs w:val="18"/>
              </w:rPr>
            </w:pPr>
            <w:r>
              <w:rPr>
                <w:rFonts w:ascii="仿宋_GB2312" w:hAnsi="宋体" w:eastAsia="仿宋_GB2312" w:cs="宋体"/>
                <w:kern w:val="0"/>
                <w:sz w:val="18"/>
                <w:szCs w:val="18"/>
              </w:rPr>
              <w:t xml:space="preserve">211 </w:t>
            </w:r>
            <w:r>
              <w:rPr>
                <w:rFonts w:hint="eastAsia" w:ascii="仿宋_GB2312" w:hAnsi="宋体" w:eastAsia="仿宋_GB2312" w:cs="宋体"/>
                <w:kern w:val="0"/>
                <w:sz w:val="18"/>
                <w:szCs w:val="18"/>
              </w:rPr>
              <w:t>节能环保支出</w:t>
            </w:r>
          </w:p>
        </w:tc>
        <w:tc>
          <w:tcPr>
            <w:tcW w:w="1022"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1246"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1417" w:type="dxa"/>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noWrap/>
            <w:vAlign w:val="bottom"/>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2694" w:type="dxa"/>
            <w:noWrap/>
            <w:vAlign w:val="center"/>
          </w:tcPr>
          <w:p>
            <w:pPr>
              <w:widowControl/>
              <w:jc w:val="left"/>
              <w:rPr>
                <w:rFonts w:ascii="宋体" w:cs="宋体"/>
                <w:sz w:val="18"/>
                <w:szCs w:val="18"/>
              </w:rPr>
            </w:pPr>
            <w:r>
              <w:rPr>
                <w:rFonts w:ascii="仿宋_GB2312" w:hAnsi="宋体" w:eastAsia="仿宋_GB2312" w:cs="宋体"/>
                <w:kern w:val="0"/>
                <w:sz w:val="18"/>
                <w:szCs w:val="18"/>
              </w:rPr>
              <w:t xml:space="preserve">212 </w:t>
            </w:r>
            <w:r>
              <w:rPr>
                <w:rFonts w:hint="eastAsia" w:ascii="仿宋_GB2312" w:hAnsi="宋体" w:eastAsia="仿宋_GB2312" w:cs="宋体"/>
                <w:kern w:val="0"/>
                <w:sz w:val="18"/>
                <w:szCs w:val="18"/>
              </w:rPr>
              <w:t>城乡社区支出</w:t>
            </w:r>
          </w:p>
        </w:tc>
        <w:tc>
          <w:tcPr>
            <w:tcW w:w="1022"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1246"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1417" w:type="dxa"/>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noWrap/>
            <w:vAlign w:val="bottom"/>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2694" w:type="dxa"/>
            <w:noWrap/>
            <w:vAlign w:val="center"/>
          </w:tcPr>
          <w:p>
            <w:pPr>
              <w:widowControl/>
              <w:jc w:val="left"/>
              <w:rPr>
                <w:rFonts w:ascii="宋体" w:cs="宋体"/>
                <w:sz w:val="18"/>
                <w:szCs w:val="18"/>
              </w:rPr>
            </w:pPr>
            <w:r>
              <w:rPr>
                <w:rFonts w:ascii="仿宋_GB2312" w:hAnsi="宋体" w:eastAsia="仿宋_GB2312" w:cs="宋体"/>
                <w:kern w:val="0"/>
                <w:sz w:val="18"/>
                <w:szCs w:val="18"/>
              </w:rPr>
              <w:t xml:space="preserve">213 </w:t>
            </w:r>
            <w:r>
              <w:rPr>
                <w:rFonts w:hint="eastAsia" w:ascii="仿宋_GB2312" w:hAnsi="宋体" w:eastAsia="仿宋_GB2312" w:cs="宋体"/>
                <w:kern w:val="0"/>
                <w:sz w:val="18"/>
                <w:szCs w:val="18"/>
              </w:rPr>
              <w:t>农林水支出</w:t>
            </w:r>
          </w:p>
        </w:tc>
        <w:tc>
          <w:tcPr>
            <w:tcW w:w="1022"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1246"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1417" w:type="dxa"/>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noWrap/>
            <w:vAlign w:val="bottom"/>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2694" w:type="dxa"/>
            <w:noWrap/>
            <w:vAlign w:val="center"/>
          </w:tcPr>
          <w:p>
            <w:pPr>
              <w:widowControl/>
              <w:jc w:val="left"/>
              <w:rPr>
                <w:rFonts w:ascii="宋体" w:cs="宋体"/>
                <w:sz w:val="18"/>
                <w:szCs w:val="18"/>
              </w:rPr>
            </w:pPr>
            <w:r>
              <w:rPr>
                <w:rFonts w:ascii="仿宋_GB2312" w:hAnsi="宋体" w:eastAsia="仿宋_GB2312" w:cs="宋体"/>
                <w:kern w:val="0"/>
                <w:sz w:val="18"/>
                <w:szCs w:val="18"/>
              </w:rPr>
              <w:t xml:space="preserve">214 </w:t>
            </w:r>
            <w:r>
              <w:rPr>
                <w:rFonts w:hint="eastAsia" w:ascii="仿宋_GB2312" w:hAnsi="宋体" w:eastAsia="仿宋_GB2312" w:cs="宋体"/>
                <w:kern w:val="0"/>
                <w:sz w:val="18"/>
                <w:szCs w:val="18"/>
              </w:rPr>
              <w:t>交通运输支出</w:t>
            </w:r>
          </w:p>
        </w:tc>
        <w:tc>
          <w:tcPr>
            <w:tcW w:w="1022"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1246"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1417" w:type="dxa"/>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noWrap/>
            <w:vAlign w:val="bottom"/>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2694" w:type="dxa"/>
            <w:noWrap/>
            <w:vAlign w:val="center"/>
          </w:tcPr>
          <w:p>
            <w:pPr>
              <w:widowControl/>
              <w:jc w:val="left"/>
              <w:rPr>
                <w:rFonts w:ascii="宋体" w:cs="宋体"/>
                <w:sz w:val="18"/>
                <w:szCs w:val="18"/>
              </w:rPr>
            </w:pPr>
            <w:r>
              <w:rPr>
                <w:rFonts w:ascii="仿宋_GB2312" w:hAnsi="宋体" w:eastAsia="仿宋_GB2312" w:cs="宋体"/>
                <w:kern w:val="0"/>
                <w:sz w:val="18"/>
                <w:szCs w:val="18"/>
              </w:rPr>
              <w:t xml:space="preserve">215 </w:t>
            </w:r>
            <w:r>
              <w:rPr>
                <w:rFonts w:hint="eastAsia" w:ascii="仿宋_GB2312" w:hAnsi="宋体" w:eastAsia="仿宋_GB2312" w:cs="宋体"/>
                <w:kern w:val="0"/>
                <w:sz w:val="18"/>
                <w:szCs w:val="18"/>
              </w:rPr>
              <w:t>资源勘探信息等支出</w:t>
            </w:r>
          </w:p>
        </w:tc>
        <w:tc>
          <w:tcPr>
            <w:tcW w:w="1022"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1246"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1417" w:type="dxa"/>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noWrap/>
            <w:vAlign w:val="bottom"/>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2694" w:type="dxa"/>
            <w:noWrap/>
            <w:vAlign w:val="center"/>
          </w:tcPr>
          <w:p>
            <w:pPr>
              <w:widowControl/>
              <w:jc w:val="left"/>
              <w:rPr>
                <w:rFonts w:ascii="宋体" w:cs="宋体"/>
                <w:sz w:val="18"/>
                <w:szCs w:val="18"/>
              </w:rPr>
            </w:pPr>
            <w:r>
              <w:rPr>
                <w:rFonts w:ascii="仿宋_GB2312" w:hAnsi="宋体" w:eastAsia="仿宋_GB2312" w:cs="宋体"/>
                <w:kern w:val="0"/>
                <w:sz w:val="18"/>
                <w:szCs w:val="18"/>
              </w:rPr>
              <w:t xml:space="preserve">216 </w:t>
            </w:r>
            <w:r>
              <w:rPr>
                <w:rFonts w:hint="eastAsia" w:ascii="仿宋_GB2312" w:hAnsi="宋体" w:eastAsia="仿宋_GB2312" w:cs="宋体"/>
                <w:kern w:val="0"/>
                <w:sz w:val="18"/>
                <w:szCs w:val="18"/>
              </w:rPr>
              <w:t>商业服务业等支出</w:t>
            </w:r>
          </w:p>
        </w:tc>
        <w:tc>
          <w:tcPr>
            <w:tcW w:w="1022"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1246"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1417" w:type="dxa"/>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noWrap/>
            <w:vAlign w:val="bottom"/>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2694" w:type="dxa"/>
            <w:noWrap/>
            <w:vAlign w:val="center"/>
          </w:tcPr>
          <w:p>
            <w:pPr>
              <w:widowControl/>
              <w:jc w:val="left"/>
              <w:rPr>
                <w:rFonts w:ascii="宋体" w:cs="宋体"/>
                <w:sz w:val="18"/>
                <w:szCs w:val="18"/>
              </w:rPr>
            </w:pPr>
            <w:r>
              <w:rPr>
                <w:rFonts w:ascii="仿宋_GB2312" w:hAnsi="宋体" w:eastAsia="仿宋_GB2312" w:cs="宋体"/>
                <w:kern w:val="0"/>
                <w:sz w:val="18"/>
                <w:szCs w:val="18"/>
              </w:rPr>
              <w:t xml:space="preserve">217 </w:t>
            </w:r>
            <w:r>
              <w:rPr>
                <w:rFonts w:hint="eastAsia" w:ascii="仿宋_GB2312" w:hAnsi="宋体" w:eastAsia="仿宋_GB2312" w:cs="宋体"/>
                <w:kern w:val="0"/>
                <w:sz w:val="18"/>
                <w:szCs w:val="18"/>
              </w:rPr>
              <w:t>金融支出</w:t>
            </w:r>
          </w:p>
        </w:tc>
        <w:tc>
          <w:tcPr>
            <w:tcW w:w="1022"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1246"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1417" w:type="dxa"/>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noWrap/>
            <w:vAlign w:val="bottom"/>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2694" w:type="dxa"/>
            <w:noWrap/>
            <w:vAlign w:val="center"/>
          </w:tcPr>
          <w:p>
            <w:pPr>
              <w:widowControl/>
              <w:jc w:val="left"/>
              <w:rPr>
                <w:rFonts w:ascii="宋体" w:cs="宋体"/>
                <w:sz w:val="18"/>
                <w:szCs w:val="18"/>
              </w:rPr>
            </w:pPr>
            <w:r>
              <w:rPr>
                <w:rFonts w:ascii="仿宋_GB2312" w:hAnsi="宋体" w:eastAsia="仿宋_GB2312" w:cs="宋体"/>
                <w:kern w:val="0"/>
                <w:sz w:val="18"/>
                <w:szCs w:val="18"/>
              </w:rPr>
              <w:t xml:space="preserve">219 </w:t>
            </w:r>
            <w:r>
              <w:rPr>
                <w:rFonts w:hint="eastAsia" w:ascii="仿宋_GB2312" w:hAnsi="宋体" w:eastAsia="仿宋_GB2312" w:cs="宋体"/>
                <w:kern w:val="0"/>
                <w:sz w:val="18"/>
                <w:szCs w:val="18"/>
              </w:rPr>
              <w:t>援助其他地区支出</w:t>
            </w:r>
          </w:p>
        </w:tc>
        <w:tc>
          <w:tcPr>
            <w:tcW w:w="1022"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1246"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1417" w:type="dxa"/>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noWrap/>
            <w:vAlign w:val="bottom"/>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2694" w:type="dxa"/>
            <w:noWrap/>
            <w:vAlign w:val="center"/>
          </w:tcPr>
          <w:p>
            <w:pPr>
              <w:widowControl/>
              <w:jc w:val="left"/>
              <w:rPr>
                <w:rFonts w:ascii="宋体" w:cs="宋体"/>
                <w:sz w:val="18"/>
                <w:szCs w:val="18"/>
              </w:rPr>
            </w:pPr>
            <w:r>
              <w:rPr>
                <w:rFonts w:ascii="仿宋_GB2312" w:hAnsi="宋体" w:eastAsia="仿宋_GB2312" w:cs="宋体"/>
                <w:kern w:val="0"/>
                <w:sz w:val="18"/>
                <w:szCs w:val="18"/>
              </w:rPr>
              <w:t xml:space="preserve">220 </w:t>
            </w:r>
            <w:r>
              <w:rPr>
                <w:rFonts w:hint="eastAsia" w:ascii="仿宋_GB2312" w:hAnsi="宋体" w:eastAsia="仿宋_GB2312" w:cs="宋体"/>
                <w:kern w:val="0"/>
                <w:sz w:val="18"/>
                <w:szCs w:val="18"/>
              </w:rPr>
              <w:t>自然资源海洋气象等支出</w:t>
            </w:r>
          </w:p>
        </w:tc>
        <w:tc>
          <w:tcPr>
            <w:tcW w:w="1022"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1246"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1417" w:type="dxa"/>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noWrap/>
            <w:vAlign w:val="bottom"/>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2694" w:type="dxa"/>
            <w:noWrap/>
            <w:vAlign w:val="center"/>
          </w:tcPr>
          <w:p>
            <w:pPr>
              <w:widowControl/>
              <w:jc w:val="left"/>
              <w:rPr>
                <w:rFonts w:ascii="宋体" w:cs="宋体"/>
                <w:sz w:val="18"/>
                <w:szCs w:val="18"/>
              </w:rPr>
            </w:pPr>
            <w:r>
              <w:rPr>
                <w:rFonts w:ascii="仿宋_GB2312" w:hAnsi="宋体" w:eastAsia="仿宋_GB2312" w:cs="宋体"/>
                <w:kern w:val="0"/>
                <w:sz w:val="18"/>
                <w:szCs w:val="18"/>
              </w:rPr>
              <w:t xml:space="preserve">221 </w:t>
            </w:r>
            <w:r>
              <w:rPr>
                <w:rFonts w:hint="eastAsia" w:ascii="仿宋_GB2312" w:hAnsi="宋体" w:eastAsia="仿宋_GB2312" w:cs="宋体"/>
                <w:kern w:val="0"/>
                <w:sz w:val="18"/>
                <w:szCs w:val="18"/>
              </w:rPr>
              <w:t>住房保障支出</w:t>
            </w:r>
          </w:p>
        </w:tc>
        <w:tc>
          <w:tcPr>
            <w:tcW w:w="1022"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1246"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1417" w:type="dxa"/>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noWrap/>
            <w:vAlign w:val="bottom"/>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2694" w:type="dxa"/>
            <w:noWrap/>
            <w:vAlign w:val="center"/>
          </w:tcPr>
          <w:p>
            <w:pPr>
              <w:widowControl/>
              <w:jc w:val="left"/>
              <w:rPr>
                <w:rFonts w:ascii="宋体" w:cs="宋体"/>
                <w:sz w:val="18"/>
                <w:szCs w:val="18"/>
              </w:rPr>
            </w:pPr>
            <w:r>
              <w:rPr>
                <w:rFonts w:ascii="仿宋_GB2312" w:hAnsi="宋体" w:eastAsia="仿宋_GB2312" w:cs="宋体"/>
                <w:kern w:val="0"/>
                <w:sz w:val="18"/>
                <w:szCs w:val="18"/>
              </w:rPr>
              <w:t xml:space="preserve">222 </w:t>
            </w:r>
            <w:r>
              <w:rPr>
                <w:rFonts w:hint="eastAsia" w:ascii="仿宋_GB2312" w:hAnsi="宋体" w:eastAsia="仿宋_GB2312" w:cs="宋体"/>
                <w:kern w:val="0"/>
                <w:sz w:val="18"/>
                <w:szCs w:val="18"/>
              </w:rPr>
              <w:t>粮油物资储备支出</w:t>
            </w:r>
          </w:p>
        </w:tc>
        <w:tc>
          <w:tcPr>
            <w:tcW w:w="1022"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1246"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1417" w:type="dxa"/>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noWrap/>
            <w:vAlign w:val="bottom"/>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2694" w:type="dxa"/>
            <w:noWrap/>
            <w:vAlign w:val="center"/>
          </w:tcPr>
          <w:p>
            <w:pPr>
              <w:widowControl/>
              <w:jc w:val="left"/>
              <w:rPr>
                <w:rFonts w:ascii="宋体" w:cs="宋体"/>
                <w:sz w:val="18"/>
                <w:szCs w:val="18"/>
              </w:rPr>
            </w:pPr>
            <w:r>
              <w:rPr>
                <w:rFonts w:ascii="仿宋_GB2312" w:hAnsi="宋体" w:eastAsia="仿宋_GB2312" w:cs="宋体"/>
                <w:kern w:val="0"/>
                <w:sz w:val="15"/>
                <w:szCs w:val="15"/>
              </w:rPr>
              <w:t>2</w:t>
            </w:r>
            <w:r>
              <w:rPr>
                <w:rFonts w:ascii="仿宋_GB2312" w:hAnsi="宋体" w:eastAsia="仿宋_GB2312" w:cs="宋体"/>
                <w:color w:val="000000"/>
                <w:kern w:val="0"/>
                <w:sz w:val="15"/>
                <w:szCs w:val="15"/>
              </w:rPr>
              <w:t xml:space="preserve">23 </w:t>
            </w:r>
            <w:r>
              <w:rPr>
                <w:rFonts w:hint="eastAsia" w:ascii="仿宋_GB2312" w:hAnsi="宋体" w:eastAsia="仿宋_GB2312" w:cs="宋体"/>
                <w:color w:val="000000"/>
                <w:kern w:val="0"/>
                <w:sz w:val="15"/>
                <w:szCs w:val="15"/>
              </w:rPr>
              <w:t>国有资本经营预算支出</w:t>
            </w:r>
          </w:p>
        </w:tc>
        <w:tc>
          <w:tcPr>
            <w:tcW w:w="1022"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1246"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1417" w:type="dxa"/>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pPr>
              <w:widowControl/>
              <w:jc w:val="left"/>
              <w:rPr>
                <w:rFonts w:ascii="宋体" w:cs="宋体"/>
                <w:kern w:val="0"/>
                <w:sz w:val="18"/>
                <w:szCs w:val="18"/>
              </w:rPr>
            </w:pPr>
          </w:p>
        </w:tc>
        <w:tc>
          <w:tcPr>
            <w:tcW w:w="1230" w:type="dxa"/>
            <w:noWrap/>
            <w:vAlign w:val="bottom"/>
          </w:tcPr>
          <w:p>
            <w:pPr>
              <w:widowControl/>
              <w:spacing w:line="240" w:lineRule="auto"/>
              <w:jc w:val="right"/>
              <w:rPr>
                <w:rFonts w:hint="eastAsia" w:ascii="仿宋_GB2312" w:hAnsi="宋体" w:eastAsia="仿宋_GB2312" w:cs="宋体"/>
                <w:color w:val="000000"/>
                <w:kern w:val="0"/>
                <w:sz w:val="22"/>
                <w:szCs w:val="22"/>
                <w:lang w:val="en-US" w:eastAsia="zh-CN"/>
              </w:rPr>
            </w:pPr>
          </w:p>
        </w:tc>
        <w:tc>
          <w:tcPr>
            <w:tcW w:w="2694" w:type="dxa"/>
            <w:noWrap/>
            <w:vAlign w:val="center"/>
          </w:tcPr>
          <w:p>
            <w:pPr>
              <w:widowControl/>
              <w:jc w:val="left"/>
              <w:rPr>
                <w:rFonts w:ascii="宋体" w:cs="宋体"/>
                <w:sz w:val="18"/>
                <w:szCs w:val="18"/>
              </w:rPr>
            </w:pPr>
            <w:r>
              <w:rPr>
                <w:rFonts w:ascii="仿宋_GB2312" w:hAnsi="宋体" w:eastAsia="仿宋_GB2312" w:cs="宋体"/>
                <w:kern w:val="0"/>
                <w:sz w:val="18"/>
                <w:szCs w:val="18"/>
              </w:rPr>
              <w:t xml:space="preserve">224 </w:t>
            </w:r>
            <w:r>
              <w:rPr>
                <w:rFonts w:hint="eastAsia" w:ascii="仿宋_GB2312" w:hAnsi="宋体" w:eastAsia="仿宋_GB2312" w:cs="宋体"/>
                <w:kern w:val="0"/>
                <w:sz w:val="18"/>
                <w:szCs w:val="18"/>
              </w:rPr>
              <w:t>灾害防治及应急管理支出</w:t>
            </w:r>
          </w:p>
        </w:tc>
        <w:tc>
          <w:tcPr>
            <w:tcW w:w="1022"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p>
        </w:tc>
        <w:tc>
          <w:tcPr>
            <w:tcW w:w="1246"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p>
        </w:tc>
        <w:tc>
          <w:tcPr>
            <w:tcW w:w="1417" w:type="dxa"/>
            <w:vAlign w:val="center"/>
          </w:tcPr>
          <w:p>
            <w:pPr>
              <w:widowControl/>
              <w:jc w:val="righ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noWrap/>
            <w:vAlign w:val="bottom"/>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2694" w:type="dxa"/>
            <w:noWrap/>
            <w:vAlign w:val="center"/>
          </w:tcPr>
          <w:p>
            <w:pPr>
              <w:widowControl/>
              <w:jc w:val="left"/>
              <w:rPr>
                <w:rFonts w:ascii="宋体" w:cs="宋体"/>
                <w:sz w:val="18"/>
                <w:szCs w:val="18"/>
              </w:rPr>
            </w:pPr>
            <w:r>
              <w:rPr>
                <w:rFonts w:ascii="仿宋_GB2312" w:hAnsi="宋体" w:eastAsia="仿宋_GB2312" w:cs="宋体"/>
                <w:kern w:val="0"/>
                <w:sz w:val="18"/>
                <w:szCs w:val="18"/>
              </w:rPr>
              <w:t xml:space="preserve">227 </w:t>
            </w:r>
            <w:r>
              <w:rPr>
                <w:rFonts w:hint="eastAsia" w:ascii="仿宋_GB2312" w:hAnsi="宋体" w:eastAsia="仿宋_GB2312" w:cs="宋体"/>
                <w:kern w:val="0"/>
                <w:sz w:val="18"/>
                <w:szCs w:val="18"/>
              </w:rPr>
              <w:t>预备费</w:t>
            </w:r>
          </w:p>
        </w:tc>
        <w:tc>
          <w:tcPr>
            <w:tcW w:w="1022"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1246"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1417" w:type="dxa"/>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noWrap/>
            <w:vAlign w:val="bottom"/>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2694" w:type="dxa"/>
            <w:noWrap/>
            <w:vAlign w:val="center"/>
          </w:tcPr>
          <w:p>
            <w:pPr>
              <w:widowControl/>
              <w:jc w:val="left"/>
              <w:rPr>
                <w:rFonts w:ascii="宋体" w:cs="宋体"/>
                <w:sz w:val="18"/>
                <w:szCs w:val="18"/>
              </w:rPr>
            </w:pPr>
            <w:r>
              <w:rPr>
                <w:rFonts w:ascii="仿宋_GB2312" w:hAnsi="宋体" w:eastAsia="仿宋_GB2312" w:cs="宋体"/>
                <w:kern w:val="0"/>
                <w:sz w:val="18"/>
                <w:szCs w:val="18"/>
              </w:rPr>
              <w:t xml:space="preserve">229 </w:t>
            </w:r>
            <w:r>
              <w:rPr>
                <w:rFonts w:hint="eastAsia" w:ascii="仿宋_GB2312" w:hAnsi="宋体" w:eastAsia="仿宋_GB2312" w:cs="宋体"/>
                <w:kern w:val="0"/>
                <w:sz w:val="18"/>
                <w:szCs w:val="18"/>
              </w:rPr>
              <w:t>其他支出</w:t>
            </w:r>
          </w:p>
        </w:tc>
        <w:tc>
          <w:tcPr>
            <w:tcW w:w="1022"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1246"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1417" w:type="dxa"/>
            <w:vAlign w:val="center"/>
          </w:tcPr>
          <w:p>
            <w:pPr>
              <w:widowControl/>
              <w:jc w:val="right"/>
              <w:rPr>
                <w:rFonts w:ascii="宋体" w:cs="宋体"/>
                <w:color w:val="000000"/>
                <w:kern w:val="0"/>
                <w:sz w:val="22"/>
                <w:szCs w:val="22"/>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noWrap/>
            <w:vAlign w:val="bottom"/>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2694" w:type="dxa"/>
            <w:noWrap/>
            <w:vAlign w:val="center"/>
          </w:tcPr>
          <w:p>
            <w:pPr>
              <w:widowControl/>
              <w:jc w:val="left"/>
              <w:rPr>
                <w:rFonts w:ascii="宋体" w:cs="宋体"/>
                <w:sz w:val="18"/>
                <w:szCs w:val="18"/>
              </w:rPr>
            </w:pPr>
            <w:r>
              <w:rPr>
                <w:rFonts w:ascii="仿宋_GB2312" w:hAnsi="宋体" w:eastAsia="仿宋_GB2312" w:cs="宋体"/>
                <w:kern w:val="0"/>
                <w:sz w:val="18"/>
                <w:szCs w:val="18"/>
              </w:rPr>
              <w:t>2</w:t>
            </w:r>
            <w:r>
              <w:rPr>
                <w:rFonts w:ascii="仿宋_GB2312" w:hAnsi="宋体" w:eastAsia="仿宋_GB2312" w:cs="宋体"/>
                <w:color w:val="000000"/>
                <w:kern w:val="0"/>
                <w:sz w:val="18"/>
                <w:szCs w:val="18"/>
              </w:rPr>
              <w:t xml:space="preserve">31 </w:t>
            </w:r>
            <w:r>
              <w:rPr>
                <w:rFonts w:hint="eastAsia" w:ascii="仿宋_GB2312" w:hAnsi="宋体" w:eastAsia="仿宋_GB2312" w:cs="宋体"/>
                <w:color w:val="000000"/>
                <w:kern w:val="0"/>
                <w:sz w:val="18"/>
                <w:szCs w:val="18"/>
              </w:rPr>
              <w:t>债务还本支出</w:t>
            </w:r>
          </w:p>
        </w:tc>
        <w:tc>
          <w:tcPr>
            <w:tcW w:w="1022"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1246"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1417" w:type="dxa"/>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noWrap/>
            <w:vAlign w:val="bottom"/>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2694" w:type="dxa"/>
            <w:noWrap/>
            <w:vAlign w:val="center"/>
          </w:tcPr>
          <w:p>
            <w:pPr>
              <w:widowControl/>
              <w:jc w:val="left"/>
              <w:rPr>
                <w:rFonts w:ascii="宋体" w:cs="宋体"/>
                <w:sz w:val="18"/>
                <w:szCs w:val="18"/>
              </w:rPr>
            </w:pPr>
            <w:r>
              <w:rPr>
                <w:rFonts w:ascii="仿宋_GB2312" w:hAnsi="宋体" w:eastAsia="仿宋_GB2312" w:cs="宋体"/>
                <w:kern w:val="0"/>
                <w:sz w:val="18"/>
                <w:szCs w:val="18"/>
              </w:rPr>
              <w:t>2</w:t>
            </w:r>
            <w:r>
              <w:rPr>
                <w:rFonts w:ascii="仿宋_GB2312" w:hAnsi="宋体" w:eastAsia="仿宋_GB2312" w:cs="宋体"/>
                <w:color w:val="000000"/>
                <w:kern w:val="0"/>
                <w:sz w:val="18"/>
                <w:szCs w:val="18"/>
              </w:rPr>
              <w:t xml:space="preserve">32 </w:t>
            </w:r>
            <w:r>
              <w:rPr>
                <w:rFonts w:hint="eastAsia" w:ascii="仿宋_GB2312" w:hAnsi="宋体" w:eastAsia="仿宋_GB2312" w:cs="宋体"/>
                <w:color w:val="000000"/>
                <w:kern w:val="0"/>
                <w:sz w:val="18"/>
                <w:szCs w:val="18"/>
              </w:rPr>
              <w:t>债务付息支出</w:t>
            </w:r>
          </w:p>
        </w:tc>
        <w:tc>
          <w:tcPr>
            <w:tcW w:w="1022"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1246"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1417" w:type="dxa"/>
            <w:vAlign w:val="center"/>
          </w:tcPr>
          <w:p>
            <w:pPr>
              <w:widowControl/>
              <w:jc w:val="right"/>
              <w:rPr>
                <w:rFonts w:ascii="宋体" w:cs="宋体"/>
                <w:kern w:val="0"/>
                <w:sz w:val="18"/>
                <w:szCs w:val="18"/>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noWrap/>
            <w:vAlign w:val="bottom"/>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2694" w:type="dxa"/>
            <w:noWrap/>
            <w:vAlign w:val="center"/>
          </w:tcPr>
          <w:p>
            <w:pPr>
              <w:widowControl/>
              <w:jc w:val="left"/>
              <w:rPr>
                <w:rFonts w:ascii="宋体" w:cs="宋体"/>
                <w:sz w:val="18"/>
                <w:szCs w:val="18"/>
              </w:rPr>
            </w:pPr>
            <w:r>
              <w:rPr>
                <w:rFonts w:ascii="仿宋_GB2312" w:hAnsi="宋体" w:eastAsia="仿宋_GB2312" w:cs="宋体"/>
                <w:kern w:val="0"/>
                <w:sz w:val="18"/>
                <w:szCs w:val="18"/>
              </w:rPr>
              <w:t>233</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债务发行费支出</w:t>
            </w:r>
          </w:p>
        </w:tc>
        <w:tc>
          <w:tcPr>
            <w:tcW w:w="1022"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1246"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　</w:t>
            </w:r>
          </w:p>
        </w:tc>
        <w:tc>
          <w:tcPr>
            <w:tcW w:w="1417" w:type="dxa"/>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pPr>
              <w:widowControl/>
              <w:jc w:val="left"/>
              <w:rPr>
                <w:rFonts w:ascii="宋体" w:cs="宋体"/>
                <w:kern w:val="0"/>
                <w:sz w:val="18"/>
                <w:szCs w:val="18"/>
              </w:rPr>
            </w:pPr>
            <w:r>
              <w:rPr>
                <w:rFonts w:hint="eastAsia" w:ascii="仿宋_GB2312" w:hAnsi="宋体" w:eastAsia="仿宋_GB2312" w:cs="宋体"/>
                <w:kern w:val="0"/>
                <w:sz w:val="20"/>
                <w:szCs w:val="20"/>
              </w:rPr>
              <w:t>小</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230" w:type="dxa"/>
            <w:noWrap/>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166.01</w:t>
            </w:r>
          </w:p>
        </w:tc>
        <w:tc>
          <w:tcPr>
            <w:tcW w:w="2694" w:type="dxa"/>
            <w:noWrap/>
            <w:vAlign w:val="center"/>
          </w:tcPr>
          <w:p>
            <w:pPr>
              <w:widowControl/>
              <w:jc w:val="left"/>
              <w:rPr>
                <w:rFonts w:ascii="宋体" w:cs="宋体"/>
                <w:sz w:val="18"/>
                <w:szCs w:val="18"/>
              </w:rPr>
            </w:pPr>
            <w:r>
              <w:rPr>
                <w:rFonts w:hint="eastAsia" w:ascii="仿宋_GB2312" w:hAnsi="宋体" w:eastAsia="仿宋_GB2312" w:cs="宋体"/>
                <w:kern w:val="0"/>
                <w:sz w:val="20"/>
                <w:szCs w:val="20"/>
              </w:rPr>
              <w:t>小</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022"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166.01</w:t>
            </w:r>
          </w:p>
        </w:tc>
        <w:tc>
          <w:tcPr>
            <w:tcW w:w="1246"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166.01</w:t>
            </w:r>
          </w:p>
        </w:tc>
        <w:tc>
          <w:tcPr>
            <w:tcW w:w="1417" w:type="dxa"/>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pPr>
              <w:widowControl/>
              <w:rPr>
                <w:rFonts w:ascii="宋体" w:cs="宋体"/>
                <w:kern w:val="0"/>
                <w:sz w:val="18"/>
                <w:szCs w:val="18"/>
              </w:rPr>
            </w:pPr>
            <w:r>
              <w:rPr>
                <w:rFonts w:hint="eastAsia" w:ascii="仿宋_GB2312" w:hAnsi="宋体" w:eastAsia="仿宋_GB2312" w:cs="宋体"/>
                <w:kern w:val="0"/>
                <w:sz w:val="20"/>
                <w:szCs w:val="20"/>
              </w:rPr>
              <w:t>　</w:t>
            </w:r>
          </w:p>
        </w:tc>
        <w:tc>
          <w:tcPr>
            <w:tcW w:w="1230" w:type="dxa"/>
            <w:noWrap/>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p>
        </w:tc>
        <w:tc>
          <w:tcPr>
            <w:tcW w:w="2694" w:type="dxa"/>
            <w:noWrap/>
            <w:vAlign w:val="center"/>
          </w:tcPr>
          <w:p>
            <w:pPr>
              <w:widowControl/>
              <w:jc w:val="center"/>
              <w:rPr>
                <w:rFonts w:ascii="宋体" w:cs="宋体"/>
                <w:sz w:val="18"/>
                <w:szCs w:val="18"/>
              </w:rPr>
            </w:pPr>
            <w:r>
              <w:rPr>
                <w:rFonts w:ascii="仿宋_GB2312" w:hAnsi="宋体" w:eastAsia="仿宋_GB2312" w:cs="宋体"/>
                <w:kern w:val="0"/>
                <w:sz w:val="20"/>
                <w:szCs w:val="20"/>
              </w:rPr>
              <w:t xml:space="preserve">230 </w:t>
            </w:r>
            <w:r>
              <w:rPr>
                <w:rFonts w:hint="eastAsia" w:ascii="仿宋_GB2312" w:hAnsi="宋体" w:eastAsia="仿宋_GB2312" w:cs="宋体"/>
                <w:kern w:val="0"/>
                <w:sz w:val="20"/>
                <w:szCs w:val="20"/>
              </w:rPr>
              <w:t>转移性支出</w:t>
            </w:r>
          </w:p>
        </w:tc>
        <w:tc>
          <w:tcPr>
            <w:tcW w:w="1022"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p>
        </w:tc>
        <w:tc>
          <w:tcPr>
            <w:tcW w:w="1246"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p>
        </w:tc>
        <w:tc>
          <w:tcPr>
            <w:tcW w:w="1417" w:type="dxa"/>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pPr>
              <w:widowControl/>
              <w:jc w:val="left"/>
              <w:rPr>
                <w:rFonts w:ascii="宋体" w:cs="宋体"/>
                <w:color w:val="000000"/>
                <w:kern w:val="0"/>
                <w:sz w:val="22"/>
                <w:szCs w:val="22"/>
              </w:rPr>
            </w:pPr>
            <w:r>
              <w:rPr>
                <w:rFonts w:hint="eastAsia" w:ascii="仿宋_GB2312" w:hAnsi="宋体" w:eastAsia="仿宋_GB2312" w:cs="宋体"/>
                <w:kern w:val="0"/>
                <w:sz w:val="20"/>
                <w:szCs w:val="20"/>
              </w:rPr>
              <w:t>收</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入</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总</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230" w:type="dxa"/>
            <w:noWrap/>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166.01</w:t>
            </w:r>
          </w:p>
        </w:tc>
        <w:tc>
          <w:tcPr>
            <w:tcW w:w="2694" w:type="dxa"/>
            <w:noWrap/>
            <w:vAlign w:val="center"/>
          </w:tcPr>
          <w:p>
            <w:pPr>
              <w:widowControl/>
              <w:jc w:val="left"/>
              <w:rPr>
                <w:rFonts w:ascii="宋体" w:cs="宋体"/>
                <w:kern w:val="0"/>
                <w:sz w:val="18"/>
                <w:szCs w:val="18"/>
              </w:rPr>
            </w:pPr>
            <w:r>
              <w:rPr>
                <w:rFonts w:hint="eastAsia" w:ascii="仿宋_GB2312" w:hAnsi="宋体" w:eastAsia="仿宋_GB2312" w:cs="宋体"/>
                <w:kern w:val="0"/>
                <w:sz w:val="20"/>
                <w:szCs w:val="20"/>
              </w:rPr>
              <w:t>支</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出</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总</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022" w:type="dxa"/>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166.01</w:t>
            </w:r>
          </w:p>
        </w:tc>
        <w:tc>
          <w:tcPr>
            <w:tcW w:w="1246" w:type="dxa"/>
            <w:noWrap/>
            <w:vAlign w:val="center"/>
          </w:tcPr>
          <w:p>
            <w:pPr>
              <w:widowControl/>
              <w:spacing w:line="240" w:lineRule="auto"/>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166.01</w:t>
            </w:r>
          </w:p>
        </w:tc>
        <w:tc>
          <w:tcPr>
            <w:tcW w:w="1417" w:type="dxa"/>
            <w:vAlign w:val="center"/>
          </w:tcPr>
          <w:p>
            <w:pPr>
              <w:widowControl/>
              <w:jc w:val="right"/>
              <w:rPr>
                <w:rFonts w:ascii="宋体" w:cs="宋体"/>
                <w:kern w:val="0"/>
                <w:sz w:val="18"/>
                <w:szCs w:val="18"/>
              </w:rPr>
            </w:pPr>
            <w:r>
              <w:rPr>
                <w:rFonts w:hint="eastAsia" w:ascii="宋体" w:hAnsi="宋体" w:cs="宋体"/>
                <w:kern w:val="0"/>
                <w:sz w:val="18"/>
                <w:szCs w:val="18"/>
              </w:rPr>
              <w:t>　</w:t>
            </w:r>
          </w:p>
        </w:tc>
      </w:tr>
    </w:tbl>
    <w:p>
      <w:pPr>
        <w:widowControl/>
        <w:outlineLvl w:val="1"/>
        <w:rPr>
          <w:rFonts w:hint="eastAsia" w:ascii="宋体" w:hAnsi="宋体" w:eastAsia="宋体"/>
          <w:b/>
          <w:kern w:val="0"/>
          <w:sz w:val="28"/>
          <w:szCs w:val="32"/>
          <w:lang w:eastAsia="zh-CN"/>
        </w:rPr>
      </w:pPr>
    </w:p>
    <w:p>
      <w:pPr>
        <w:widowControl/>
        <w:outlineLvl w:val="1"/>
        <w:rPr>
          <w:rFonts w:ascii="宋体"/>
          <w:b/>
          <w:kern w:val="0"/>
          <w:sz w:val="28"/>
          <w:szCs w:val="32"/>
        </w:rPr>
      </w:pPr>
      <w:r>
        <w:rPr>
          <w:rFonts w:hint="eastAsia" w:ascii="宋体" w:hAnsi="宋体"/>
          <w:b/>
          <w:kern w:val="0"/>
          <w:sz w:val="28"/>
          <w:szCs w:val="32"/>
        </w:rPr>
        <w:t>备注：无内容应公开空表并说明情况。</w:t>
      </w:r>
    </w:p>
    <w:p>
      <w:pPr>
        <w:widowControl/>
        <w:spacing w:line="240" w:lineRule="auto"/>
        <w:jc w:val="left"/>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表五：</w:t>
      </w:r>
    </w:p>
    <w:tbl>
      <w:tblPr>
        <w:tblStyle w:val="9"/>
        <w:tblpPr w:leftFromText="180" w:rightFromText="180" w:vertAnchor="text" w:tblpXSpec="center" w:tblpY="1"/>
        <w:tblOverlap w:val="never"/>
        <w:tblW w:w="9358" w:type="dxa"/>
        <w:jc w:val="center"/>
        <w:tblLayout w:type="fixed"/>
        <w:tblCellMar>
          <w:top w:w="0" w:type="dxa"/>
          <w:left w:w="108" w:type="dxa"/>
          <w:bottom w:w="0" w:type="dxa"/>
          <w:right w:w="108" w:type="dxa"/>
        </w:tblCellMar>
      </w:tblPr>
      <w:tblGrid>
        <w:gridCol w:w="574"/>
        <w:gridCol w:w="531"/>
        <w:gridCol w:w="438"/>
        <w:gridCol w:w="2403"/>
        <w:gridCol w:w="708"/>
        <w:gridCol w:w="1184"/>
        <w:gridCol w:w="1912"/>
        <w:gridCol w:w="1608"/>
      </w:tblGrid>
      <w:tr>
        <w:tblPrEx>
          <w:tblCellMar>
            <w:top w:w="0" w:type="dxa"/>
            <w:left w:w="108" w:type="dxa"/>
            <w:bottom w:w="0" w:type="dxa"/>
            <w:right w:w="108" w:type="dxa"/>
          </w:tblCellMar>
        </w:tblPrEx>
        <w:trPr>
          <w:trHeight w:val="450" w:hRule="atLeast"/>
          <w:jc w:val="center"/>
        </w:trPr>
        <w:tc>
          <w:tcPr>
            <w:tcW w:w="9358" w:type="dxa"/>
            <w:gridSpan w:val="8"/>
            <w:tcBorders>
              <w:top w:val="nil"/>
              <w:left w:val="nil"/>
              <w:bottom w:val="nil"/>
              <w:right w:val="nil"/>
            </w:tcBorders>
            <w:noWrap/>
            <w:vAlign w:val="center"/>
          </w:tcPr>
          <w:p>
            <w:pPr>
              <w:widowControl/>
              <w:jc w:val="center"/>
              <w:rPr>
                <w:rFonts w:ascii="宋体"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285" w:hRule="atLeast"/>
          <w:jc w:val="center"/>
        </w:trPr>
        <w:tc>
          <w:tcPr>
            <w:tcW w:w="3946" w:type="dxa"/>
            <w:gridSpan w:val="4"/>
            <w:tcBorders>
              <w:top w:val="nil"/>
              <w:left w:val="nil"/>
              <w:bottom w:val="single" w:color="auto" w:sz="4" w:space="0"/>
              <w:right w:val="nil"/>
            </w:tcBorders>
            <w:noWrap/>
            <w:vAlign w:val="center"/>
          </w:tcPr>
          <w:p>
            <w:pPr>
              <w:widowControl/>
              <w:spacing w:line="240" w:lineRule="auto"/>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编制部门：县清水泉管委会</w:t>
            </w:r>
          </w:p>
        </w:tc>
        <w:tc>
          <w:tcPr>
            <w:tcW w:w="708" w:type="dxa"/>
            <w:tcBorders>
              <w:top w:val="nil"/>
              <w:left w:val="nil"/>
              <w:bottom w:val="single" w:color="auto" w:sz="4" w:space="0"/>
              <w:right w:val="nil"/>
            </w:tcBorders>
            <w:noWrap/>
            <w:vAlign w:val="center"/>
          </w:tcPr>
          <w:p>
            <w:pPr>
              <w:widowControl/>
              <w:spacing w:line="240" w:lineRule="auto"/>
              <w:jc w:val="left"/>
              <w:rPr>
                <w:rFonts w:hint="eastAsia" w:ascii="仿宋_GB2312" w:hAnsi="宋体" w:eastAsia="仿宋_GB2312" w:cs="宋体"/>
                <w:color w:val="000000"/>
                <w:kern w:val="0"/>
                <w:sz w:val="24"/>
              </w:rPr>
            </w:pPr>
          </w:p>
        </w:tc>
        <w:tc>
          <w:tcPr>
            <w:tcW w:w="1184" w:type="dxa"/>
            <w:tcBorders>
              <w:top w:val="nil"/>
              <w:left w:val="nil"/>
              <w:bottom w:val="single" w:color="auto" w:sz="4" w:space="0"/>
              <w:right w:val="nil"/>
            </w:tcBorders>
            <w:noWrap/>
            <w:vAlign w:val="center"/>
          </w:tcPr>
          <w:p>
            <w:pPr>
              <w:widowControl/>
              <w:spacing w:line="240" w:lineRule="auto"/>
              <w:jc w:val="lef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kern w:val="0"/>
                <w:sz w:val="24"/>
                <w:lang w:val="en-US" w:eastAsia="zh-CN"/>
              </w:rPr>
              <w:t xml:space="preserve">          </w:t>
            </w:r>
          </w:p>
        </w:tc>
        <w:tc>
          <w:tcPr>
            <w:tcW w:w="3520" w:type="dxa"/>
            <w:gridSpan w:val="2"/>
            <w:tcBorders>
              <w:top w:val="nil"/>
              <w:left w:val="nil"/>
              <w:bottom w:val="single" w:color="auto" w:sz="4" w:space="0"/>
              <w:right w:val="nil"/>
            </w:tcBorders>
            <w:noWrap/>
            <w:vAlign w:val="center"/>
          </w:tcPr>
          <w:p>
            <w:pPr>
              <w:widowControl/>
              <w:spacing w:line="240" w:lineRule="auto"/>
              <w:jc w:val="righ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3" w:hRule="atLeast"/>
          <w:jc w:val="center"/>
        </w:trPr>
        <w:tc>
          <w:tcPr>
            <w:tcW w:w="3946"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项目</w:t>
            </w:r>
          </w:p>
        </w:tc>
        <w:tc>
          <w:tcPr>
            <w:tcW w:w="541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jc w:val="center"/>
        </w:trPr>
        <w:tc>
          <w:tcPr>
            <w:tcW w:w="154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40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89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91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60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jc w:val="center"/>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0"/>
                <w:szCs w:val="20"/>
              </w:rPr>
            </w:pPr>
            <w:r>
              <w:rPr>
                <w:rFonts w:hint="eastAsia" w:ascii="宋体" w:hAnsi="宋体" w:cs="宋体"/>
                <w:b/>
                <w:bCs/>
                <w:color w:val="000000"/>
                <w:kern w:val="0"/>
                <w:sz w:val="20"/>
                <w:szCs w:val="20"/>
              </w:rPr>
              <w:t>类</w:t>
            </w:r>
          </w:p>
        </w:tc>
        <w:tc>
          <w:tcPr>
            <w:tcW w:w="53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0"/>
                <w:szCs w:val="20"/>
              </w:rPr>
            </w:pPr>
            <w:r>
              <w:rPr>
                <w:rFonts w:hint="eastAsia" w:ascii="宋体" w:hAnsi="宋体" w:cs="宋体"/>
                <w:b/>
                <w:bCs/>
                <w:color w:val="000000"/>
                <w:kern w:val="0"/>
                <w:sz w:val="20"/>
                <w:szCs w:val="20"/>
              </w:rPr>
              <w:t>款</w:t>
            </w:r>
          </w:p>
        </w:tc>
        <w:tc>
          <w:tcPr>
            <w:tcW w:w="43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0"/>
                <w:szCs w:val="20"/>
              </w:rPr>
            </w:pPr>
            <w:r>
              <w:rPr>
                <w:rFonts w:hint="eastAsia" w:ascii="宋体" w:hAnsi="宋体" w:cs="宋体"/>
                <w:b/>
                <w:bCs/>
                <w:color w:val="000000"/>
                <w:kern w:val="0"/>
                <w:sz w:val="20"/>
                <w:szCs w:val="20"/>
              </w:rPr>
              <w:t>项</w:t>
            </w:r>
          </w:p>
        </w:tc>
        <w:tc>
          <w:tcPr>
            <w:tcW w:w="24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0"/>
                <w:szCs w:val="20"/>
              </w:rPr>
            </w:pPr>
          </w:p>
        </w:tc>
        <w:tc>
          <w:tcPr>
            <w:tcW w:w="189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0"/>
                <w:szCs w:val="20"/>
              </w:rPr>
            </w:pPr>
          </w:p>
        </w:tc>
        <w:tc>
          <w:tcPr>
            <w:tcW w:w="19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0"/>
                <w:szCs w:val="20"/>
              </w:rPr>
            </w:pPr>
          </w:p>
        </w:tc>
        <w:tc>
          <w:tcPr>
            <w:tcW w:w="16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0"/>
                <w:szCs w:val="20"/>
              </w:rPr>
            </w:pPr>
          </w:p>
        </w:tc>
      </w:tr>
    </w:tbl>
    <w:tbl>
      <w:tblPr>
        <w:tblStyle w:val="9"/>
        <w:tblW w:w="9381" w:type="dxa"/>
        <w:jc w:val="center"/>
        <w:tblLayout w:type="fixed"/>
        <w:tblCellMar>
          <w:top w:w="0" w:type="dxa"/>
          <w:left w:w="108" w:type="dxa"/>
          <w:bottom w:w="0" w:type="dxa"/>
          <w:right w:w="108" w:type="dxa"/>
        </w:tblCellMar>
      </w:tblPr>
      <w:tblGrid>
        <w:gridCol w:w="609"/>
        <w:gridCol w:w="532"/>
        <w:gridCol w:w="439"/>
        <w:gridCol w:w="2390"/>
        <w:gridCol w:w="1880"/>
        <w:gridCol w:w="1939"/>
        <w:gridCol w:w="1592"/>
      </w:tblGrid>
      <w:tr>
        <w:tblPrEx>
          <w:tblCellMar>
            <w:top w:w="0" w:type="dxa"/>
            <w:left w:w="108" w:type="dxa"/>
            <w:bottom w:w="0" w:type="dxa"/>
            <w:right w:w="108" w:type="dxa"/>
          </w:tblCellMar>
        </w:tblPrEx>
        <w:trPr>
          <w:trHeight w:val="403" w:hRule="atLeast"/>
          <w:jc w:val="center"/>
        </w:trPr>
        <w:tc>
          <w:tcPr>
            <w:tcW w:w="609"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201</w:t>
            </w:r>
          </w:p>
        </w:tc>
        <w:tc>
          <w:tcPr>
            <w:tcW w:w="532" w:type="dxa"/>
            <w:tcBorders>
              <w:top w:val="nil"/>
              <w:left w:val="nil"/>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03</w:t>
            </w:r>
          </w:p>
        </w:tc>
        <w:tc>
          <w:tcPr>
            <w:tcW w:w="439" w:type="dxa"/>
            <w:tcBorders>
              <w:top w:val="nil"/>
              <w:left w:val="nil"/>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val="0"/>
                <w:bCs/>
                <w:color w:val="000000"/>
                <w:kern w:val="0"/>
                <w:sz w:val="20"/>
                <w:szCs w:val="20"/>
                <w:lang w:val="en-US" w:eastAsia="zh-CN"/>
              </w:rPr>
            </w:pPr>
          </w:p>
        </w:tc>
        <w:tc>
          <w:tcPr>
            <w:tcW w:w="2390" w:type="dxa"/>
            <w:tcBorders>
              <w:top w:val="nil"/>
              <w:left w:val="nil"/>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政府办公厅（室）及相关机构事物</w:t>
            </w:r>
          </w:p>
        </w:tc>
        <w:tc>
          <w:tcPr>
            <w:tcW w:w="1880" w:type="dxa"/>
            <w:tcBorders>
              <w:top w:val="nil"/>
              <w:left w:val="nil"/>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92.86</w:t>
            </w:r>
          </w:p>
        </w:tc>
        <w:tc>
          <w:tcPr>
            <w:tcW w:w="1939" w:type="dxa"/>
            <w:tcBorders>
              <w:top w:val="nil"/>
              <w:left w:val="nil"/>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92.86</w:t>
            </w:r>
          </w:p>
        </w:tc>
        <w:tc>
          <w:tcPr>
            <w:tcW w:w="1592" w:type="dxa"/>
            <w:tcBorders>
              <w:top w:val="nil"/>
              <w:left w:val="nil"/>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val="0"/>
                <w:bCs/>
                <w:color w:val="000000"/>
                <w:kern w:val="0"/>
                <w:sz w:val="20"/>
                <w:szCs w:val="20"/>
                <w:lang w:val="en-US" w:eastAsia="zh-CN"/>
              </w:rPr>
            </w:pPr>
          </w:p>
        </w:tc>
      </w:tr>
      <w:tr>
        <w:tblPrEx>
          <w:tblCellMar>
            <w:top w:w="0" w:type="dxa"/>
            <w:left w:w="108" w:type="dxa"/>
            <w:bottom w:w="0" w:type="dxa"/>
            <w:right w:w="108" w:type="dxa"/>
          </w:tblCellMar>
        </w:tblPrEx>
        <w:trPr>
          <w:trHeight w:val="405" w:hRule="atLeast"/>
          <w:jc w:val="center"/>
        </w:trPr>
        <w:tc>
          <w:tcPr>
            <w:tcW w:w="609"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201</w:t>
            </w:r>
          </w:p>
        </w:tc>
        <w:tc>
          <w:tcPr>
            <w:tcW w:w="532" w:type="dxa"/>
            <w:tcBorders>
              <w:top w:val="nil"/>
              <w:left w:val="nil"/>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03</w:t>
            </w:r>
          </w:p>
        </w:tc>
        <w:tc>
          <w:tcPr>
            <w:tcW w:w="439" w:type="dxa"/>
            <w:tcBorders>
              <w:top w:val="nil"/>
              <w:left w:val="nil"/>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01</w:t>
            </w:r>
          </w:p>
        </w:tc>
        <w:tc>
          <w:tcPr>
            <w:tcW w:w="2390" w:type="dxa"/>
            <w:tcBorders>
              <w:top w:val="nil"/>
              <w:left w:val="nil"/>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行政运行</w:t>
            </w:r>
          </w:p>
        </w:tc>
        <w:tc>
          <w:tcPr>
            <w:tcW w:w="1880" w:type="dxa"/>
            <w:tcBorders>
              <w:top w:val="nil"/>
              <w:left w:val="nil"/>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92.86</w:t>
            </w:r>
          </w:p>
        </w:tc>
        <w:tc>
          <w:tcPr>
            <w:tcW w:w="1939" w:type="dxa"/>
            <w:tcBorders>
              <w:top w:val="nil"/>
              <w:left w:val="nil"/>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92.86</w:t>
            </w:r>
          </w:p>
        </w:tc>
        <w:tc>
          <w:tcPr>
            <w:tcW w:w="1592" w:type="dxa"/>
            <w:tcBorders>
              <w:top w:val="nil"/>
              <w:left w:val="nil"/>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val="0"/>
                <w:bCs/>
                <w:color w:val="000000"/>
                <w:kern w:val="0"/>
                <w:sz w:val="20"/>
                <w:szCs w:val="20"/>
                <w:lang w:val="en-US" w:eastAsia="zh-CN"/>
              </w:rPr>
            </w:pPr>
          </w:p>
        </w:tc>
      </w:tr>
      <w:tr>
        <w:tblPrEx>
          <w:tblCellMar>
            <w:top w:w="0" w:type="dxa"/>
            <w:left w:w="108" w:type="dxa"/>
            <w:bottom w:w="0" w:type="dxa"/>
            <w:right w:w="108" w:type="dxa"/>
          </w:tblCellMar>
        </w:tblPrEx>
        <w:trPr>
          <w:trHeight w:val="405" w:hRule="atLeast"/>
          <w:jc w:val="center"/>
        </w:trPr>
        <w:tc>
          <w:tcPr>
            <w:tcW w:w="609"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208</w:t>
            </w:r>
          </w:p>
        </w:tc>
        <w:tc>
          <w:tcPr>
            <w:tcW w:w="532" w:type="dxa"/>
            <w:tcBorders>
              <w:top w:val="nil"/>
              <w:left w:val="nil"/>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val="0"/>
                <w:bCs/>
                <w:color w:val="000000"/>
                <w:kern w:val="0"/>
                <w:sz w:val="20"/>
                <w:szCs w:val="20"/>
                <w:lang w:val="en-US" w:eastAsia="zh-CN"/>
              </w:rPr>
            </w:pPr>
          </w:p>
        </w:tc>
        <w:tc>
          <w:tcPr>
            <w:tcW w:w="439" w:type="dxa"/>
            <w:tcBorders>
              <w:top w:val="nil"/>
              <w:left w:val="nil"/>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val="0"/>
                <w:bCs/>
                <w:color w:val="000000"/>
                <w:kern w:val="0"/>
                <w:sz w:val="20"/>
                <w:szCs w:val="20"/>
                <w:lang w:val="en-US" w:eastAsia="zh-CN"/>
              </w:rPr>
            </w:pPr>
          </w:p>
        </w:tc>
        <w:tc>
          <w:tcPr>
            <w:tcW w:w="2390" w:type="dxa"/>
            <w:tcBorders>
              <w:top w:val="nil"/>
              <w:left w:val="nil"/>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社会保障和就业支出</w:t>
            </w:r>
          </w:p>
        </w:tc>
        <w:tc>
          <w:tcPr>
            <w:tcW w:w="1880" w:type="dxa"/>
            <w:tcBorders>
              <w:top w:val="nil"/>
              <w:left w:val="nil"/>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73.15</w:t>
            </w:r>
          </w:p>
        </w:tc>
        <w:tc>
          <w:tcPr>
            <w:tcW w:w="1939" w:type="dxa"/>
            <w:tcBorders>
              <w:top w:val="nil"/>
              <w:left w:val="nil"/>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6.15</w:t>
            </w:r>
          </w:p>
        </w:tc>
        <w:tc>
          <w:tcPr>
            <w:tcW w:w="1592" w:type="dxa"/>
            <w:tcBorders>
              <w:top w:val="nil"/>
              <w:left w:val="nil"/>
              <w:bottom w:val="single" w:color="auto" w:sz="4" w:space="0"/>
              <w:right w:val="single" w:color="auto" w:sz="4" w:space="0"/>
            </w:tcBorders>
            <w:vAlign w:val="center"/>
          </w:tcPr>
          <w:p>
            <w:pPr>
              <w:widowControl/>
              <w:spacing w:line="240" w:lineRule="auto"/>
              <w:jc w:val="left"/>
              <w:rPr>
                <w:rFonts w:hint="default"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67.00</w:t>
            </w:r>
          </w:p>
        </w:tc>
      </w:tr>
      <w:tr>
        <w:tblPrEx>
          <w:tblCellMar>
            <w:top w:w="0" w:type="dxa"/>
            <w:left w:w="108" w:type="dxa"/>
            <w:bottom w:w="0" w:type="dxa"/>
            <w:right w:w="108" w:type="dxa"/>
          </w:tblCellMar>
        </w:tblPrEx>
        <w:trPr>
          <w:trHeight w:val="405" w:hRule="atLeast"/>
          <w:jc w:val="center"/>
        </w:trPr>
        <w:tc>
          <w:tcPr>
            <w:tcW w:w="609"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208</w:t>
            </w:r>
          </w:p>
        </w:tc>
        <w:tc>
          <w:tcPr>
            <w:tcW w:w="532" w:type="dxa"/>
            <w:tcBorders>
              <w:top w:val="nil"/>
              <w:left w:val="nil"/>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02</w:t>
            </w:r>
          </w:p>
        </w:tc>
        <w:tc>
          <w:tcPr>
            <w:tcW w:w="439" w:type="dxa"/>
            <w:tcBorders>
              <w:top w:val="nil"/>
              <w:left w:val="nil"/>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val="0"/>
                <w:bCs/>
                <w:color w:val="000000"/>
                <w:kern w:val="0"/>
                <w:sz w:val="20"/>
                <w:szCs w:val="20"/>
                <w:lang w:val="en-US" w:eastAsia="zh-CN"/>
              </w:rPr>
            </w:pPr>
          </w:p>
        </w:tc>
        <w:tc>
          <w:tcPr>
            <w:tcW w:w="2390" w:type="dxa"/>
            <w:tcBorders>
              <w:top w:val="nil"/>
              <w:left w:val="nil"/>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民政管理事务</w:t>
            </w:r>
          </w:p>
        </w:tc>
        <w:tc>
          <w:tcPr>
            <w:tcW w:w="1880" w:type="dxa"/>
            <w:tcBorders>
              <w:top w:val="nil"/>
              <w:left w:val="nil"/>
              <w:bottom w:val="single" w:color="auto" w:sz="4" w:space="0"/>
              <w:right w:val="single" w:color="auto" w:sz="4" w:space="0"/>
            </w:tcBorders>
            <w:vAlign w:val="center"/>
          </w:tcPr>
          <w:p>
            <w:pPr>
              <w:widowControl/>
              <w:spacing w:line="240" w:lineRule="auto"/>
              <w:jc w:val="left"/>
              <w:rPr>
                <w:rFonts w:hint="default"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67.00</w:t>
            </w:r>
          </w:p>
        </w:tc>
        <w:tc>
          <w:tcPr>
            <w:tcW w:w="1939" w:type="dxa"/>
            <w:tcBorders>
              <w:top w:val="nil"/>
              <w:left w:val="nil"/>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val="0"/>
                <w:bCs/>
                <w:color w:val="000000"/>
                <w:kern w:val="0"/>
                <w:sz w:val="20"/>
                <w:szCs w:val="20"/>
                <w:lang w:val="en-US" w:eastAsia="zh-CN"/>
              </w:rPr>
            </w:pPr>
          </w:p>
        </w:tc>
        <w:tc>
          <w:tcPr>
            <w:tcW w:w="1592" w:type="dxa"/>
            <w:tcBorders>
              <w:top w:val="nil"/>
              <w:left w:val="nil"/>
              <w:bottom w:val="single" w:color="auto" w:sz="4" w:space="0"/>
              <w:right w:val="single" w:color="auto" w:sz="4" w:space="0"/>
            </w:tcBorders>
            <w:vAlign w:val="center"/>
          </w:tcPr>
          <w:p>
            <w:pPr>
              <w:widowControl/>
              <w:spacing w:line="240" w:lineRule="auto"/>
              <w:jc w:val="left"/>
              <w:rPr>
                <w:rFonts w:hint="default"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67.00</w:t>
            </w:r>
          </w:p>
        </w:tc>
      </w:tr>
      <w:tr>
        <w:tblPrEx>
          <w:tblCellMar>
            <w:top w:w="0" w:type="dxa"/>
            <w:left w:w="108" w:type="dxa"/>
            <w:bottom w:w="0" w:type="dxa"/>
            <w:right w:w="108" w:type="dxa"/>
          </w:tblCellMar>
        </w:tblPrEx>
        <w:trPr>
          <w:trHeight w:val="405" w:hRule="atLeast"/>
          <w:jc w:val="center"/>
        </w:trPr>
        <w:tc>
          <w:tcPr>
            <w:tcW w:w="609"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208</w:t>
            </w:r>
          </w:p>
        </w:tc>
        <w:tc>
          <w:tcPr>
            <w:tcW w:w="532" w:type="dxa"/>
            <w:tcBorders>
              <w:top w:val="nil"/>
              <w:left w:val="nil"/>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02</w:t>
            </w:r>
          </w:p>
        </w:tc>
        <w:tc>
          <w:tcPr>
            <w:tcW w:w="439" w:type="dxa"/>
            <w:tcBorders>
              <w:top w:val="nil"/>
              <w:left w:val="nil"/>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08</w:t>
            </w:r>
          </w:p>
        </w:tc>
        <w:tc>
          <w:tcPr>
            <w:tcW w:w="2390" w:type="dxa"/>
            <w:tcBorders>
              <w:top w:val="nil"/>
              <w:left w:val="nil"/>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基层政权和社区建设</w:t>
            </w:r>
          </w:p>
        </w:tc>
        <w:tc>
          <w:tcPr>
            <w:tcW w:w="1880" w:type="dxa"/>
            <w:tcBorders>
              <w:top w:val="nil"/>
              <w:left w:val="nil"/>
              <w:bottom w:val="single" w:color="auto" w:sz="4" w:space="0"/>
              <w:right w:val="single" w:color="auto" w:sz="4" w:space="0"/>
            </w:tcBorders>
            <w:vAlign w:val="center"/>
          </w:tcPr>
          <w:p>
            <w:pPr>
              <w:widowControl/>
              <w:spacing w:line="240" w:lineRule="auto"/>
              <w:jc w:val="left"/>
              <w:rPr>
                <w:rFonts w:hint="default"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67.00</w:t>
            </w:r>
          </w:p>
        </w:tc>
        <w:tc>
          <w:tcPr>
            <w:tcW w:w="1939" w:type="dxa"/>
            <w:tcBorders>
              <w:top w:val="nil"/>
              <w:left w:val="nil"/>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val="0"/>
                <w:bCs/>
                <w:color w:val="000000"/>
                <w:kern w:val="0"/>
                <w:sz w:val="20"/>
                <w:szCs w:val="20"/>
                <w:lang w:val="en-US" w:eastAsia="zh-CN"/>
              </w:rPr>
            </w:pPr>
          </w:p>
        </w:tc>
        <w:tc>
          <w:tcPr>
            <w:tcW w:w="1592" w:type="dxa"/>
            <w:tcBorders>
              <w:top w:val="nil"/>
              <w:left w:val="nil"/>
              <w:bottom w:val="single" w:color="auto" w:sz="4" w:space="0"/>
              <w:right w:val="single" w:color="auto" w:sz="4" w:space="0"/>
            </w:tcBorders>
            <w:vAlign w:val="center"/>
          </w:tcPr>
          <w:p>
            <w:pPr>
              <w:widowControl/>
              <w:spacing w:line="240" w:lineRule="auto"/>
              <w:jc w:val="left"/>
              <w:rPr>
                <w:rFonts w:hint="default"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67.00</w:t>
            </w:r>
          </w:p>
        </w:tc>
      </w:tr>
      <w:tr>
        <w:tblPrEx>
          <w:tblCellMar>
            <w:top w:w="0" w:type="dxa"/>
            <w:left w:w="108" w:type="dxa"/>
            <w:bottom w:w="0" w:type="dxa"/>
            <w:right w:w="108" w:type="dxa"/>
          </w:tblCellMar>
        </w:tblPrEx>
        <w:trPr>
          <w:trHeight w:val="362" w:hRule="atLeast"/>
          <w:jc w:val="center"/>
        </w:trPr>
        <w:tc>
          <w:tcPr>
            <w:tcW w:w="609"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208</w:t>
            </w:r>
          </w:p>
        </w:tc>
        <w:tc>
          <w:tcPr>
            <w:tcW w:w="532" w:type="dxa"/>
            <w:tcBorders>
              <w:top w:val="nil"/>
              <w:left w:val="nil"/>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05</w:t>
            </w:r>
          </w:p>
        </w:tc>
        <w:tc>
          <w:tcPr>
            <w:tcW w:w="439" w:type="dxa"/>
            <w:tcBorders>
              <w:top w:val="nil"/>
              <w:left w:val="nil"/>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val="0"/>
                <w:bCs/>
                <w:color w:val="000000"/>
                <w:kern w:val="0"/>
                <w:sz w:val="20"/>
                <w:szCs w:val="20"/>
                <w:lang w:val="en-US" w:eastAsia="zh-CN"/>
              </w:rPr>
            </w:pPr>
          </w:p>
        </w:tc>
        <w:tc>
          <w:tcPr>
            <w:tcW w:w="2390" w:type="dxa"/>
            <w:tcBorders>
              <w:top w:val="nil"/>
              <w:left w:val="nil"/>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行政单位离退休</w:t>
            </w:r>
          </w:p>
        </w:tc>
        <w:tc>
          <w:tcPr>
            <w:tcW w:w="1880" w:type="dxa"/>
            <w:tcBorders>
              <w:top w:val="nil"/>
              <w:left w:val="nil"/>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6.15</w:t>
            </w:r>
          </w:p>
        </w:tc>
        <w:tc>
          <w:tcPr>
            <w:tcW w:w="1939" w:type="dxa"/>
            <w:tcBorders>
              <w:top w:val="nil"/>
              <w:left w:val="nil"/>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6.15</w:t>
            </w:r>
          </w:p>
        </w:tc>
        <w:tc>
          <w:tcPr>
            <w:tcW w:w="1592" w:type="dxa"/>
            <w:tcBorders>
              <w:top w:val="nil"/>
              <w:left w:val="nil"/>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val="0"/>
                <w:bCs/>
                <w:color w:val="000000"/>
                <w:kern w:val="0"/>
                <w:sz w:val="20"/>
                <w:szCs w:val="20"/>
                <w:lang w:val="en-US" w:eastAsia="zh-CN"/>
              </w:rPr>
            </w:pPr>
          </w:p>
        </w:tc>
      </w:tr>
      <w:tr>
        <w:tblPrEx>
          <w:tblCellMar>
            <w:top w:w="0" w:type="dxa"/>
            <w:left w:w="108" w:type="dxa"/>
            <w:bottom w:w="0" w:type="dxa"/>
            <w:right w:w="108" w:type="dxa"/>
          </w:tblCellMar>
        </w:tblPrEx>
        <w:trPr>
          <w:trHeight w:val="405" w:hRule="atLeast"/>
          <w:jc w:val="center"/>
        </w:trPr>
        <w:tc>
          <w:tcPr>
            <w:tcW w:w="609"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208</w:t>
            </w:r>
          </w:p>
        </w:tc>
        <w:tc>
          <w:tcPr>
            <w:tcW w:w="532" w:type="dxa"/>
            <w:tcBorders>
              <w:top w:val="nil"/>
              <w:left w:val="nil"/>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05</w:t>
            </w:r>
          </w:p>
        </w:tc>
        <w:tc>
          <w:tcPr>
            <w:tcW w:w="439" w:type="dxa"/>
            <w:tcBorders>
              <w:top w:val="nil"/>
              <w:left w:val="nil"/>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05</w:t>
            </w:r>
          </w:p>
        </w:tc>
        <w:tc>
          <w:tcPr>
            <w:tcW w:w="2390" w:type="dxa"/>
            <w:tcBorders>
              <w:top w:val="nil"/>
              <w:left w:val="nil"/>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机关事业单位基本养老保险缴费</w:t>
            </w:r>
          </w:p>
        </w:tc>
        <w:tc>
          <w:tcPr>
            <w:tcW w:w="1880" w:type="dxa"/>
            <w:tcBorders>
              <w:top w:val="nil"/>
              <w:left w:val="nil"/>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6.15</w:t>
            </w:r>
          </w:p>
        </w:tc>
        <w:tc>
          <w:tcPr>
            <w:tcW w:w="1939" w:type="dxa"/>
            <w:tcBorders>
              <w:top w:val="nil"/>
              <w:left w:val="nil"/>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6.15</w:t>
            </w:r>
          </w:p>
        </w:tc>
        <w:tc>
          <w:tcPr>
            <w:tcW w:w="1592" w:type="dxa"/>
            <w:tcBorders>
              <w:top w:val="nil"/>
              <w:left w:val="nil"/>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val="0"/>
                <w:bCs/>
                <w:color w:val="000000"/>
                <w:kern w:val="0"/>
                <w:sz w:val="20"/>
                <w:szCs w:val="20"/>
                <w:lang w:val="en-US" w:eastAsia="zh-CN"/>
              </w:rPr>
            </w:pPr>
          </w:p>
        </w:tc>
      </w:tr>
      <w:tr>
        <w:tblPrEx>
          <w:tblCellMar>
            <w:top w:w="0" w:type="dxa"/>
            <w:left w:w="108" w:type="dxa"/>
            <w:bottom w:w="0" w:type="dxa"/>
            <w:right w:w="108" w:type="dxa"/>
          </w:tblCellMar>
        </w:tblPrEx>
        <w:trPr>
          <w:trHeight w:val="405" w:hRule="atLeast"/>
          <w:jc w:val="center"/>
        </w:trPr>
        <w:tc>
          <w:tcPr>
            <w:tcW w:w="609" w:type="dxa"/>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color w:val="000000"/>
                <w:kern w:val="0"/>
                <w:sz w:val="20"/>
                <w:szCs w:val="20"/>
                <w:lang w:val="en-US" w:eastAsia="zh-CN"/>
              </w:rPr>
            </w:pPr>
          </w:p>
        </w:tc>
        <w:tc>
          <w:tcPr>
            <w:tcW w:w="532" w:type="dxa"/>
            <w:tcBorders>
              <w:top w:val="nil"/>
              <w:left w:val="nil"/>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color w:val="000000"/>
                <w:kern w:val="0"/>
                <w:sz w:val="20"/>
                <w:szCs w:val="20"/>
                <w:lang w:val="en-US" w:eastAsia="zh-CN"/>
              </w:rPr>
            </w:pPr>
          </w:p>
        </w:tc>
        <w:tc>
          <w:tcPr>
            <w:tcW w:w="439" w:type="dxa"/>
            <w:tcBorders>
              <w:top w:val="nil"/>
              <w:left w:val="nil"/>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color w:val="000000"/>
                <w:kern w:val="0"/>
                <w:sz w:val="20"/>
                <w:szCs w:val="20"/>
                <w:lang w:val="en-US" w:eastAsia="zh-CN"/>
              </w:rPr>
            </w:pPr>
          </w:p>
        </w:tc>
        <w:tc>
          <w:tcPr>
            <w:tcW w:w="2390" w:type="dxa"/>
            <w:tcBorders>
              <w:top w:val="nil"/>
              <w:left w:val="nil"/>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合计</w:t>
            </w:r>
          </w:p>
        </w:tc>
        <w:tc>
          <w:tcPr>
            <w:tcW w:w="1880" w:type="dxa"/>
            <w:tcBorders>
              <w:top w:val="nil"/>
              <w:left w:val="nil"/>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166.01</w:t>
            </w:r>
          </w:p>
        </w:tc>
        <w:tc>
          <w:tcPr>
            <w:tcW w:w="1939" w:type="dxa"/>
            <w:tcBorders>
              <w:top w:val="nil"/>
              <w:left w:val="nil"/>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99.01</w:t>
            </w:r>
          </w:p>
        </w:tc>
        <w:tc>
          <w:tcPr>
            <w:tcW w:w="1592" w:type="dxa"/>
            <w:tcBorders>
              <w:top w:val="nil"/>
              <w:left w:val="nil"/>
              <w:bottom w:val="single" w:color="auto" w:sz="4" w:space="0"/>
              <w:right w:val="single" w:color="auto" w:sz="4" w:space="0"/>
            </w:tcBorders>
            <w:vAlign w:val="center"/>
          </w:tcPr>
          <w:p>
            <w:pPr>
              <w:widowControl/>
              <w:spacing w:line="240" w:lineRule="auto"/>
              <w:jc w:val="left"/>
              <w:rPr>
                <w:rFonts w:hint="default"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67.00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line="240" w:lineRule="auto"/>
        <w:jc w:val="left"/>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表六：</w:t>
      </w:r>
    </w:p>
    <w:tbl>
      <w:tblPr>
        <w:tblStyle w:val="9"/>
        <w:tblW w:w="9121" w:type="dxa"/>
        <w:jc w:val="center"/>
        <w:tblLayout w:type="fixed"/>
        <w:tblCellMar>
          <w:top w:w="0" w:type="dxa"/>
          <w:left w:w="108" w:type="dxa"/>
          <w:bottom w:w="0" w:type="dxa"/>
          <w:right w:w="108" w:type="dxa"/>
        </w:tblCellMar>
      </w:tblPr>
      <w:tblGrid>
        <w:gridCol w:w="550"/>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jc w:val="center"/>
        </w:trPr>
        <w:tc>
          <w:tcPr>
            <w:tcW w:w="9121" w:type="dxa"/>
            <w:gridSpan w:val="8"/>
            <w:tcBorders>
              <w:top w:val="nil"/>
              <w:left w:val="nil"/>
              <w:bottom w:val="nil"/>
              <w:right w:val="nil"/>
            </w:tcBorders>
            <w:noWrap/>
            <w:vAlign w:val="center"/>
          </w:tcPr>
          <w:p>
            <w:pPr>
              <w:widowControl/>
              <w:jc w:val="center"/>
              <w:rPr>
                <w:rFonts w:ascii="宋体"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jc w:val="center"/>
        </w:trPr>
        <w:tc>
          <w:tcPr>
            <w:tcW w:w="4018" w:type="dxa"/>
            <w:gridSpan w:val="3"/>
            <w:tcBorders>
              <w:top w:val="nil"/>
              <w:left w:val="nil"/>
              <w:bottom w:val="single" w:color="auto" w:sz="4" w:space="0"/>
              <w:right w:val="nil"/>
            </w:tcBorders>
            <w:noWrap/>
            <w:vAlign w:val="center"/>
          </w:tcPr>
          <w:p>
            <w:pPr>
              <w:widowControl/>
              <w:spacing w:line="240" w:lineRule="auto"/>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编制部门：县清水泉管委会</w:t>
            </w:r>
          </w:p>
        </w:tc>
        <w:tc>
          <w:tcPr>
            <w:tcW w:w="995" w:type="dxa"/>
            <w:tcBorders>
              <w:top w:val="nil"/>
              <w:left w:val="nil"/>
              <w:bottom w:val="single" w:color="auto" w:sz="4" w:space="0"/>
              <w:right w:val="nil"/>
            </w:tcBorders>
            <w:noWrap/>
            <w:vAlign w:val="center"/>
          </w:tcPr>
          <w:p>
            <w:pPr>
              <w:widowControl/>
              <w:spacing w:line="240" w:lineRule="auto"/>
              <w:jc w:val="left"/>
              <w:rPr>
                <w:rFonts w:hint="eastAsia" w:ascii="仿宋_GB2312" w:hAnsi="宋体" w:eastAsia="仿宋_GB2312" w:cs="宋体"/>
                <w:color w:val="000000"/>
                <w:kern w:val="0"/>
                <w:sz w:val="24"/>
              </w:rPr>
            </w:pPr>
          </w:p>
        </w:tc>
        <w:tc>
          <w:tcPr>
            <w:tcW w:w="1682" w:type="dxa"/>
            <w:gridSpan w:val="2"/>
            <w:tcBorders>
              <w:top w:val="nil"/>
              <w:left w:val="nil"/>
              <w:bottom w:val="single" w:color="auto" w:sz="4" w:space="0"/>
              <w:right w:val="nil"/>
            </w:tcBorders>
            <w:noWrap/>
            <w:vAlign w:val="center"/>
          </w:tcPr>
          <w:p>
            <w:pPr>
              <w:widowControl/>
              <w:spacing w:line="240" w:lineRule="auto"/>
              <w:jc w:val="righ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kern w:val="0"/>
                <w:sz w:val="24"/>
                <w:lang w:val="en-US" w:eastAsia="zh-CN"/>
              </w:rPr>
              <w:t xml:space="preserve">        </w:t>
            </w:r>
            <w:r>
              <w:rPr>
                <w:rFonts w:hint="eastAsia" w:ascii="仿宋_GB2312" w:hAnsi="宋体" w:eastAsia="仿宋_GB2312" w:cs="宋体"/>
                <w:color w:val="000000"/>
                <w:kern w:val="0"/>
                <w:sz w:val="24"/>
              </w:rPr>
              <w:t xml:space="preserve">   </w:t>
            </w:r>
          </w:p>
        </w:tc>
        <w:tc>
          <w:tcPr>
            <w:tcW w:w="2426" w:type="dxa"/>
            <w:gridSpan w:val="2"/>
            <w:tcBorders>
              <w:top w:val="nil"/>
              <w:left w:val="nil"/>
              <w:bottom w:val="single" w:color="auto" w:sz="4" w:space="0"/>
              <w:right w:val="nil"/>
            </w:tcBorders>
            <w:noWrap/>
            <w:vAlign w:val="center"/>
          </w:tcPr>
          <w:p>
            <w:pPr>
              <w:widowControl/>
              <w:spacing w:line="240" w:lineRule="auto"/>
              <w:jc w:val="righ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jc w:val="center"/>
        </w:trPr>
        <w:tc>
          <w:tcPr>
            <w:tcW w:w="401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项目</w:t>
            </w:r>
          </w:p>
        </w:tc>
        <w:tc>
          <w:tcPr>
            <w:tcW w:w="5103"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jc w:val="center"/>
        </w:trPr>
        <w:tc>
          <w:tcPr>
            <w:tcW w:w="112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0"/>
                <w:szCs w:val="20"/>
              </w:rPr>
            </w:pPr>
            <w:r>
              <w:rPr>
                <w:rFonts w:hint="eastAsia" w:ascii="宋体" w:hAnsi="宋体" w:cs="宋体"/>
                <w:b/>
                <w:bCs/>
                <w:color w:val="000000"/>
                <w:kern w:val="0"/>
                <w:sz w:val="20"/>
                <w:szCs w:val="20"/>
              </w:rPr>
              <w:t>类</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0"/>
                <w:szCs w:val="20"/>
              </w:rPr>
            </w:pPr>
            <w:r>
              <w:rPr>
                <w:rFonts w:hint="eastAsia" w:ascii="宋体" w:hAnsi="宋体" w:cs="宋体"/>
                <w:b/>
                <w:bCs/>
                <w:color w:val="000000"/>
                <w:kern w:val="0"/>
                <w:sz w:val="20"/>
                <w:szCs w:val="20"/>
              </w:rPr>
              <w:t>款</w:t>
            </w:r>
          </w:p>
        </w:tc>
        <w:tc>
          <w:tcPr>
            <w:tcW w:w="28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0"/>
                <w:szCs w:val="20"/>
              </w:rPr>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0"/>
                <w:szCs w:val="20"/>
              </w:rPr>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p>
        </w:tc>
        <w:tc>
          <w:tcPr>
            <w:tcW w:w="28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工资福利支出</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65.53</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65.53</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01</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基本工资-统发工资</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13.12</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13.12</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02</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津贴补贴</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12.21</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12.21</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03</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奖金</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10.10</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10.10</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04</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伙食补助费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1.87</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1.87</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05</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绩效工资</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4.79</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4.79</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08</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机关事业单位基本养老保险缴费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6.15</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6.15</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10</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职工基本医疗保险缴费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2.77</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2.77</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11</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公务员医疗补助缴费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0.61</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0.61</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12</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其他社会保障缴费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0.32</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0.32</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13</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住房公积金</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6.22</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6.22</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99</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其他工资福利支出</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7.37</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7.37</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p>
        </w:tc>
        <w:tc>
          <w:tcPr>
            <w:tcW w:w="28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商品服务支出</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21.48</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21.48</w:t>
            </w:r>
          </w:p>
        </w:tc>
      </w:tr>
      <w:tr>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01</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办公费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0.3</w:t>
            </w:r>
            <w:r>
              <w:rPr>
                <w:rFonts w:hint="eastAsia" w:ascii="宋体" w:hAnsi="宋体" w:cs="宋体"/>
                <w:color w:val="000000"/>
                <w:kern w:val="0"/>
                <w:sz w:val="20"/>
                <w:szCs w:val="20"/>
                <w:lang w:val="en-US" w:eastAsia="zh-CN"/>
              </w:rPr>
              <w:t>0</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0.3</w:t>
            </w:r>
            <w:r>
              <w:rPr>
                <w:rFonts w:hint="eastAsia" w:ascii="宋体" w:hAnsi="宋体" w:cs="宋体"/>
                <w:color w:val="000000"/>
                <w:kern w:val="0"/>
                <w:sz w:val="20"/>
                <w:szCs w:val="20"/>
                <w:lang w:val="en-US" w:eastAsia="zh-CN"/>
              </w:rPr>
              <w:t>0</w:t>
            </w:r>
          </w:p>
        </w:tc>
      </w:tr>
      <w:tr>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02</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印刷费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0.2</w:t>
            </w:r>
            <w:r>
              <w:rPr>
                <w:rFonts w:hint="eastAsia" w:ascii="宋体" w:hAnsi="宋体" w:cs="宋体"/>
                <w:color w:val="000000"/>
                <w:kern w:val="0"/>
                <w:sz w:val="20"/>
                <w:szCs w:val="20"/>
                <w:lang w:val="en-US" w:eastAsia="zh-CN"/>
              </w:rPr>
              <w:t>0</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0.2</w:t>
            </w:r>
            <w:r>
              <w:rPr>
                <w:rFonts w:hint="eastAsia" w:ascii="宋体" w:hAnsi="宋体" w:cs="宋体"/>
                <w:color w:val="000000"/>
                <w:kern w:val="0"/>
                <w:sz w:val="20"/>
                <w:szCs w:val="20"/>
                <w:lang w:val="en-US" w:eastAsia="zh-CN"/>
              </w:rPr>
              <w:t>0</w:t>
            </w:r>
          </w:p>
        </w:tc>
      </w:tr>
      <w:tr>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03</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水费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0.2</w:t>
            </w:r>
            <w:r>
              <w:rPr>
                <w:rFonts w:hint="eastAsia" w:ascii="宋体" w:hAnsi="宋体" w:cs="宋体"/>
                <w:color w:val="000000"/>
                <w:kern w:val="0"/>
                <w:sz w:val="20"/>
                <w:szCs w:val="20"/>
                <w:lang w:val="en-US" w:eastAsia="zh-CN"/>
              </w:rPr>
              <w:t>0</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0.2</w:t>
            </w:r>
            <w:r>
              <w:rPr>
                <w:rFonts w:hint="eastAsia" w:ascii="宋体" w:hAnsi="宋体" w:cs="宋体"/>
                <w:color w:val="000000"/>
                <w:kern w:val="0"/>
                <w:sz w:val="20"/>
                <w:szCs w:val="20"/>
                <w:lang w:val="en-US" w:eastAsia="zh-CN"/>
              </w:rPr>
              <w:t>0</w:t>
            </w:r>
          </w:p>
        </w:tc>
      </w:tr>
      <w:tr>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04</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电费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0.5</w:t>
            </w:r>
            <w:r>
              <w:rPr>
                <w:rFonts w:hint="eastAsia" w:ascii="宋体" w:hAnsi="宋体" w:cs="宋体"/>
                <w:color w:val="000000"/>
                <w:kern w:val="0"/>
                <w:sz w:val="20"/>
                <w:szCs w:val="20"/>
                <w:lang w:val="en-US" w:eastAsia="zh-CN"/>
              </w:rPr>
              <w:t>0</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0.5</w:t>
            </w:r>
            <w:r>
              <w:rPr>
                <w:rFonts w:hint="eastAsia" w:ascii="宋体" w:hAnsi="宋体" w:cs="宋体"/>
                <w:color w:val="000000"/>
                <w:kern w:val="0"/>
                <w:sz w:val="20"/>
                <w:szCs w:val="20"/>
                <w:lang w:val="en-US" w:eastAsia="zh-CN"/>
              </w:rPr>
              <w:t>0</w:t>
            </w:r>
          </w:p>
        </w:tc>
      </w:tr>
      <w:tr>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05</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手续费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07</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邮电费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08</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办公取暖费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6.05</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6.05</w:t>
            </w:r>
          </w:p>
        </w:tc>
      </w:tr>
      <w:tr>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11</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差旅费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13</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维修(护)费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14</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会议费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354"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16</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培训费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17</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公务接待费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0.25</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0.25</w:t>
            </w:r>
          </w:p>
        </w:tc>
      </w:tr>
      <w:tr>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18</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专用材料费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19</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被装购置费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28</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工会经费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0.34</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0.34</w:t>
            </w:r>
          </w:p>
        </w:tc>
      </w:tr>
      <w:tr>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29</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福利费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0.79</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0.79</w:t>
            </w:r>
          </w:p>
        </w:tc>
      </w:tr>
      <w:tr>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公务用车运行维护费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12.6</w:t>
            </w:r>
            <w:r>
              <w:rPr>
                <w:rFonts w:hint="eastAsia" w:ascii="宋体" w:hAnsi="宋体" w:cs="宋体"/>
                <w:color w:val="000000"/>
                <w:kern w:val="0"/>
                <w:sz w:val="20"/>
                <w:szCs w:val="20"/>
                <w:lang w:val="en-US" w:eastAsia="zh-CN"/>
              </w:rPr>
              <w:t>0</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12.6</w:t>
            </w:r>
            <w:r>
              <w:rPr>
                <w:rFonts w:hint="eastAsia" w:ascii="宋体" w:hAnsi="宋体" w:cs="宋体"/>
                <w:color w:val="000000"/>
                <w:kern w:val="0"/>
                <w:sz w:val="20"/>
                <w:szCs w:val="20"/>
                <w:lang w:val="en-US" w:eastAsia="zh-CN"/>
              </w:rPr>
              <w:t>0</w:t>
            </w:r>
          </w:p>
        </w:tc>
      </w:tr>
      <w:tr>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32</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其他交通费用</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31</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退休人员日常公用经费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32</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离休人员特需及日常公用经费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99</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其他商品和服务支出</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0.25</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0.25</w:t>
            </w:r>
          </w:p>
        </w:tc>
      </w:tr>
      <w:tr>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303</w:t>
            </w:r>
          </w:p>
        </w:tc>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p>
        </w:tc>
        <w:tc>
          <w:tcPr>
            <w:tcW w:w="28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对个人和家庭补助支出</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12</w:t>
            </w:r>
            <w:r>
              <w:rPr>
                <w:rFonts w:hint="eastAsia" w:ascii="宋体" w:hAnsi="宋体" w:cs="宋体"/>
                <w:color w:val="000000"/>
                <w:kern w:val="0"/>
                <w:sz w:val="20"/>
                <w:szCs w:val="20"/>
                <w:lang w:val="en-US" w:eastAsia="zh-CN"/>
              </w:rPr>
              <w:t>.00</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12</w:t>
            </w:r>
            <w:r>
              <w:rPr>
                <w:rFonts w:hint="eastAsia" w:ascii="宋体" w:hAnsi="宋体" w:cs="宋体"/>
                <w:color w:val="000000"/>
                <w:kern w:val="0"/>
                <w:sz w:val="20"/>
                <w:szCs w:val="20"/>
                <w:lang w:val="en-US" w:eastAsia="zh-CN"/>
              </w:rPr>
              <w:t>.00</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303</w:t>
            </w:r>
          </w:p>
        </w:tc>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09</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奖金</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303</w:t>
            </w:r>
          </w:p>
        </w:tc>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10</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退休费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528"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303</w:t>
            </w:r>
          </w:p>
        </w:tc>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11</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离休费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303</w:t>
            </w:r>
          </w:p>
        </w:tc>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12</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离休遗属补助</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303</w:t>
            </w:r>
          </w:p>
        </w:tc>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99</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其他对个人和家庭的补助</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12</w:t>
            </w:r>
            <w:r>
              <w:rPr>
                <w:rFonts w:hint="eastAsia" w:ascii="宋体" w:hAnsi="宋体" w:cs="宋体"/>
                <w:color w:val="000000"/>
                <w:kern w:val="0"/>
                <w:sz w:val="20"/>
                <w:szCs w:val="20"/>
                <w:lang w:val="en-US" w:eastAsia="zh-CN"/>
              </w:rPr>
              <w:t>.00</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12</w:t>
            </w:r>
            <w:r>
              <w:rPr>
                <w:rFonts w:hint="eastAsia" w:ascii="宋体" w:hAnsi="宋体" w:cs="宋体"/>
                <w:color w:val="000000"/>
                <w:kern w:val="0"/>
                <w:sz w:val="20"/>
                <w:szCs w:val="20"/>
                <w:lang w:val="en-US" w:eastAsia="zh-CN"/>
              </w:rPr>
              <w:t>.00</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p>
        </w:tc>
        <w:tc>
          <w:tcPr>
            <w:tcW w:w="28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p>
        </w:tc>
        <w:tc>
          <w:tcPr>
            <w:tcW w:w="28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仿宋_GB2312" w:cs="宋体"/>
                <w:color w:val="000000"/>
                <w:kern w:val="0"/>
                <w:sz w:val="20"/>
                <w:szCs w:val="20"/>
                <w:lang w:val="en-US" w:eastAsia="zh-CN"/>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28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28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28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28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b/>
                <w:bCs/>
                <w:color w:val="000000"/>
                <w:kern w:val="0"/>
                <w:sz w:val="20"/>
                <w:szCs w:val="20"/>
              </w:rPr>
              <w:t>合计</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99.01</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77.53</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21.48</w:t>
            </w:r>
          </w:p>
        </w:tc>
      </w:tr>
    </w:tbl>
    <w:p>
      <w:pPr>
        <w:widowControl/>
        <w:spacing w:line="240" w:lineRule="auto"/>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宋体"/>
          <w:b/>
          <w:kern w:val="0"/>
          <w:sz w:val="32"/>
          <w:szCs w:val="32"/>
        </w:rPr>
      </w:pPr>
    </w:p>
    <w:p>
      <w:pPr>
        <w:widowControl/>
        <w:spacing w:line="240" w:lineRule="auto"/>
        <w:jc w:val="left"/>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表七：</w:t>
      </w:r>
    </w:p>
    <w:tbl>
      <w:tblPr>
        <w:tblStyle w:val="9"/>
        <w:tblW w:w="11453" w:type="dxa"/>
        <w:jc w:val="center"/>
        <w:tblLayout w:type="fixed"/>
        <w:tblCellMar>
          <w:top w:w="0" w:type="dxa"/>
          <w:left w:w="108" w:type="dxa"/>
          <w:bottom w:w="0" w:type="dxa"/>
          <w:right w:w="108" w:type="dxa"/>
        </w:tblCellMar>
      </w:tblPr>
      <w:tblGrid>
        <w:gridCol w:w="535"/>
        <w:gridCol w:w="427"/>
        <w:gridCol w:w="473"/>
        <w:gridCol w:w="1489"/>
        <w:gridCol w:w="1073"/>
        <w:gridCol w:w="870"/>
        <w:gridCol w:w="711"/>
        <w:gridCol w:w="830"/>
        <w:gridCol w:w="797"/>
        <w:gridCol w:w="547"/>
        <w:gridCol w:w="606"/>
        <w:gridCol w:w="647"/>
        <w:gridCol w:w="672"/>
        <w:gridCol w:w="570"/>
        <w:gridCol w:w="743"/>
        <w:gridCol w:w="463"/>
      </w:tblGrid>
      <w:tr>
        <w:tblPrEx>
          <w:tblCellMar>
            <w:top w:w="0" w:type="dxa"/>
            <w:left w:w="108" w:type="dxa"/>
            <w:bottom w:w="0" w:type="dxa"/>
            <w:right w:w="108" w:type="dxa"/>
          </w:tblCellMar>
        </w:tblPrEx>
        <w:trPr>
          <w:gridAfter w:val="1"/>
          <w:wAfter w:w="463" w:type="dxa"/>
          <w:trHeight w:val="375" w:hRule="atLeast"/>
          <w:jc w:val="center"/>
        </w:trPr>
        <w:tc>
          <w:tcPr>
            <w:tcW w:w="10990" w:type="dxa"/>
            <w:gridSpan w:val="15"/>
            <w:tcBorders>
              <w:top w:val="nil"/>
              <w:left w:val="nil"/>
              <w:bottom w:val="nil"/>
              <w:right w:val="nil"/>
            </w:tcBorders>
            <w:noWrap/>
            <w:vAlign w:val="center"/>
          </w:tcPr>
          <w:p>
            <w:pPr>
              <w:widowControl/>
              <w:rPr>
                <w:rFonts w:ascii="宋体" w:cs="宋体"/>
                <w:b/>
                <w:bCs/>
                <w:color w:val="000000"/>
                <w:kern w:val="0"/>
                <w:sz w:val="32"/>
                <w:szCs w:val="32"/>
              </w:rPr>
            </w:pPr>
          </w:p>
          <w:p>
            <w:pPr>
              <w:widowControl/>
              <w:jc w:val="center"/>
              <w:rPr>
                <w:rFonts w:ascii="宋体"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After w:val="1"/>
          <w:wAfter w:w="463" w:type="dxa"/>
          <w:trHeight w:val="405" w:hRule="atLeast"/>
          <w:jc w:val="center"/>
        </w:trPr>
        <w:tc>
          <w:tcPr>
            <w:tcW w:w="4867" w:type="dxa"/>
            <w:gridSpan w:val="6"/>
            <w:tcBorders>
              <w:top w:val="nil"/>
              <w:left w:val="nil"/>
              <w:bottom w:val="nil"/>
              <w:right w:val="nil"/>
            </w:tcBorders>
            <w:noWrap/>
            <w:vAlign w:val="center"/>
          </w:tcPr>
          <w:p>
            <w:pPr>
              <w:widowControl/>
              <w:spacing w:line="240" w:lineRule="auto"/>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编制部门：县清水泉管委会</w:t>
            </w:r>
          </w:p>
        </w:tc>
        <w:tc>
          <w:tcPr>
            <w:tcW w:w="1541" w:type="dxa"/>
            <w:gridSpan w:val="2"/>
            <w:tcBorders>
              <w:top w:val="nil"/>
              <w:left w:val="nil"/>
              <w:bottom w:val="nil"/>
              <w:right w:val="nil"/>
            </w:tcBorders>
            <w:noWrap/>
            <w:vAlign w:val="center"/>
          </w:tcPr>
          <w:p>
            <w:pPr>
              <w:widowControl/>
              <w:spacing w:line="240" w:lineRule="auto"/>
              <w:jc w:val="left"/>
              <w:rPr>
                <w:rFonts w:hint="eastAsia" w:ascii="仿宋_GB2312" w:hAnsi="宋体" w:eastAsia="仿宋_GB2312" w:cs="宋体"/>
                <w:color w:val="000000"/>
                <w:kern w:val="0"/>
                <w:sz w:val="24"/>
              </w:rPr>
            </w:pPr>
          </w:p>
        </w:tc>
        <w:tc>
          <w:tcPr>
            <w:tcW w:w="1344" w:type="dxa"/>
            <w:gridSpan w:val="2"/>
            <w:tcBorders>
              <w:top w:val="nil"/>
              <w:left w:val="nil"/>
              <w:bottom w:val="nil"/>
              <w:right w:val="nil"/>
            </w:tcBorders>
            <w:noWrap/>
            <w:vAlign w:val="center"/>
          </w:tcPr>
          <w:p>
            <w:pPr>
              <w:widowControl/>
              <w:spacing w:line="240" w:lineRule="auto"/>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238" w:type="dxa"/>
            <w:gridSpan w:val="5"/>
            <w:tcBorders>
              <w:top w:val="nil"/>
              <w:left w:val="nil"/>
              <w:bottom w:val="nil"/>
              <w:right w:val="nil"/>
            </w:tcBorders>
            <w:noWrap/>
            <w:vAlign w:val="center"/>
          </w:tcPr>
          <w:p>
            <w:pPr>
              <w:widowControl/>
              <w:spacing w:line="240" w:lineRule="auto"/>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35" w:type="dxa"/>
            <w:gridSpan w:val="3"/>
            <w:noWrap/>
            <w:vAlign w:val="center"/>
          </w:tcPr>
          <w:p>
            <w:pPr>
              <w:widowControl/>
              <w:spacing w:line="240" w:lineRule="auto"/>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1489" w:type="dxa"/>
            <w:vMerge w:val="restart"/>
            <w:noWrap/>
            <w:vAlign w:val="center"/>
          </w:tcPr>
          <w:p>
            <w:pPr>
              <w:widowControl/>
              <w:spacing w:line="240" w:lineRule="auto"/>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rPr>
              <w:t>科目</w:t>
            </w:r>
          </w:p>
        </w:tc>
        <w:tc>
          <w:tcPr>
            <w:tcW w:w="1073" w:type="dxa"/>
            <w:vMerge w:val="restart"/>
            <w:noWrap/>
            <w:vAlign w:val="center"/>
          </w:tcPr>
          <w:p>
            <w:pPr>
              <w:widowControl/>
              <w:spacing w:line="240" w:lineRule="auto"/>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rPr>
              <w:t>项目名称</w:t>
            </w:r>
          </w:p>
        </w:tc>
        <w:tc>
          <w:tcPr>
            <w:tcW w:w="870" w:type="dxa"/>
            <w:vMerge w:val="restart"/>
            <w:vAlign w:val="center"/>
          </w:tcPr>
          <w:p>
            <w:pPr>
              <w:widowControl/>
              <w:spacing w:line="240" w:lineRule="auto"/>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711" w:type="dxa"/>
            <w:vMerge w:val="restart"/>
            <w:vAlign w:val="center"/>
          </w:tcPr>
          <w:p>
            <w:pPr>
              <w:widowControl/>
              <w:spacing w:line="240" w:lineRule="auto"/>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830" w:type="dxa"/>
            <w:vMerge w:val="restart"/>
            <w:vAlign w:val="center"/>
          </w:tcPr>
          <w:p>
            <w:pPr>
              <w:widowControl/>
              <w:spacing w:line="240" w:lineRule="auto"/>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797" w:type="dxa"/>
            <w:vMerge w:val="restart"/>
            <w:vAlign w:val="center"/>
          </w:tcPr>
          <w:p>
            <w:pPr>
              <w:widowControl/>
              <w:spacing w:line="240" w:lineRule="auto"/>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547" w:type="dxa"/>
            <w:vMerge w:val="restart"/>
            <w:vAlign w:val="center"/>
          </w:tcPr>
          <w:p>
            <w:pPr>
              <w:widowControl/>
              <w:spacing w:line="240" w:lineRule="auto"/>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606" w:type="dxa"/>
            <w:vMerge w:val="restart"/>
            <w:vAlign w:val="center"/>
          </w:tcPr>
          <w:p>
            <w:pPr>
              <w:widowControl/>
              <w:spacing w:line="240" w:lineRule="auto"/>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647" w:type="dxa"/>
            <w:vMerge w:val="restart"/>
            <w:vAlign w:val="center"/>
          </w:tcPr>
          <w:p>
            <w:pPr>
              <w:widowControl/>
              <w:spacing w:line="240" w:lineRule="auto"/>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672" w:type="dxa"/>
            <w:vMerge w:val="restart"/>
            <w:vAlign w:val="center"/>
          </w:tcPr>
          <w:p>
            <w:pPr>
              <w:widowControl/>
              <w:spacing w:line="240" w:lineRule="auto"/>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570" w:type="dxa"/>
            <w:vMerge w:val="restart"/>
            <w:vAlign w:val="center"/>
          </w:tcPr>
          <w:p>
            <w:pPr>
              <w:widowControl/>
              <w:spacing w:line="240" w:lineRule="auto"/>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743" w:type="dxa"/>
            <w:vMerge w:val="restart"/>
            <w:vAlign w:val="center"/>
          </w:tcPr>
          <w:p>
            <w:pPr>
              <w:widowControl/>
              <w:spacing w:line="240" w:lineRule="auto"/>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3" w:type="dxa"/>
            <w:vMerge w:val="restart"/>
            <w:vAlign w:val="center"/>
          </w:tcPr>
          <w:p>
            <w:pPr>
              <w:widowControl/>
              <w:spacing w:line="240" w:lineRule="auto"/>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535" w:type="dxa"/>
            <w:noWrap/>
            <w:vAlign w:val="center"/>
          </w:tcPr>
          <w:p>
            <w:pPr>
              <w:widowControl/>
              <w:jc w:val="left"/>
              <w:outlineLvl w:val="1"/>
              <w:rPr>
                <w:rFonts w:ascii="宋体"/>
                <w:b/>
                <w:kern w:val="0"/>
                <w:sz w:val="18"/>
                <w:szCs w:val="18"/>
              </w:rPr>
            </w:pPr>
            <w:r>
              <w:rPr>
                <w:rFonts w:hint="eastAsia" w:ascii="宋体" w:hAnsi="宋体"/>
                <w:b/>
                <w:kern w:val="0"/>
                <w:sz w:val="18"/>
                <w:szCs w:val="18"/>
              </w:rPr>
              <w:t>类</w:t>
            </w:r>
          </w:p>
        </w:tc>
        <w:tc>
          <w:tcPr>
            <w:tcW w:w="427" w:type="dxa"/>
            <w:noWrap/>
            <w:vAlign w:val="center"/>
          </w:tcPr>
          <w:p>
            <w:pPr>
              <w:widowControl/>
              <w:jc w:val="left"/>
              <w:outlineLvl w:val="1"/>
              <w:rPr>
                <w:rFonts w:ascii="宋体"/>
                <w:b/>
                <w:kern w:val="0"/>
                <w:sz w:val="18"/>
                <w:szCs w:val="18"/>
              </w:rPr>
            </w:pPr>
            <w:r>
              <w:rPr>
                <w:rFonts w:hint="eastAsia" w:ascii="宋体" w:hAnsi="宋体"/>
                <w:b/>
                <w:kern w:val="0"/>
                <w:sz w:val="18"/>
                <w:szCs w:val="18"/>
              </w:rPr>
              <w:t>款</w:t>
            </w:r>
          </w:p>
        </w:tc>
        <w:tc>
          <w:tcPr>
            <w:tcW w:w="473" w:type="dxa"/>
            <w:noWrap/>
            <w:vAlign w:val="center"/>
          </w:tcPr>
          <w:p>
            <w:pPr>
              <w:widowControl/>
              <w:jc w:val="left"/>
              <w:outlineLvl w:val="1"/>
              <w:rPr>
                <w:rFonts w:ascii="宋体"/>
                <w:b/>
                <w:kern w:val="0"/>
                <w:sz w:val="18"/>
                <w:szCs w:val="18"/>
              </w:rPr>
            </w:pPr>
            <w:r>
              <w:rPr>
                <w:rFonts w:hint="eastAsia" w:ascii="宋体" w:hAnsi="宋体"/>
                <w:b/>
                <w:kern w:val="0"/>
                <w:sz w:val="18"/>
                <w:szCs w:val="18"/>
              </w:rPr>
              <w:t>项</w:t>
            </w:r>
          </w:p>
        </w:tc>
        <w:tc>
          <w:tcPr>
            <w:tcW w:w="1489" w:type="dxa"/>
            <w:vMerge w:val="continue"/>
            <w:vAlign w:val="center"/>
          </w:tcPr>
          <w:p>
            <w:pPr>
              <w:widowControl/>
              <w:jc w:val="left"/>
              <w:outlineLvl w:val="1"/>
              <w:rPr>
                <w:rFonts w:ascii="宋体"/>
                <w:b/>
                <w:kern w:val="0"/>
                <w:sz w:val="18"/>
                <w:szCs w:val="18"/>
              </w:rPr>
            </w:pPr>
          </w:p>
        </w:tc>
        <w:tc>
          <w:tcPr>
            <w:tcW w:w="1073" w:type="dxa"/>
            <w:vMerge w:val="continue"/>
          </w:tcPr>
          <w:p>
            <w:pPr>
              <w:widowControl/>
              <w:jc w:val="left"/>
              <w:outlineLvl w:val="1"/>
              <w:rPr>
                <w:rFonts w:ascii="宋体"/>
                <w:b/>
                <w:kern w:val="0"/>
                <w:sz w:val="18"/>
                <w:szCs w:val="18"/>
              </w:rPr>
            </w:pPr>
          </w:p>
        </w:tc>
        <w:tc>
          <w:tcPr>
            <w:tcW w:w="870" w:type="dxa"/>
            <w:vMerge w:val="continue"/>
          </w:tcPr>
          <w:p>
            <w:pPr>
              <w:widowControl/>
              <w:jc w:val="left"/>
              <w:outlineLvl w:val="1"/>
              <w:rPr>
                <w:rFonts w:ascii="宋体"/>
                <w:b/>
                <w:kern w:val="0"/>
                <w:sz w:val="18"/>
                <w:szCs w:val="18"/>
              </w:rPr>
            </w:pPr>
          </w:p>
        </w:tc>
        <w:tc>
          <w:tcPr>
            <w:tcW w:w="711" w:type="dxa"/>
            <w:vMerge w:val="continue"/>
          </w:tcPr>
          <w:p>
            <w:pPr>
              <w:widowControl/>
              <w:jc w:val="left"/>
              <w:outlineLvl w:val="1"/>
              <w:rPr>
                <w:rFonts w:ascii="宋体"/>
                <w:b/>
                <w:kern w:val="0"/>
                <w:sz w:val="18"/>
                <w:szCs w:val="18"/>
              </w:rPr>
            </w:pPr>
          </w:p>
        </w:tc>
        <w:tc>
          <w:tcPr>
            <w:tcW w:w="830" w:type="dxa"/>
            <w:vMerge w:val="continue"/>
          </w:tcPr>
          <w:p>
            <w:pPr>
              <w:widowControl/>
              <w:jc w:val="left"/>
              <w:outlineLvl w:val="1"/>
              <w:rPr>
                <w:rFonts w:ascii="宋体"/>
                <w:b/>
                <w:kern w:val="0"/>
                <w:sz w:val="18"/>
                <w:szCs w:val="18"/>
              </w:rPr>
            </w:pPr>
          </w:p>
        </w:tc>
        <w:tc>
          <w:tcPr>
            <w:tcW w:w="797" w:type="dxa"/>
            <w:vMerge w:val="continue"/>
          </w:tcPr>
          <w:p>
            <w:pPr>
              <w:widowControl/>
              <w:jc w:val="left"/>
              <w:outlineLvl w:val="1"/>
              <w:rPr>
                <w:rFonts w:ascii="宋体"/>
                <w:b/>
                <w:kern w:val="0"/>
                <w:sz w:val="18"/>
                <w:szCs w:val="18"/>
              </w:rPr>
            </w:pPr>
          </w:p>
        </w:tc>
        <w:tc>
          <w:tcPr>
            <w:tcW w:w="547" w:type="dxa"/>
            <w:vMerge w:val="continue"/>
          </w:tcPr>
          <w:p>
            <w:pPr>
              <w:widowControl/>
              <w:jc w:val="left"/>
              <w:outlineLvl w:val="1"/>
              <w:rPr>
                <w:rFonts w:ascii="宋体"/>
                <w:b/>
                <w:kern w:val="0"/>
                <w:sz w:val="18"/>
                <w:szCs w:val="18"/>
              </w:rPr>
            </w:pPr>
          </w:p>
        </w:tc>
        <w:tc>
          <w:tcPr>
            <w:tcW w:w="606" w:type="dxa"/>
            <w:vMerge w:val="continue"/>
          </w:tcPr>
          <w:p>
            <w:pPr>
              <w:widowControl/>
              <w:jc w:val="left"/>
              <w:outlineLvl w:val="1"/>
              <w:rPr>
                <w:rFonts w:ascii="宋体"/>
                <w:b/>
                <w:kern w:val="0"/>
                <w:sz w:val="18"/>
                <w:szCs w:val="18"/>
              </w:rPr>
            </w:pPr>
          </w:p>
        </w:tc>
        <w:tc>
          <w:tcPr>
            <w:tcW w:w="647" w:type="dxa"/>
            <w:vMerge w:val="continue"/>
          </w:tcPr>
          <w:p>
            <w:pPr>
              <w:widowControl/>
              <w:jc w:val="left"/>
              <w:outlineLvl w:val="1"/>
              <w:rPr>
                <w:rFonts w:ascii="宋体"/>
                <w:b/>
                <w:kern w:val="0"/>
                <w:sz w:val="18"/>
                <w:szCs w:val="18"/>
              </w:rPr>
            </w:pPr>
          </w:p>
        </w:tc>
        <w:tc>
          <w:tcPr>
            <w:tcW w:w="672" w:type="dxa"/>
            <w:vMerge w:val="continue"/>
          </w:tcPr>
          <w:p>
            <w:pPr>
              <w:widowControl/>
              <w:jc w:val="left"/>
              <w:outlineLvl w:val="1"/>
              <w:rPr>
                <w:rFonts w:ascii="宋体"/>
                <w:b/>
                <w:kern w:val="0"/>
                <w:sz w:val="18"/>
                <w:szCs w:val="18"/>
              </w:rPr>
            </w:pPr>
          </w:p>
        </w:tc>
        <w:tc>
          <w:tcPr>
            <w:tcW w:w="570" w:type="dxa"/>
            <w:vMerge w:val="continue"/>
          </w:tcPr>
          <w:p>
            <w:pPr>
              <w:widowControl/>
              <w:jc w:val="left"/>
              <w:outlineLvl w:val="1"/>
              <w:rPr>
                <w:rFonts w:ascii="宋体"/>
                <w:b/>
                <w:kern w:val="0"/>
                <w:sz w:val="18"/>
                <w:szCs w:val="18"/>
              </w:rPr>
            </w:pPr>
          </w:p>
        </w:tc>
        <w:tc>
          <w:tcPr>
            <w:tcW w:w="743" w:type="dxa"/>
            <w:vMerge w:val="continue"/>
          </w:tcPr>
          <w:p>
            <w:pPr>
              <w:widowControl/>
              <w:jc w:val="left"/>
              <w:outlineLvl w:val="1"/>
              <w:rPr>
                <w:rFonts w:ascii="宋体"/>
                <w:b/>
                <w:kern w:val="0"/>
                <w:sz w:val="18"/>
                <w:szCs w:val="18"/>
              </w:rPr>
            </w:pPr>
          </w:p>
        </w:tc>
        <w:tc>
          <w:tcPr>
            <w:tcW w:w="463" w:type="dxa"/>
            <w:vMerge w:val="continue"/>
          </w:tcPr>
          <w:p>
            <w:pPr>
              <w:widowControl/>
              <w:jc w:val="left"/>
              <w:outlineLvl w:val="1"/>
              <w:rPr>
                <w:rFonts w:ascii="宋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35" w:type="dxa"/>
            <w:vAlign w:val="center"/>
          </w:tcPr>
          <w:p>
            <w:pPr>
              <w:widowControl/>
              <w:spacing w:line="280" w:lineRule="exact"/>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208</w:t>
            </w:r>
          </w:p>
        </w:tc>
        <w:tc>
          <w:tcPr>
            <w:tcW w:w="427" w:type="dxa"/>
            <w:vAlign w:val="center"/>
          </w:tcPr>
          <w:p>
            <w:pPr>
              <w:widowControl/>
              <w:spacing w:line="280" w:lineRule="exact"/>
              <w:jc w:val="center"/>
              <w:rPr>
                <w:rFonts w:hint="eastAsia" w:ascii="仿宋_GB2312" w:hAnsi="宋体" w:eastAsia="仿宋_GB2312" w:cs="宋体"/>
                <w:kern w:val="0"/>
                <w:sz w:val="20"/>
                <w:szCs w:val="20"/>
                <w:lang w:val="en-US" w:eastAsia="zh-CN"/>
              </w:rPr>
            </w:pPr>
          </w:p>
        </w:tc>
        <w:tc>
          <w:tcPr>
            <w:tcW w:w="473" w:type="dxa"/>
            <w:vAlign w:val="center"/>
          </w:tcPr>
          <w:p>
            <w:pPr>
              <w:widowControl/>
              <w:spacing w:line="280" w:lineRule="exact"/>
              <w:jc w:val="center"/>
              <w:rPr>
                <w:rFonts w:hint="eastAsia" w:ascii="仿宋_GB2312" w:hAnsi="宋体" w:eastAsia="仿宋_GB2312" w:cs="宋体"/>
                <w:kern w:val="0"/>
                <w:sz w:val="20"/>
                <w:szCs w:val="20"/>
                <w:lang w:val="en-US" w:eastAsia="zh-CN"/>
              </w:rPr>
            </w:pPr>
          </w:p>
        </w:tc>
        <w:tc>
          <w:tcPr>
            <w:tcW w:w="1489" w:type="dxa"/>
            <w:vAlign w:val="center"/>
          </w:tcPr>
          <w:p>
            <w:pPr>
              <w:widowControl/>
              <w:spacing w:line="280" w:lineRule="exact"/>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社会保障和就业支出</w:t>
            </w:r>
          </w:p>
        </w:tc>
        <w:tc>
          <w:tcPr>
            <w:tcW w:w="1073" w:type="dxa"/>
            <w:vAlign w:val="center"/>
          </w:tcPr>
          <w:p>
            <w:pPr>
              <w:widowControl/>
              <w:spacing w:line="280" w:lineRule="exact"/>
              <w:jc w:val="center"/>
              <w:rPr>
                <w:rFonts w:hint="eastAsia" w:ascii="仿宋_GB2312" w:hAnsi="宋体" w:eastAsia="仿宋_GB2312" w:cs="宋体"/>
                <w:kern w:val="0"/>
                <w:sz w:val="20"/>
                <w:szCs w:val="20"/>
                <w:lang w:val="en-US" w:eastAsia="zh-CN"/>
              </w:rPr>
            </w:pPr>
          </w:p>
        </w:tc>
        <w:tc>
          <w:tcPr>
            <w:tcW w:w="870" w:type="dxa"/>
            <w:vAlign w:val="center"/>
          </w:tcPr>
          <w:p>
            <w:pPr>
              <w:widowControl/>
              <w:spacing w:line="28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67.00</w:t>
            </w:r>
          </w:p>
        </w:tc>
        <w:tc>
          <w:tcPr>
            <w:tcW w:w="711" w:type="dxa"/>
            <w:vAlign w:val="center"/>
          </w:tcPr>
          <w:p>
            <w:pPr>
              <w:widowControl/>
              <w:spacing w:line="280" w:lineRule="exact"/>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8.10</w:t>
            </w:r>
          </w:p>
        </w:tc>
        <w:tc>
          <w:tcPr>
            <w:tcW w:w="830" w:type="dxa"/>
            <w:vAlign w:val="center"/>
          </w:tcPr>
          <w:p>
            <w:pPr>
              <w:widowControl/>
              <w:spacing w:line="280" w:lineRule="exact"/>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49.90</w:t>
            </w:r>
          </w:p>
        </w:tc>
        <w:tc>
          <w:tcPr>
            <w:tcW w:w="797" w:type="dxa"/>
            <w:vAlign w:val="center"/>
          </w:tcPr>
          <w:p>
            <w:pPr>
              <w:widowControl/>
              <w:spacing w:line="28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9.00</w:t>
            </w:r>
          </w:p>
        </w:tc>
        <w:tc>
          <w:tcPr>
            <w:tcW w:w="547" w:type="dxa"/>
            <w:vAlign w:val="center"/>
          </w:tcPr>
          <w:p>
            <w:pPr>
              <w:widowControl/>
              <w:spacing w:line="280" w:lineRule="exact"/>
              <w:jc w:val="center"/>
              <w:rPr>
                <w:rFonts w:hint="eastAsia" w:ascii="仿宋_GB2312" w:hAnsi="宋体" w:eastAsia="仿宋_GB2312" w:cs="宋体"/>
                <w:kern w:val="0"/>
                <w:sz w:val="20"/>
                <w:szCs w:val="20"/>
                <w:lang w:val="en-US" w:eastAsia="zh-CN"/>
              </w:rPr>
            </w:pPr>
          </w:p>
        </w:tc>
        <w:tc>
          <w:tcPr>
            <w:tcW w:w="606" w:type="dxa"/>
            <w:vAlign w:val="center"/>
          </w:tcPr>
          <w:p>
            <w:pPr>
              <w:widowControl/>
              <w:spacing w:line="280" w:lineRule="exact"/>
              <w:jc w:val="center"/>
              <w:rPr>
                <w:rFonts w:hint="eastAsia" w:ascii="仿宋_GB2312" w:hAnsi="宋体" w:eastAsia="仿宋_GB2312" w:cs="宋体"/>
                <w:kern w:val="0"/>
                <w:sz w:val="20"/>
                <w:szCs w:val="20"/>
                <w:lang w:val="en-US" w:eastAsia="zh-CN"/>
              </w:rPr>
            </w:pPr>
          </w:p>
        </w:tc>
        <w:tc>
          <w:tcPr>
            <w:tcW w:w="647" w:type="dxa"/>
          </w:tcPr>
          <w:p>
            <w:pPr>
              <w:widowControl/>
              <w:spacing w:line="280" w:lineRule="exact"/>
              <w:jc w:val="center"/>
              <w:rPr>
                <w:rFonts w:hint="eastAsia" w:ascii="仿宋_GB2312" w:hAnsi="宋体" w:eastAsia="仿宋_GB2312" w:cs="宋体"/>
                <w:kern w:val="0"/>
                <w:sz w:val="20"/>
                <w:szCs w:val="20"/>
                <w:lang w:val="en-US" w:eastAsia="zh-CN"/>
              </w:rPr>
            </w:pPr>
          </w:p>
        </w:tc>
        <w:tc>
          <w:tcPr>
            <w:tcW w:w="672" w:type="dxa"/>
          </w:tcPr>
          <w:p>
            <w:pPr>
              <w:widowControl/>
              <w:spacing w:line="280" w:lineRule="exact"/>
              <w:jc w:val="center"/>
              <w:rPr>
                <w:rFonts w:hint="eastAsia" w:ascii="仿宋_GB2312" w:hAnsi="宋体" w:eastAsia="仿宋_GB2312" w:cs="宋体"/>
                <w:kern w:val="0"/>
                <w:sz w:val="20"/>
                <w:szCs w:val="20"/>
                <w:lang w:val="en-US" w:eastAsia="zh-CN"/>
              </w:rPr>
            </w:pPr>
          </w:p>
        </w:tc>
        <w:tc>
          <w:tcPr>
            <w:tcW w:w="570" w:type="dxa"/>
          </w:tcPr>
          <w:p>
            <w:pPr>
              <w:widowControl/>
              <w:spacing w:line="280" w:lineRule="exact"/>
              <w:jc w:val="center"/>
              <w:rPr>
                <w:rFonts w:hint="eastAsia" w:ascii="仿宋_GB2312" w:hAnsi="宋体" w:eastAsia="仿宋_GB2312" w:cs="宋体"/>
                <w:kern w:val="0"/>
                <w:sz w:val="20"/>
                <w:szCs w:val="20"/>
                <w:lang w:val="en-US" w:eastAsia="zh-CN"/>
              </w:rPr>
            </w:pPr>
          </w:p>
        </w:tc>
        <w:tc>
          <w:tcPr>
            <w:tcW w:w="743" w:type="dxa"/>
          </w:tcPr>
          <w:p>
            <w:pPr>
              <w:widowControl/>
              <w:spacing w:line="280" w:lineRule="exact"/>
              <w:jc w:val="center"/>
              <w:rPr>
                <w:rFonts w:hint="eastAsia" w:ascii="仿宋_GB2312" w:hAnsi="宋体" w:eastAsia="仿宋_GB2312" w:cs="宋体"/>
                <w:kern w:val="0"/>
                <w:sz w:val="20"/>
                <w:szCs w:val="20"/>
                <w:lang w:val="en-US" w:eastAsia="zh-CN"/>
              </w:rPr>
            </w:pPr>
          </w:p>
        </w:tc>
        <w:tc>
          <w:tcPr>
            <w:tcW w:w="463" w:type="dxa"/>
          </w:tcPr>
          <w:p>
            <w:pPr>
              <w:widowControl/>
              <w:spacing w:line="280" w:lineRule="exact"/>
              <w:jc w:val="center"/>
              <w:rPr>
                <w:rFonts w:hint="eastAsia" w:ascii="仿宋_GB2312" w:hAnsi="宋体" w:eastAsia="仿宋_GB2312"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35" w:type="dxa"/>
            <w:vAlign w:val="center"/>
          </w:tcPr>
          <w:p>
            <w:pPr>
              <w:widowControl/>
              <w:spacing w:line="280" w:lineRule="exact"/>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208</w:t>
            </w:r>
          </w:p>
        </w:tc>
        <w:tc>
          <w:tcPr>
            <w:tcW w:w="427" w:type="dxa"/>
            <w:vAlign w:val="center"/>
          </w:tcPr>
          <w:p>
            <w:pPr>
              <w:widowControl/>
              <w:spacing w:line="280" w:lineRule="exact"/>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02</w:t>
            </w:r>
          </w:p>
        </w:tc>
        <w:tc>
          <w:tcPr>
            <w:tcW w:w="473" w:type="dxa"/>
            <w:vAlign w:val="center"/>
          </w:tcPr>
          <w:p>
            <w:pPr>
              <w:widowControl/>
              <w:spacing w:line="280" w:lineRule="exact"/>
              <w:jc w:val="center"/>
              <w:rPr>
                <w:rFonts w:hint="eastAsia" w:ascii="仿宋_GB2312" w:hAnsi="宋体" w:eastAsia="仿宋_GB2312" w:cs="宋体"/>
                <w:kern w:val="0"/>
                <w:sz w:val="20"/>
                <w:szCs w:val="20"/>
                <w:lang w:val="en-US" w:eastAsia="zh-CN"/>
              </w:rPr>
            </w:pPr>
          </w:p>
        </w:tc>
        <w:tc>
          <w:tcPr>
            <w:tcW w:w="1489" w:type="dxa"/>
            <w:vAlign w:val="center"/>
          </w:tcPr>
          <w:p>
            <w:pPr>
              <w:widowControl/>
              <w:spacing w:line="280" w:lineRule="exact"/>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民政管理事务</w:t>
            </w:r>
          </w:p>
        </w:tc>
        <w:tc>
          <w:tcPr>
            <w:tcW w:w="1073" w:type="dxa"/>
            <w:vAlign w:val="center"/>
          </w:tcPr>
          <w:p>
            <w:pPr>
              <w:widowControl/>
              <w:spacing w:line="280" w:lineRule="exact"/>
              <w:jc w:val="center"/>
              <w:rPr>
                <w:rFonts w:hint="eastAsia" w:ascii="仿宋_GB2312" w:hAnsi="宋体" w:eastAsia="仿宋_GB2312" w:cs="宋体"/>
                <w:kern w:val="0"/>
                <w:sz w:val="20"/>
                <w:szCs w:val="20"/>
                <w:lang w:val="en-US" w:eastAsia="zh-CN"/>
              </w:rPr>
            </w:pPr>
          </w:p>
        </w:tc>
        <w:tc>
          <w:tcPr>
            <w:tcW w:w="870" w:type="dxa"/>
            <w:vAlign w:val="center"/>
          </w:tcPr>
          <w:p>
            <w:pPr>
              <w:widowControl/>
              <w:spacing w:line="28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67.00</w:t>
            </w:r>
          </w:p>
        </w:tc>
        <w:tc>
          <w:tcPr>
            <w:tcW w:w="711" w:type="dxa"/>
            <w:vAlign w:val="center"/>
          </w:tcPr>
          <w:p>
            <w:pPr>
              <w:widowControl/>
              <w:spacing w:line="280" w:lineRule="exact"/>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8.10</w:t>
            </w:r>
          </w:p>
        </w:tc>
        <w:tc>
          <w:tcPr>
            <w:tcW w:w="830" w:type="dxa"/>
            <w:vAlign w:val="center"/>
          </w:tcPr>
          <w:p>
            <w:pPr>
              <w:widowControl/>
              <w:spacing w:line="280" w:lineRule="exact"/>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49.90</w:t>
            </w:r>
          </w:p>
        </w:tc>
        <w:tc>
          <w:tcPr>
            <w:tcW w:w="797" w:type="dxa"/>
            <w:vAlign w:val="center"/>
          </w:tcPr>
          <w:p>
            <w:pPr>
              <w:widowControl/>
              <w:spacing w:line="28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9.00</w:t>
            </w:r>
          </w:p>
        </w:tc>
        <w:tc>
          <w:tcPr>
            <w:tcW w:w="547" w:type="dxa"/>
            <w:vAlign w:val="center"/>
          </w:tcPr>
          <w:p>
            <w:pPr>
              <w:widowControl/>
              <w:spacing w:line="280" w:lineRule="exact"/>
              <w:jc w:val="center"/>
              <w:rPr>
                <w:rFonts w:hint="eastAsia" w:ascii="仿宋_GB2312" w:hAnsi="宋体" w:eastAsia="仿宋_GB2312" w:cs="宋体"/>
                <w:kern w:val="0"/>
                <w:sz w:val="20"/>
                <w:szCs w:val="20"/>
                <w:lang w:val="en-US" w:eastAsia="zh-CN"/>
              </w:rPr>
            </w:pPr>
          </w:p>
        </w:tc>
        <w:tc>
          <w:tcPr>
            <w:tcW w:w="606" w:type="dxa"/>
            <w:vAlign w:val="center"/>
          </w:tcPr>
          <w:p>
            <w:pPr>
              <w:widowControl/>
              <w:spacing w:line="280" w:lineRule="exact"/>
              <w:jc w:val="center"/>
              <w:rPr>
                <w:rFonts w:hint="eastAsia" w:ascii="仿宋_GB2312" w:hAnsi="宋体" w:eastAsia="仿宋_GB2312" w:cs="宋体"/>
                <w:kern w:val="0"/>
                <w:sz w:val="20"/>
                <w:szCs w:val="20"/>
                <w:lang w:val="en-US" w:eastAsia="zh-CN"/>
              </w:rPr>
            </w:pPr>
          </w:p>
        </w:tc>
        <w:tc>
          <w:tcPr>
            <w:tcW w:w="647" w:type="dxa"/>
          </w:tcPr>
          <w:p>
            <w:pPr>
              <w:widowControl/>
              <w:spacing w:line="280" w:lineRule="exact"/>
              <w:jc w:val="center"/>
              <w:rPr>
                <w:rFonts w:hint="eastAsia" w:ascii="仿宋_GB2312" w:hAnsi="宋体" w:eastAsia="仿宋_GB2312" w:cs="宋体"/>
                <w:kern w:val="0"/>
                <w:sz w:val="20"/>
                <w:szCs w:val="20"/>
                <w:lang w:val="en-US" w:eastAsia="zh-CN"/>
              </w:rPr>
            </w:pPr>
          </w:p>
        </w:tc>
        <w:tc>
          <w:tcPr>
            <w:tcW w:w="672" w:type="dxa"/>
          </w:tcPr>
          <w:p>
            <w:pPr>
              <w:widowControl/>
              <w:spacing w:line="280" w:lineRule="exact"/>
              <w:jc w:val="center"/>
              <w:rPr>
                <w:rFonts w:hint="eastAsia" w:ascii="仿宋_GB2312" w:hAnsi="宋体" w:eastAsia="仿宋_GB2312" w:cs="宋体"/>
                <w:kern w:val="0"/>
                <w:sz w:val="20"/>
                <w:szCs w:val="20"/>
                <w:lang w:val="en-US" w:eastAsia="zh-CN"/>
              </w:rPr>
            </w:pPr>
          </w:p>
        </w:tc>
        <w:tc>
          <w:tcPr>
            <w:tcW w:w="570" w:type="dxa"/>
          </w:tcPr>
          <w:p>
            <w:pPr>
              <w:widowControl/>
              <w:spacing w:line="280" w:lineRule="exact"/>
              <w:jc w:val="center"/>
              <w:rPr>
                <w:rFonts w:hint="eastAsia" w:ascii="仿宋_GB2312" w:hAnsi="宋体" w:eastAsia="仿宋_GB2312" w:cs="宋体"/>
                <w:kern w:val="0"/>
                <w:sz w:val="20"/>
                <w:szCs w:val="20"/>
                <w:lang w:val="en-US" w:eastAsia="zh-CN"/>
              </w:rPr>
            </w:pPr>
          </w:p>
        </w:tc>
        <w:tc>
          <w:tcPr>
            <w:tcW w:w="743" w:type="dxa"/>
          </w:tcPr>
          <w:p>
            <w:pPr>
              <w:widowControl/>
              <w:spacing w:line="280" w:lineRule="exact"/>
              <w:jc w:val="center"/>
              <w:rPr>
                <w:rFonts w:hint="eastAsia" w:ascii="仿宋_GB2312" w:hAnsi="宋体" w:eastAsia="仿宋_GB2312" w:cs="宋体"/>
                <w:kern w:val="0"/>
                <w:sz w:val="20"/>
                <w:szCs w:val="20"/>
                <w:lang w:val="en-US" w:eastAsia="zh-CN"/>
              </w:rPr>
            </w:pPr>
          </w:p>
        </w:tc>
        <w:tc>
          <w:tcPr>
            <w:tcW w:w="463" w:type="dxa"/>
          </w:tcPr>
          <w:p>
            <w:pPr>
              <w:widowControl/>
              <w:spacing w:line="280" w:lineRule="exact"/>
              <w:jc w:val="center"/>
              <w:rPr>
                <w:rFonts w:hint="eastAsia" w:ascii="仿宋_GB2312" w:hAnsi="宋体" w:eastAsia="仿宋_GB2312"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35" w:type="dxa"/>
            <w:vAlign w:val="center"/>
          </w:tcPr>
          <w:p>
            <w:pPr>
              <w:widowControl/>
              <w:spacing w:line="280" w:lineRule="exact"/>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208</w:t>
            </w:r>
          </w:p>
        </w:tc>
        <w:tc>
          <w:tcPr>
            <w:tcW w:w="427" w:type="dxa"/>
            <w:vAlign w:val="center"/>
          </w:tcPr>
          <w:p>
            <w:pPr>
              <w:widowControl/>
              <w:spacing w:line="280" w:lineRule="exact"/>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02</w:t>
            </w:r>
          </w:p>
        </w:tc>
        <w:tc>
          <w:tcPr>
            <w:tcW w:w="473" w:type="dxa"/>
            <w:vAlign w:val="center"/>
          </w:tcPr>
          <w:p>
            <w:pPr>
              <w:widowControl/>
              <w:spacing w:line="280" w:lineRule="exact"/>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08</w:t>
            </w:r>
          </w:p>
        </w:tc>
        <w:tc>
          <w:tcPr>
            <w:tcW w:w="1489" w:type="dxa"/>
            <w:vAlign w:val="center"/>
          </w:tcPr>
          <w:p>
            <w:pPr>
              <w:widowControl/>
              <w:spacing w:line="280" w:lineRule="exact"/>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基层政权和社区建设</w:t>
            </w:r>
          </w:p>
        </w:tc>
        <w:tc>
          <w:tcPr>
            <w:tcW w:w="1073" w:type="dxa"/>
            <w:vAlign w:val="center"/>
          </w:tcPr>
          <w:p>
            <w:pPr>
              <w:widowControl/>
              <w:spacing w:line="280" w:lineRule="exact"/>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运转经费</w:t>
            </w:r>
          </w:p>
        </w:tc>
        <w:tc>
          <w:tcPr>
            <w:tcW w:w="870" w:type="dxa"/>
            <w:vAlign w:val="center"/>
          </w:tcPr>
          <w:p>
            <w:pPr>
              <w:widowControl/>
              <w:spacing w:line="28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50.00</w:t>
            </w:r>
          </w:p>
        </w:tc>
        <w:tc>
          <w:tcPr>
            <w:tcW w:w="711" w:type="dxa"/>
            <w:vAlign w:val="center"/>
          </w:tcPr>
          <w:p>
            <w:pPr>
              <w:widowControl/>
              <w:spacing w:line="280" w:lineRule="exact"/>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8.10</w:t>
            </w:r>
          </w:p>
        </w:tc>
        <w:tc>
          <w:tcPr>
            <w:tcW w:w="830" w:type="dxa"/>
            <w:vAlign w:val="center"/>
          </w:tcPr>
          <w:p>
            <w:pPr>
              <w:widowControl/>
              <w:spacing w:line="280" w:lineRule="exact"/>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49.90</w:t>
            </w:r>
          </w:p>
        </w:tc>
        <w:tc>
          <w:tcPr>
            <w:tcW w:w="797" w:type="dxa"/>
            <w:vAlign w:val="center"/>
          </w:tcPr>
          <w:p>
            <w:pPr>
              <w:widowControl/>
              <w:spacing w:line="280" w:lineRule="exact"/>
              <w:jc w:val="center"/>
              <w:rPr>
                <w:rFonts w:hint="eastAsia" w:ascii="仿宋_GB2312" w:hAnsi="宋体" w:eastAsia="仿宋_GB2312" w:cs="宋体"/>
                <w:kern w:val="0"/>
                <w:sz w:val="20"/>
                <w:szCs w:val="20"/>
                <w:lang w:val="en-US" w:eastAsia="zh-CN"/>
              </w:rPr>
            </w:pPr>
          </w:p>
        </w:tc>
        <w:tc>
          <w:tcPr>
            <w:tcW w:w="547" w:type="dxa"/>
            <w:vAlign w:val="center"/>
          </w:tcPr>
          <w:p>
            <w:pPr>
              <w:widowControl/>
              <w:spacing w:line="280" w:lineRule="exact"/>
              <w:jc w:val="center"/>
              <w:rPr>
                <w:rFonts w:hint="eastAsia" w:ascii="仿宋_GB2312" w:hAnsi="宋体" w:eastAsia="仿宋_GB2312" w:cs="宋体"/>
                <w:kern w:val="0"/>
                <w:sz w:val="20"/>
                <w:szCs w:val="20"/>
                <w:lang w:val="en-US" w:eastAsia="zh-CN"/>
              </w:rPr>
            </w:pPr>
          </w:p>
        </w:tc>
        <w:tc>
          <w:tcPr>
            <w:tcW w:w="606" w:type="dxa"/>
            <w:vAlign w:val="center"/>
          </w:tcPr>
          <w:p>
            <w:pPr>
              <w:widowControl/>
              <w:spacing w:line="280" w:lineRule="exact"/>
              <w:jc w:val="center"/>
              <w:rPr>
                <w:rFonts w:hint="eastAsia" w:ascii="仿宋_GB2312" w:hAnsi="宋体" w:eastAsia="仿宋_GB2312" w:cs="宋体"/>
                <w:kern w:val="0"/>
                <w:sz w:val="20"/>
                <w:szCs w:val="20"/>
                <w:lang w:val="en-US" w:eastAsia="zh-CN"/>
              </w:rPr>
            </w:pPr>
          </w:p>
        </w:tc>
        <w:tc>
          <w:tcPr>
            <w:tcW w:w="647" w:type="dxa"/>
          </w:tcPr>
          <w:p>
            <w:pPr>
              <w:widowControl/>
              <w:spacing w:line="280" w:lineRule="exact"/>
              <w:jc w:val="center"/>
              <w:rPr>
                <w:rFonts w:hint="eastAsia" w:ascii="仿宋_GB2312" w:hAnsi="宋体" w:eastAsia="仿宋_GB2312" w:cs="宋体"/>
                <w:kern w:val="0"/>
                <w:sz w:val="20"/>
                <w:szCs w:val="20"/>
                <w:lang w:val="en-US" w:eastAsia="zh-CN"/>
              </w:rPr>
            </w:pPr>
          </w:p>
        </w:tc>
        <w:tc>
          <w:tcPr>
            <w:tcW w:w="672" w:type="dxa"/>
          </w:tcPr>
          <w:p>
            <w:pPr>
              <w:widowControl/>
              <w:spacing w:line="280" w:lineRule="exact"/>
              <w:jc w:val="center"/>
              <w:rPr>
                <w:rFonts w:hint="eastAsia" w:ascii="仿宋_GB2312" w:hAnsi="宋体" w:eastAsia="仿宋_GB2312" w:cs="宋体"/>
                <w:kern w:val="0"/>
                <w:sz w:val="20"/>
                <w:szCs w:val="20"/>
                <w:lang w:val="en-US" w:eastAsia="zh-CN"/>
              </w:rPr>
            </w:pPr>
          </w:p>
        </w:tc>
        <w:tc>
          <w:tcPr>
            <w:tcW w:w="570" w:type="dxa"/>
          </w:tcPr>
          <w:p>
            <w:pPr>
              <w:widowControl/>
              <w:spacing w:line="280" w:lineRule="exact"/>
              <w:jc w:val="center"/>
              <w:rPr>
                <w:rFonts w:hint="eastAsia" w:ascii="仿宋_GB2312" w:hAnsi="宋体" w:eastAsia="仿宋_GB2312" w:cs="宋体"/>
                <w:kern w:val="0"/>
                <w:sz w:val="20"/>
                <w:szCs w:val="20"/>
                <w:lang w:val="en-US" w:eastAsia="zh-CN"/>
              </w:rPr>
            </w:pPr>
          </w:p>
        </w:tc>
        <w:tc>
          <w:tcPr>
            <w:tcW w:w="743" w:type="dxa"/>
          </w:tcPr>
          <w:p>
            <w:pPr>
              <w:widowControl/>
              <w:spacing w:line="280" w:lineRule="exact"/>
              <w:jc w:val="center"/>
              <w:rPr>
                <w:rFonts w:hint="eastAsia" w:ascii="仿宋_GB2312" w:hAnsi="宋体" w:eastAsia="仿宋_GB2312" w:cs="宋体"/>
                <w:kern w:val="0"/>
                <w:sz w:val="20"/>
                <w:szCs w:val="20"/>
                <w:lang w:val="en-US" w:eastAsia="zh-CN"/>
              </w:rPr>
            </w:pPr>
          </w:p>
        </w:tc>
        <w:tc>
          <w:tcPr>
            <w:tcW w:w="463" w:type="dxa"/>
          </w:tcPr>
          <w:p>
            <w:pPr>
              <w:widowControl/>
              <w:spacing w:line="280" w:lineRule="exact"/>
              <w:jc w:val="center"/>
              <w:rPr>
                <w:rFonts w:hint="eastAsia" w:ascii="仿宋_GB2312" w:hAnsi="宋体" w:eastAsia="仿宋_GB2312"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35" w:type="dxa"/>
            <w:vAlign w:val="center"/>
          </w:tcPr>
          <w:p>
            <w:pPr>
              <w:widowControl/>
              <w:spacing w:line="280" w:lineRule="exact"/>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208</w:t>
            </w:r>
          </w:p>
        </w:tc>
        <w:tc>
          <w:tcPr>
            <w:tcW w:w="427" w:type="dxa"/>
            <w:vAlign w:val="center"/>
          </w:tcPr>
          <w:p>
            <w:pPr>
              <w:widowControl/>
              <w:spacing w:line="280" w:lineRule="exact"/>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02</w:t>
            </w:r>
          </w:p>
        </w:tc>
        <w:tc>
          <w:tcPr>
            <w:tcW w:w="473" w:type="dxa"/>
            <w:vAlign w:val="center"/>
          </w:tcPr>
          <w:p>
            <w:pPr>
              <w:widowControl/>
              <w:spacing w:line="280" w:lineRule="exact"/>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08</w:t>
            </w:r>
          </w:p>
        </w:tc>
        <w:tc>
          <w:tcPr>
            <w:tcW w:w="1489" w:type="dxa"/>
            <w:vAlign w:val="center"/>
          </w:tcPr>
          <w:p>
            <w:pPr>
              <w:widowControl/>
              <w:spacing w:line="280" w:lineRule="exact"/>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基层政权和社区建设</w:t>
            </w:r>
          </w:p>
        </w:tc>
        <w:tc>
          <w:tcPr>
            <w:tcW w:w="1073" w:type="dxa"/>
            <w:vAlign w:val="center"/>
          </w:tcPr>
          <w:p>
            <w:pPr>
              <w:widowControl/>
              <w:spacing w:line="280" w:lineRule="exact"/>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社区经费县级配套</w:t>
            </w:r>
          </w:p>
        </w:tc>
        <w:tc>
          <w:tcPr>
            <w:tcW w:w="870" w:type="dxa"/>
            <w:vAlign w:val="center"/>
          </w:tcPr>
          <w:p>
            <w:pPr>
              <w:widowControl/>
              <w:spacing w:line="28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8.00</w:t>
            </w:r>
          </w:p>
        </w:tc>
        <w:tc>
          <w:tcPr>
            <w:tcW w:w="711" w:type="dxa"/>
            <w:vAlign w:val="center"/>
          </w:tcPr>
          <w:p>
            <w:pPr>
              <w:widowControl/>
              <w:spacing w:line="280" w:lineRule="exact"/>
              <w:jc w:val="center"/>
              <w:rPr>
                <w:rFonts w:hint="eastAsia" w:ascii="仿宋_GB2312" w:hAnsi="宋体" w:eastAsia="仿宋_GB2312" w:cs="宋体"/>
                <w:kern w:val="0"/>
                <w:sz w:val="20"/>
                <w:szCs w:val="20"/>
                <w:lang w:val="en-US" w:eastAsia="zh-CN"/>
              </w:rPr>
            </w:pPr>
          </w:p>
        </w:tc>
        <w:tc>
          <w:tcPr>
            <w:tcW w:w="830" w:type="dxa"/>
            <w:vAlign w:val="center"/>
          </w:tcPr>
          <w:p>
            <w:pPr>
              <w:widowControl/>
              <w:spacing w:line="28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8.00</w:t>
            </w:r>
          </w:p>
        </w:tc>
        <w:tc>
          <w:tcPr>
            <w:tcW w:w="797" w:type="dxa"/>
            <w:vAlign w:val="center"/>
          </w:tcPr>
          <w:p>
            <w:pPr>
              <w:widowControl/>
              <w:spacing w:line="280" w:lineRule="exact"/>
              <w:jc w:val="center"/>
              <w:rPr>
                <w:rFonts w:hint="eastAsia" w:ascii="仿宋_GB2312" w:hAnsi="宋体" w:eastAsia="仿宋_GB2312" w:cs="宋体"/>
                <w:kern w:val="0"/>
                <w:sz w:val="20"/>
                <w:szCs w:val="20"/>
                <w:lang w:val="en-US" w:eastAsia="zh-CN"/>
              </w:rPr>
            </w:pPr>
          </w:p>
        </w:tc>
        <w:tc>
          <w:tcPr>
            <w:tcW w:w="547" w:type="dxa"/>
            <w:vAlign w:val="center"/>
          </w:tcPr>
          <w:p>
            <w:pPr>
              <w:widowControl/>
              <w:spacing w:line="280" w:lineRule="exact"/>
              <w:jc w:val="center"/>
              <w:rPr>
                <w:rFonts w:hint="eastAsia" w:ascii="仿宋_GB2312" w:hAnsi="宋体" w:eastAsia="仿宋_GB2312" w:cs="宋体"/>
                <w:kern w:val="0"/>
                <w:sz w:val="20"/>
                <w:szCs w:val="20"/>
                <w:lang w:val="en-US" w:eastAsia="zh-CN"/>
              </w:rPr>
            </w:pPr>
          </w:p>
        </w:tc>
        <w:tc>
          <w:tcPr>
            <w:tcW w:w="606" w:type="dxa"/>
            <w:vAlign w:val="center"/>
          </w:tcPr>
          <w:p>
            <w:pPr>
              <w:widowControl/>
              <w:spacing w:line="280" w:lineRule="exact"/>
              <w:jc w:val="center"/>
              <w:rPr>
                <w:rFonts w:hint="eastAsia" w:ascii="仿宋_GB2312" w:hAnsi="宋体" w:eastAsia="仿宋_GB2312" w:cs="宋体"/>
                <w:kern w:val="0"/>
                <w:sz w:val="20"/>
                <w:szCs w:val="20"/>
                <w:lang w:val="en-US" w:eastAsia="zh-CN"/>
              </w:rPr>
            </w:pPr>
          </w:p>
        </w:tc>
        <w:tc>
          <w:tcPr>
            <w:tcW w:w="647" w:type="dxa"/>
          </w:tcPr>
          <w:p>
            <w:pPr>
              <w:widowControl/>
              <w:spacing w:line="280" w:lineRule="exact"/>
              <w:jc w:val="center"/>
              <w:rPr>
                <w:rFonts w:hint="eastAsia" w:ascii="仿宋_GB2312" w:hAnsi="宋体" w:eastAsia="仿宋_GB2312" w:cs="宋体"/>
                <w:kern w:val="0"/>
                <w:sz w:val="20"/>
                <w:szCs w:val="20"/>
                <w:lang w:val="en-US" w:eastAsia="zh-CN"/>
              </w:rPr>
            </w:pPr>
          </w:p>
        </w:tc>
        <w:tc>
          <w:tcPr>
            <w:tcW w:w="672" w:type="dxa"/>
          </w:tcPr>
          <w:p>
            <w:pPr>
              <w:widowControl/>
              <w:spacing w:line="280" w:lineRule="exact"/>
              <w:jc w:val="center"/>
              <w:rPr>
                <w:rFonts w:hint="eastAsia" w:ascii="仿宋_GB2312" w:hAnsi="宋体" w:eastAsia="仿宋_GB2312" w:cs="宋体"/>
                <w:kern w:val="0"/>
                <w:sz w:val="20"/>
                <w:szCs w:val="20"/>
                <w:lang w:val="en-US" w:eastAsia="zh-CN"/>
              </w:rPr>
            </w:pPr>
          </w:p>
        </w:tc>
        <w:tc>
          <w:tcPr>
            <w:tcW w:w="570" w:type="dxa"/>
          </w:tcPr>
          <w:p>
            <w:pPr>
              <w:widowControl/>
              <w:spacing w:line="280" w:lineRule="exact"/>
              <w:jc w:val="center"/>
              <w:rPr>
                <w:rFonts w:hint="eastAsia" w:ascii="仿宋_GB2312" w:hAnsi="宋体" w:eastAsia="仿宋_GB2312" w:cs="宋体"/>
                <w:kern w:val="0"/>
                <w:sz w:val="20"/>
                <w:szCs w:val="20"/>
                <w:lang w:val="en-US" w:eastAsia="zh-CN"/>
              </w:rPr>
            </w:pPr>
          </w:p>
        </w:tc>
        <w:tc>
          <w:tcPr>
            <w:tcW w:w="743" w:type="dxa"/>
          </w:tcPr>
          <w:p>
            <w:pPr>
              <w:widowControl/>
              <w:spacing w:line="280" w:lineRule="exact"/>
              <w:jc w:val="center"/>
              <w:rPr>
                <w:rFonts w:hint="eastAsia" w:ascii="仿宋_GB2312" w:hAnsi="宋体" w:eastAsia="仿宋_GB2312" w:cs="宋体"/>
                <w:kern w:val="0"/>
                <w:sz w:val="20"/>
                <w:szCs w:val="20"/>
                <w:lang w:val="en-US" w:eastAsia="zh-CN"/>
              </w:rPr>
            </w:pPr>
          </w:p>
        </w:tc>
        <w:tc>
          <w:tcPr>
            <w:tcW w:w="463" w:type="dxa"/>
          </w:tcPr>
          <w:p>
            <w:pPr>
              <w:widowControl/>
              <w:spacing w:line="280" w:lineRule="exact"/>
              <w:jc w:val="center"/>
              <w:rPr>
                <w:rFonts w:hint="eastAsia" w:ascii="仿宋_GB2312" w:hAnsi="宋体" w:eastAsia="仿宋_GB2312"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35" w:type="dxa"/>
            <w:vAlign w:val="center"/>
          </w:tcPr>
          <w:p>
            <w:pPr>
              <w:widowControl/>
              <w:spacing w:line="280" w:lineRule="exact"/>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208</w:t>
            </w:r>
          </w:p>
        </w:tc>
        <w:tc>
          <w:tcPr>
            <w:tcW w:w="427" w:type="dxa"/>
            <w:vAlign w:val="center"/>
          </w:tcPr>
          <w:p>
            <w:pPr>
              <w:widowControl/>
              <w:spacing w:line="280" w:lineRule="exact"/>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02</w:t>
            </w:r>
          </w:p>
        </w:tc>
        <w:tc>
          <w:tcPr>
            <w:tcW w:w="473" w:type="dxa"/>
            <w:vAlign w:val="center"/>
          </w:tcPr>
          <w:p>
            <w:pPr>
              <w:widowControl/>
              <w:spacing w:line="280" w:lineRule="exact"/>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08</w:t>
            </w:r>
          </w:p>
        </w:tc>
        <w:tc>
          <w:tcPr>
            <w:tcW w:w="1489" w:type="dxa"/>
            <w:vAlign w:val="center"/>
          </w:tcPr>
          <w:p>
            <w:pPr>
              <w:widowControl/>
              <w:spacing w:line="280" w:lineRule="exact"/>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基层政权和社区建设</w:t>
            </w:r>
          </w:p>
        </w:tc>
        <w:tc>
          <w:tcPr>
            <w:tcW w:w="1073" w:type="dxa"/>
            <w:vAlign w:val="center"/>
          </w:tcPr>
          <w:p>
            <w:pPr>
              <w:widowControl/>
              <w:spacing w:line="280" w:lineRule="exact"/>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非在编社区工作者维稳补助</w:t>
            </w:r>
          </w:p>
        </w:tc>
        <w:tc>
          <w:tcPr>
            <w:tcW w:w="870" w:type="dxa"/>
            <w:vAlign w:val="center"/>
          </w:tcPr>
          <w:p>
            <w:pPr>
              <w:widowControl/>
              <w:spacing w:line="28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9.00</w:t>
            </w:r>
          </w:p>
        </w:tc>
        <w:tc>
          <w:tcPr>
            <w:tcW w:w="711" w:type="dxa"/>
            <w:vAlign w:val="center"/>
          </w:tcPr>
          <w:p>
            <w:pPr>
              <w:widowControl/>
              <w:spacing w:line="280" w:lineRule="exact"/>
              <w:jc w:val="center"/>
              <w:rPr>
                <w:rFonts w:hint="eastAsia" w:ascii="仿宋_GB2312" w:hAnsi="宋体" w:eastAsia="仿宋_GB2312" w:cs="宋体"/>
                <w:kern w:val="0"/>
                <w:sz w:val="20"/>
                <w:szCs w:val="20"/>
                <w:lang w:val="en-US" w:eastAsia="zh-CN"/>
              </w:rPr>
            </w:pPr>
          </w:p>
        </w:tc>
        <w:tc>
          <w:tcPr>
            <w:tcW w:w="830" w:type="dxa"/>
            <w:vAlign w:val="center"/>
          </w:tcPr>
          <w:p>
            <w:pPr>
              <w:widowControl/>
              <w:spacing w:line="280" w:lineRule="exact"/>
              <w:jc w:val="center"/>
              <w:rPr>
                <w:rFonts w:hint="eastAsia" w:ascii="仿宋_GB2312" w:hAnsi="宋体" w:eastAsia="仿宋_GB2312" w:cs="宋体"/>
                <w:kern w:val="0"/>
                <w:sz w:val="20"/>
                <w:szCs w:val="20"/>
                <w:lang w:val="en-US" w:eastAsia="zh-CN"/>
              </w:rPr>
            </w:pPr>
          </w:p>
        </w:tc>
        <w:tc>
          <w:tcPr>
            <w:tcW w:w="797" w:type="dxa"/>
            <w:vAlign w:val="center"/>
          </w:tcPr>
          <w:p>
            <w:pPr>
              <w:widowControl/>
              <w:spacing w:line="28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9.00</w:t>
            </w:r>
          </w:p>
        </w:tc>
        <w:tc>
          <w:tcPr>
            <w:tcW w:w="547" w:type="dxa"/>
            <w:vAlign w:val="center"/>
          </w:tcPr>
          <w:p>
            <w:pPr>
              <w:widowControl/>
              <w:spacing w:line="280" w:lineRule="exact"/>
              <w:jc w:val="center"/>
              <w:rPr>
                <w:rFonts w:hint="eastAsia" w:ascii="仿宋_GB2312" w:hAnsi="宋体" w:eastAsia="仿宋_GB2312" w:cs="宋体"/>
                <w:kern w:val="0"/>
                <w:sz w:val="20"/>
                <w:szCs w:val="20"/>
                <w:lang w:val="en-US" w:eastAsia="zh-CN"/>
              </w:rPr>
            </w:pPr>
          </w:p>
        </w:tc>
        <w:tc>
          <w:tcPr>
            <w:tcW w:w="606" w:type="dxa"/>
            <w:vAlign w:val="center"/>
          </w:tcPr>
          <w:p>
            <w:pPr>
              <w:widowControl/>
              <w:spacing w:line="280" w:lineRule="exact"/>
              <w:jc w:val="center"/>
              <w:rPr>
                <w:rFonts w:hint="eastAsia" w:ascii="仿宋_GB2312" w:hAnsi="宋体" w:eastAsia="仿宋_GB2312" w:cs="宋体"/>
                <w:kern w:val="0"/>
                <w:sz w:val="20"/>
                <w:szCs w:val="20"/>
                <w:lang w:val="en-US" w:eastAsia="zh-CN"/>
              </w:rPr>
            </w:pPr>
          </w:p>
        </w:tc>
        <w:tc>
          <w:tcPr>
            <w:tcW w:w="647" w:type="dxa"/>
          </w:tcPr>
          <w:p>
            <w:pPr>
              <w:widowControl/>
              <w:spacing w:line="280" w:lineRule="exact"/>
              <w:jc w:val="center"/>
              <w:rPr>
                <w:rFonts w:hint="eastAsia" w:ascii="仿宋_GB2312" w:hAnsi="宋体" w:eastAsia="仿宋_GB2312" w:cs="宋体"/>
                <w:kern w:val="0"/>
                <w:sz w:val="20"/>
                <w:szCs w:val="20"/>
                <w:lang w:val="en-US" w:eastAsia="zh-CN"/>
              </w:rPr>
            </w:pPr>
          </w:p>
        </w:tc>
        <w:tc>
          <w:tcPr>
            <w:tcW w:w="672" w:type="dxa"/>
          </w:tcPr>
          <w:p>
            <w:pPr>
              <w:widowControl/>
              <w:spacing w:line="280" w:lineRule="exact"/>
              <w:jc w:val="center"/>
              <w:rPr>
                <w:rFonts w:hint="eastAsia" w:ascii="仿宋_GB2312" w:hAnsi="宋体" w:eastAsia="仿宋_GB2312" w:cs="宋体"/>
                <w:kern w:val="0"/>
                <w:sz w:val="20"/>
                <w:szCs w:val="20"/>
                <w:lang w:val="en-US" w:eastAsia="zh-CN"/>
              </w:rPr>
            </w:pPr>
          </w:p>
        </w:tc>
        <w:tc>
          <w:tcPr>
            <w:tcW w:w="570" w:type="dxa"/>
          </w:tcPr>
          <w:p>
            <w:pPr>
              <w:widowControl/>
              <w:spacing w:line="280" w:lineRule="exact"/>
              <w:jc w:val="center"/>
              <w:rPr>
                <w:rFonts w:hint="eastAsia" w:ascii="仿宋_GB2312" w:hAnsi="宋体" w:eastAsia="仿宋_GB2312" w:cs="宋体"/>
                <w:kern w:val="0"/>
                <w:sz w:val="20"/>
                <w:szCs w:val="20"/>
                <w:lang w:val="en-US" w:eastAsia="zh-CN"/>
              </w:rPr>
            </w:pPr>
          </w:p>
        </w:tc>
        <w:tc>
          <w:tcPr>
            <w:tcW w:w="743" w:type="dxa"/>
          </w:tcPr>
          <w:p>
            <w:pPr>
              <w:widowControl/>
              <w:spacing w:line="280" w:lineRule="exact"/>
              <w:jc w:val="center"/>
              <w:rPr>
                <w:rFonts w:hint="eastAsia" w:ascii="仿宋_GB2312" w:hAnsi="宋体" w:eastAsia="仿宋_GB2312" w:cs="宋体"/>
                <w:kern w:val="0"/>
                <w:sz w:val="20"/>
                <w:szCs w:val="20"/>
                <w:lang w:val="en-US" w:eastAsia="zh-CN"/>
              </w:rPr>
            </w:pPr>
          </w:p>
        </w:tc>
        <w:tc>
          <w:tcPr>
            <w:tcW w:w="463" w:type="dxa"/>
          </w:tcPr>
          <w:p>
            <w:pPr>
              <w:widowControl/>
              <w:spacing w:line="280" w:lineRule="exact"/>
              <w:jc w:val="center"/>
              <w:rPr>
                <w:rFonts w:hint="eastAsia" w:ascii="仿宋_GB2312" w:hAnsi="宋体" w:eastAsia="仿宋_GB2312"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35" w:type="dxa"/>
            <w:vAlign w:val="center"/>
          </w:tcPr>
          <w:p>
            <w:pPr>
              <w:widowControl/>
              <w:spacing w:line="280" w:lineRule="exact"/>
              <w:jc w:val="center"/>
              <w:rPr>
                <w:rFonts w:hint="eastAsia" w:ascii="仿宋_GB2312" w:hAnsi="宋体" w:eastAsia="仿宋_GB2312" w:cs="宋体"/>
                <w:kern w:val="0"/>
                <w:sz w:val="20"/>
                <w:szCs w:val="20"/>
                <w:lang w:val="en-US" w:eastAsia="zh-CN"/>
              </w:rPr>
            </w:pPr>
          </w:p>
        </w:tc>
        <w:tc>
          <w:tcPr>
            <w:tcW w:w="427" w:type="dxa"/>
            <w:vAlign w:val="center"/>
          </w:tcPr>
          <w:p>
            <w:pPr>
              <w:widowControl/>
              <w:spacing w:line="280" w:lineRule="exact"/>
              <w:jc w:val="center"/>
              <w:rPr>
                <w:rFonts w:hint="eastAsia" w:ascii="仿宋_GB2312" w:hAnsi="宋体" w:eastAsia="仿宋_GB2312" w:cs="宋体"/>
                <w:kern w:val="0"/>
                <w:sz w:val="20"/>
                <w:szCs w:val="20"/>
                <w:lang w:val="en-US" w:eastAsia="zh-CN"/>
              </w:rPr>
            </w:pPr>
          </w:p>
        </w:tc>
        <w:tc>
          <w:tcPr>
            <w:tcW w:w="473" w:type="dxa"/>
            <w:vAlign w:val="center"/>
          </w:tcPr>
          <w:p>
            <w:pPr>
              <w:widowControl/>
              <w:spacing w:line="280" w:lineRule="exact"/>
              <w:jc w:val="center"/>
              <w:rPr>
                <w:rFonts w:hint="eastAsia" w:ascii="仿宋_GB2312" w:hAnsi="宋体" w:eastAsia="仿宋_GB2312" w:cs="宋体"/>
                <w:kern w:val="0"/>
                <w:sz w:val="20"/>
                <w:szCs w:val="20"/>
                <w:lang w:val="en-US" w:eastAsia="zh-CN"/>
              </w:rPr>
            </w:pPr>
          </w:p>
        </w:tc>
        <w:tc>
          <w:tcPr>
            <w:tcW w:w="1489" w:type="dxa"/>
            <w:vAlign w:val="center"/>
          </w:tcPr>
          <w:p>
            <w:pPr>
              <w:widowControl/>
              <w:spacing w:line="280" w:lineRule="exact"/>
              <w:jc w:val="center"/>
              <w:rPr>
                <w:rFonts w:hint="eastAsia" w:ascii="仿宋_GB2312" w:hAnsi="宋体" w:eastAsia="仿宋_GB2312" w:cs="宋体"/>
                <w:kern w:val="0"/>
                <w:sz w:val="20"/>
                <w:szCs w:val="20"/>
                <w:lang w:val="en-US" w:eastAsia="zh-CN"/>
              </w:rPr>
            </w:pPr>
          </w:p>
        </w:tc>
        <w:tc>
          <w:tcPr>
            <w:tcW w:w="1073" w:type="dxa"/>
            <w:vAlign w:val="center"/>
          </w:tcPr>
          <w:p>
            <w:pPr>
              <w:widowControl/>
              <w:spacing w:line="280" w:lineRule="exact"/>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合计</w:t>
            </w:r>
          </w:p>
        </w:tc>
        <w:tc>
          <w:tcPr>
            <w:tcW w:w="870" w:type="dxa"/>
            <w:vAlign w:val="center"/>
          </w:tcPr>
          <w:p>
            <w:pPr>
              <w:widowControl/>
              <w:spacing w:line="280" w:lineRule="exact"/>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67.00</w:t>
            </w:r>
          </w:p>
        </w:tc>
        <w:tc>
          <w:tcPr>
            <w:tcW w:w="711" w:type="dxa"/>
            <w:vAlign w:val="center"/>
          </w:tcPr>
          <w:p>
            <w:pPr>
              <w:widowControl/>
              <w:spacing w:line="280" w:lineRule="exact"/>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8.10</w:t>
            </w:r>
          </w:p>
        </w:tc>
        <w:tc>
          <w:tcPr>
            <w:tcW w:w="830" w:type="dxa"/>
            <w:vAlign w:val="center"/>
          </w:tcPr>
          <w:p>
            <w:pPr>
              <w:widowControl/>
              <w:spacing w:line="280" w:lineRule="exact"/>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49.90</w:t>
            </w:r>
          </w:p>
        </w:tc>
        <w:tc>
          <w:tcPr>
            <w:tcW w:w="797" w:type="dxa"/>
            <w:vAlign w:val="center"/>
          </w:tcPr>
          <w:p>
            <w:pPr>
              <w:widowControl/>
              <w:spacing w:line="280" w:lineRule="exact"/>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9.00</w:t>
            </w:r>
          </w:p>
        </w:tc>
        <w:tc>
          <w:tcPr>
            <w:tcW w:w="547" w:type="dxa"/>
            <w:vAlign w:val="center"/>
          </w:tcPr>
          <w:p>
            <w:pPr>
              <w:widowControl/>
              <w:spacing w:line="280" w:lineRule="exact"/>
              <w:jc w:val="center"/>
              <w:rPr>
                <w:rFonts w:hint="eastAsia" w:ascii="仿宋_GB2312" w:hAnsi="宋体" w:eastAsia="仿宋_GB2312" w:cs="宋体"/>
                <w:kern w:val="0"/>
                <w:sz w:val="20"/>
                <w:szCs w:val="20"/>
                <w:lang w:val="en-US" w:eastAsia="zh-CN"/>
              </w:rPr>
            </w:pPr>
          </w:p>
        </w:tc>
        <w:tc>
          <w:tcPr>
            <w:tcW w:w="606" w:type="dxa"/>
            <w:vAlign w:val="center"/>
          </w:tcPr>
          <w:p>
            <w:pPr>
              <w:widowControl/>
              <w:spacing w:line="280" w:lineRule="exact"/>
              <w:jc w:val="center"/>
              <w:rPr>
                <w:rFonts w:hint="eastAsia" w:ascii="仿宋_GB2312" w:hAnsi="宋体" w:eastAsia="仿宋_GB2312" w:cs="宋体"/>
                <w:kern w:val="0"/>
                <w:sz w:val="20"/>
                <w:szCs w:val="20"/>
                <w:lang w:val="en-US" w:eastAsia="zh-CN"/>
              </w:rPr>
            </w:pPr>
          </w:p>
        </w:tc>
        <w:tc>
          <w:tcPr>
            <w:tcW w:w="647" w:type="dxa"/>
          </w:tcPr>
          <w:p>
            <w:pPr>
              <w:widowControl/>
              <w:spacing w:line="280" w:lineRule="exact"/>
              <w:jc w:val="center"/>
              <w:rPr>
                <w:rFonts w:hint="eastAsia" w:ascii="仿宋_GB2312" w:hAnsi="宋体" w:eastAsia="仿宋_GB2312" w:cs="宋体"/>
                <w:kern w:val="0"/>
                <w:sz w:val="20"/>
                <w:szCs w:val="20"/>
                <w:lang w:val="en-US" w:eastAsia="zh-CN"/>
              </w:rPr>
            </w:pPr>
          </w:p>
        </w:tc>
        <w:tc>
          <w:tcPr>
            <w:tcW w:w="672" w:type="dxa"/>
          </w:tcPr>
          <w:p>
            <w:pPr>
              <w:widowControl/>
              <w:spacing w:line="280" w:lineRule="exact"/>
              <w:jc w:val="center"/>
              <w:rPr>
                <w:rFonts w:hint="eastAsia" w:ascii="仿宋_GB2312" w:hAnsi="宋体" w:eastAsia="仿宋_GB2312" w:cs="宋体"/>
                <w:kern w:val="0"/>
                <w:sz w:val="20"/>
                <w:szCs w:val="20"/>
                <w:lang w:val="en-US" w:eastAsia="zh-CN"/>
              </w:rPr>
            </w:pPr>
          </w:p>
        </w:tc>
        <w:tc>
          <w:tcPr>
            <w:tcW w:w="570" w:type="dxa"/>
          </w:tcPr>
          <w:p>
            <w:pPr>
              <w:widowControl/>
              <w:spacing w:line="280" w:lineRule="exact"/>
              <w:jc w:val="center"/>
              <w:rPr>
                <w:rFonts w:hint="eastAsia" w:ascii="仿宋_GB2312" w:hAnsi="宋体" w:eastAsia="仿宋_GB2312" w:cs="宋体"/>
                <w:kern w:val="0"/>
                <w:sz w:val="20"/>
                <w:szCs w:val="20"/>
                <w:lang w:val="en-US" w:eastAsia="zh-CN"/>
              </w:rPr>
            </w:pPr>
          </w:p>
        </w:tc>
        <w:tc>
          <w:tcPr>
            <w:tcW w:w="743" w:type="dxa"/>
          </w:tcPr>
          <w:p>
            <w:pPr>
              <w:widowControl/>
              <w:spacing w:line="280" w:lineRule="exact"/>
              <w:jc w:val="center"/>
              <w:rPr>
                <w:rFonts w:hint="eastAsia" w:ascii="仿宋_GB2312" w:hAnsi="宋体" w:eastAsia="仿宋_GB2312" w:cs="宋体"/>
                <w:kern w:val="0"/>
                <w:sz w:val="20"/>
                <w:szCs w:val="20"/>
                <w:lang w:val="en-US" w:eastAsia="zh-CN"/>
              </w:rPr>
            </w:pPr>
          </w:p>
        </w:tc>
        <w:tc>
          <w:tcPr>
            <w:tcW w:w="463" w:type="dxa"/>
          </w:tcPr>
          <w:p>
            <w:pPr>
              <w:widowControl/>
              <w:spacing w:line="280" w:lineRule="exact"/>
              <w:jc w:val="center"/>
              <w:rPr>
                <w:rFonts w:hint="eastAsia" w:ascii="仿宋_GB2312" w:hAnsi="宋体" w:eastAsia="仿宋_GB2312" w:cs="宋体"/>
                <w:kern w:val="0"/>
                <w:sz w:val="20"/>
                <w:szCs w:val="20"/>
                <w:lang w:val="en-US" w:eastAsia="zh-CN"/>
              </w:rPr>
            </w:pPr>
          </w:p>
        </w:tc>
      </w:tr>
    </w:tbl>
    <w:p>
      <w:pPr>
        <w:widowControl/>
        <w:spacing w:line="240" w:lineRule="auto"/>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line="240" w:lineRule="auto"/>
        <w:jc w:val="left"/>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宋体"/>
          <w:b/>
          <w:kern w:val="0"/>
          <w:sz w:val="32"/>
          <w:szCs w:val="32"/>
        </w:rPr>
      </w:pPr>
    </w:p>
    <w:p>
      <w:pPr>
        <w:widowControl/>
        <w:spacing w:line="240" w:lineRule="auto"/>
        <w:jc w:val="center"/>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spacing w:line="240" w:lineRule="auto"/>
        <w:jc w:val="right"/>
        <w:outlineLvl w:val="1"/>
        <w:rPr>
          <w:rFonts w:hint="eastAsia"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val="en-US" w:eastAsia="zh-CN"/>
        </w:rPr>
        <w:t>:</w:t>
      </w:r>
      <w:r>
        <w:rPr>
          <w:rFonts w:hint="eastAsia" w:ascii="仿宋_GB2312" w:hAnsi="宋体" w:eastAsia="仿宋_GB2312"/>
          <w:kern w:val="0"/>
          <w:sz w:val="24"/>
        </w:rPr>
        <w:t xml:space="preserve">县清水泉管委会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9"/>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417"/>
        <w:gridCol w:w="1559"/>
        <w:gridCol w:w="1418"/>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575" w:type="dxa"/>
            <w:vMerge w:val="restart"/>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合计</w:t>
            </w:r>
          </w:p>
        </w:tc>
        <w:tc>
          <w:tcPr>
            <w:tcW w:w="1417" w:type="dxa"/>
            <w:vMerge w:val="restart"/>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因公出国（境）费</w:t>
            </w:r>
          </w:p>
        </w:tc>
        <w:tc>
          <w:tcPr>
            <w:tcW w:w="4536" w:type="dxa"/>
            <w:gridSpan w:val="3"/>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1559" w:type="dxa"/>
            <w:vMerge w:val="restart"/>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575" w:type="dxa"/>
            <w:vMerge w:val="continue"/>
            <w:vAlign w:val="center"/>
          </w:tcPr>
          <w:p>
            <w:pPr>
              <w:widowControl/>
              <w:jc w:val="left"/>
              <w:rPr>
                <w:rFonts w:ascii="宋体" w:cs="宋体"/>
                <w:b/>
                <w:bCs/>
                <w:color w:val="000000"/>
                <w:kern w:val="0"/>
                <w:sz w:val="22"/>
                <w:szCs w:val="22"/>
              </w:rPr>
            </w:pPr>
          </w:p>
        </w:tc>
        <w:tc>
          <w:tcPr>
            <w:tcW w:w="1417" w:type="dxa"/>
            <w:vMerge w:val="continue"/>
            <w:vAlign w:val="center"/>
          </w:tcPr>
          <w:p>
            <w:pPr>
              <w:widowControl/>
              <w:jc w:val="left"/>
              <w:rPr>
                <w:rFonts w:ascii="宋体" w:cs="宋体"/>
                <w:b/>
                <w:bCs/>
                <w:color w:val="000000"/>
                <w:kern w:val="0"/>
                <w:sz w:val="22"/>
                <w:szCs w:val="22"/>
              </w:rPr>
            </w:pPr>
          </w:p>
        </w:tc>
        <w:tc>
          <w:tcPr>
            <w:tcW w:w="1559"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小计</w:t>
            </w:r>
          </w:p>
        </w:tc>
        <w:tc>
          <w:tcPr>
            <w:tcW w:w="1418"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公务用车购置费</w:t>
            </w:r>
          </w:p>
        </w:tc>
        <w:tc>
          <w:tcPr>
            <w:tcW w:w="1559" w:type="dxa"/>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公务用车运行费</w:t>
            </w:r>
          </w:p>
        </w:tc>
        <w:tc>
          <w:tcPr>
            <w:tcW w:w="1559" w:type="dxa"/>
            <w:vMerge w:val="continue"/>
            <w:vAlign w:val="center"/>
          </w:tcPr>
          <w:p>
            <w:pPr>
              <w:widowControl/>
              <w:jc w:val="left"/>
              <w:rPr>
                <w:rFonts w:asci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575" w:type="dxa"/>
          </w:tcPr>
          <w:p>
            <w:pPr>
              <w:widowControl/>
              <w:spacing w:line="240" w:lineRule="auto"/>
              <w:jc w:val="left"/>
              <w:rPr>
                <w:rFonts w:hint="eastAsia" w:ascii="宋体" w:hAnsi="宋体" w:cs="宋体"/>
                <w:color w:val="000000"/>
                <w:kern w:val="0"/>
                <w:sz w:val="24"/>
              </w:rPr>
            </w:pPr>
            <w:r>
              <w:rPr>
                <w:rFonts w:hint="eastAsia" w:ascii="宋体" w:hAnsi="宋体" w:cs="宋体"/>
                <w:color w:val="000000"/>
                <w:kern w:val="0"/>
                <w:sz w:val="24"/>
              </w:rPr>
              <w:t>12.85</w:t>
            </w:r>
          </w:p>
        </w:tc>
        <w:tc>
          <w:tcPr>
            <w:tcW w:w="1417" w:type="dxa"/>
          </w:tcPr>
          <w:p>
            <w:pPr>
              <w:widowControl/>
              <w:spacing w:line="240" w:lineRule="auto"/>
              <w:jc w:val="left"/>
              <w:rPr>
                <w:rFonts w:hint="eastAsia" w:ascii="宋体" w:hAnsi="宋体" w:cs="宋体"/>
                <w:color w:val="000000"/>
                <w:kern w:val="0"/>
                <w:sz w:val="24"/>
              </w:rPr>
            </w:pPr>
          </w:p>
        </w:tc>
        <w:tc>
          <w:tcPr>
            <w:tcW w:w="1559" w:type="dxa"/>
          </w:tcPr>
          <w:p>
            <w:pPr>
              <w:widowControl/>
              <w:spacing w:line="240" w:lineRule="auto"/>
              <w:jc w:val="left"/>
              <w:rPr>
                <w:rFonts w:hint="eastAsia" w:ascii="宋体" w:hAnsi="宋体" w:cs="宋体"/>
                <w:color w:val="000000"/>
                <w:kern w:val="0"/>
                <w:sz w:val="24"/>
              </w:rPr>
            </w:pPr>
            <w:r>
              <w:rPr>
                <w:rFonts w:hint="eastAsia" w:ascii="宋体" w:hAnsi="宋体" w:cs="宋体"/>
                <w:color w:val="000000"/>
                <w:kern w:val="0"/>
                <w:sz w:val="24"/>
              </w:rPr>
              <w:t>12.60</w:t>
            </w:r>
          </w:p>
        </w:tc>
        <w:tc>
          <w:tcPr>
            <w:tcW w:w="1418" w:type="dxa"/>
          </w:tcPr>
          <w:p>
            <w:pPr>
              <w:widowControl/>
              <w:spacing w:line="240" w:lineRule="auto"/>
              <w:jc w:val="left"/>
              <w:rPr>
                <w:rFonts w:hint="eastAsia" w:ascii="宋体" w:hAnsi="宋体" w:cs="宋体"/>
                <w:color w:val="000000"/>
                <w:kern w:val="0"/>
                <w:sz w:val="24"/>
              </w:rPr>
            </w:pPr>
          </w:p>
        </w:tc>
        <w:tc>
          <w:tcPr>
            <w:tcW w:w="1559" w:type="dxa"/>
          </w:tcPr>
          <w:p>
            <w:pPr>
              <w:widowControl/>
              <w:spacing w:line="240" w:lineRule="auto"/>
              <w:jc w:val="left"/>
              <w:rPr>
                <w:rFonts w:hint="eastAsia" w:ascii="宋体" w:hAnsi="宋体" w:cs="宋体"/>
                <w:color w:val="000000"/>
                <w:kern w:val="0"/>
                <w:sz w:val="24"/>
              </w:rPr>
            </w:pPr>
            <w:r>
              <w:rPr>
                <w:rFonts w:hint="eastAsia" w:ascii="宋体" w:hAnsi="宋体" w:cs="宋体"/>
                <w:color w:val="000000"/>
                <w:kern w:val="0"/>
                <w:sz w:val="24"/>
              </w:rPr>
              <w:t>12.60</w:t>
            </w:r>
          </w:p>
        </w:tc>
        <w:tc>
          <w:tcPr>
            <w:tcW w:w="1559" w:type="dxa"/>
          </w:tcPr>
          <w:p>
            <w:pPr>
              <w:widowControl/>
              <w:spacing w:line="240" w:lineRule="auto"/>
              <w:jc w:val="left"/>
              <w:rPr>
                <w:rFonts w:hint="eastAsia" w:ascii="宋体" w:hAnsi="宋体" w:cs="宋体"/>
                <w:color w:val="000000"/>
                <w:kern w:val="0"/>
                <w:sz w:val="24"/>
              </w:rPr>
            </w:pPr>
            <w:r>
              <w:rPr>
                <w:rFonts w:hint="eastAsia" w:ascii="宋体" w:hAnsi="宋体" w:cs="宋体"/>
                <w:color w:val="000000"/>
                <w:kern w:val="0"/>
                <w:sz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75" w:type="dxa"/>
          </w:tcPr>
          <w:p>
            <w:pPr>
              <w:jc w:val="center"/>
              <w:rPr>
                <w:rFonts w:ascii="宋体" w:cs="Arial"/>
                <w:sz w:val="20"/>
                <w:szCs w:val="20"/>
              </w:rPr>
            </w:pPr>
          </w:p>
        </w:tc>
        <w:tc>
          <w:tcPr>
            <w:tcW w:w="1417" w:type="dxa"/>
          </w:tcPr>
          <w:p>
            <w:pPr>
              <w:jc w:val="center"/>
              <w:rPr>
                <w:rFonts w:ascii="宋体" w:cs="Arial"/>
                <w:sz w:val="20"/>
                <w:szCs w:val="20"/>
              </w:rPr>
            </w:pPr>
          </w:p>
        </w:tc>
        <w:tc>
          <w:tcPr>
            <w:tcW w:w="1559" w:type="dxa"/>
          </w:tcPr>
          <w:p>
            <w:pPr>
              <w:jc w:val="center"/>
              <w:rPr>
                <w:rFonts w:ascii="宋体" w:cs="Arial"/>
                <w:sz w:val="20"/>
                <w:szCs w:val="20"/>
              </w:rPr>
            </w:pPr>
          </w:p>
        </w:tc>
        <w:tc>
          <w:tcPr>
            <w:tcW w:w="1418" w:type="dxa"/>
          </w:tcPr>
          <w:p>
            <w:pPr>
              <w:jc w:val="center"/>
              <w:rPr>
                <w:rFonts w:ascii="宋体" w:cs="Arial"/>
                <w:sz w:val="20"/>
                <w:szCs w:val="20"/>
              </w:rPr>
            </w:pPr>
          </w:p>
        </w:tc>
        <w:tc>
          <w:tcPr>
            <w:tcW w:w="1559" w:type="dxa"/>
          </w:tcPr>
          <w:p>
            <w:pPr>
              <w:jc w:val="center"/>
              <w:rPr>
                <w:rFonts w:ascii="宋体" w:cs="Arial"/>
                <w:sz w:val="20"/>
                <w:szCs w:val="20"/>
              </w:rPr>
            </w:pPr>
          </w:p>
        </w:tc>
        <w:tc>
          <w:tcPr>
            <w:tcW w:w="1559" w:type="dxa"/>
          </w:tcPr>
          <w:p>
            <w:pPr>
              <w:jc w:val="center"/>
              <w:rPr>
                <w:rFonts w:ascii="宋体"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75" w:type="dxa"/>
          </w:tcPr>
          <w:p>
            <w:pPr>
              <w:jc w:val="right"/>
              <w:rPr>
                <w:rFonts w:ascii="宋体" w:cs="Arial"/>
                <w:sz w:val="20"/>
                <w:szCs w:val="20"/>
              </w:rPr>
            </w:pPr>
          </w:p>
        </w:tc>
        <w:tc>
          <w:tcPr>
            <w:tcW w:w="1417" w:type="dxa"/>
          </w:tcPr>
          <w:p>
            <w:pPr>
              <w:jc w:val="right"/>
              <w:rPr>
                <w:rFonts w:ascii="宋体" w:cs="Arial"/>
                <w:sz w:val="20"/>
                <w:szCs w:val="20"/>
              </w:rPr>
            </w:pPr>
          </w:p>
        </w:tc>
        <w:tc>
          <w:tcPr>
            <w:tcW w:w="1559" w:type="dxa"/>
          </w:tcPr>
          <w:p>
            <w:pPr>
              <w:tabs>
                <w:tab w:val="left" w:pos="390"/>
                <w:tab w:val="center" w:pos="671"/>
              </w:tabs>
              <w:jc w:val="left"/>
              <w:rPr>
                <w:rFonts w:ascii="宋体" w:cs="Arial"/>
                <w:sz w:val="20"/>
                <w:szCs w:val="20"/>
              </w:rPr>
            </w:pPr>
            <w:r>
              <w:rPr>
                <w:rFonts w:ascii="宋体" w:cs="Arial"/>
                <w:sz w:val="20"/>
                <w:szCs w:val="20"/>
              </w:rPr>
              <w:tab/>
            </w:r>
            <w:r>
              <w:rPr>
                <w:rFonts w:ascii="宋体" w:cs="Arial"/>
                <w:sz w:val="20"/>
                <w:szCs w:val="20"/>
              </w:rPr>
              <w:tab/>
            </w:r>
          </w:p>
        </w:tc>
        <w:tc>
          <w:tcPr>
            <w:tcW w:w="1418" w:type="dxa"/>
          </w:tcPr>
          <w:p>
            <w:pPr>
              <w:jc w:val="right"/>
              <w:rPr>
                <w:rFonts w:ascii="宋体" w:cs="Arial"/>
                <w:sz w:val="20"/>
                <w:szCs w:val="20"/>
              </w:rPr>
            </w:pPr>
          </w:p>
        </w:tc>
        <w:tc>
          <w:tcPr>
            <w:tcW w:w="1559" w:type="dxa"/>
          </w:tcPr>
          <w:p>
            <w:pPr>
              <w:jc w:val="right"/>
              <w:rPr>
                <w:rFonts w:ascii="宋体" w:cs="Arial"/>
                <w:sz w:val="20"/>
                <w:szCs w:val="20"/>
              </w:rPr>
            </w:pPr>
          </w:p>
        </w:tc>
        <w:tc>
          <w:tcPr>
            <w:tcW w:w="1559" w:type="dxa"/>
          </w:tcPr>
          <w:p>
            <w:pPr>
              <w:jc w:val="right"/>
              <w:rPr>
                <w:rFonts w:ascii="宋体"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75" w:type="dxa"/>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575" w:type="dxa"/>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bl>
    <w:p>
      <w:pPr>
        <w:widowControl/>
        <w:spacing w:line="240" w:lineRule="auto"/>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line="240" w:lineRule="auto"/>
        <w:jc w:val="left"/>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表九：</w:t>
      </w:r>
    </w:p>
    <w:p>
      <w:pPr>
        <w:widowControl/>
        <w:spacing w:line="240" w:lineRule="auto"/>
        <w:jc w:val="center"/>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spacing w:line="240" w:lineRule="auto"/>
        <w:outlineLvl w:val="1"/>
        <w:rPr>
          <w:rFonts w:hint="eastAsia" w:ascii="仿宋_GB2312" w:hAnsi="宋体" w:eastAsia="仿宋_GB2312"/>
          <w:kern w:val="0"/>
          <w:sz w:val="24"/>
        </w:rPr>
      </w:pPr>
      <w:r>
        <w:rPr>
          <w:rFonts w:hint="eastAsia" w:ascii="仿宋_GB2312" w:hAnsi="宋体" w:eastAsia="仿宋_GB2312"/>
          <w:kern w:val="0"/>
          <w:sz w:val="24"/>
        </w:rPr>
        <w:t xml:space="preserve">编制单位：县清水泉管委会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9"/>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68" w:type="dxa"/>
            <w:gridSpan w:val="4"/>
            <w:vAlign w:val="center"/>
          </w:tcPr>
          <w:p>
            <w:pPr>
              <w:widowControl/>
              <w:spacing w:line="240" w:lineRule="auto"/>
              <w:jc w:val="center"/>
              <w:rPr>
                <w:rFonts w:hint="eastAsia"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项  目</w:t>
            </w:r>
          </w:p>
        </w:tc>
        <w:tc>
          <w:tcPr>
            <w:tcW w:w="4819" w:type="dxa"/>
            <w:gridSpan w:val="3"/>
            <w:vAlign w:val="center"/>
          </w:tcPr>
          <w:p>
            <w:pPr>
              <w:widowControl/>
              <w:spacing w:line="240" w:lineRule="auto"/>
              <w:jc w:val="center"/>
              <w:rPr>
                <w:rFonts w:hint="eastAsia"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72" w:type="dxa"/>
            <w:gridSpan w:val="3"/>
            <w:vAlign w:val="center"/>
          </w:tcPr>
          <w:p>
            <w:pPr>
              <w:widowControl/>
              <w:spacing w:line="240" w:lineRule="auto"/>
              <w:jc w:val="center"/>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vAlign w:val="center"/>
          </w:tcPr>
          <w:p>
            <w:pPr>
              <w:widowControl/>
              <w:spacing w:line="240" w:lineRule="auto"/>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vAlign w:val="center"/>
          </w:tcPr>
          <w:p>
            <w:pPr>
              <w:widowControl/>
              <w:spacing w:line="240" w:lineRule="auto"/>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vAlign w:val="center"/>
          </w:tcPr>
          <w:p>
            <w:pPr>
              <w:widowControl/>
              <w:spacing w:line="240" w:lineRule="auto"/>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vAlign w:val="center"/>
          </w:tcPr>
          <w:p>
            <w:pPr>
              <w:widowControl/>
              <w:spacing w:line="240" w:lineRule="auto"/>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58" w:type="dxa"/>
            <w:noWrap/>
            <w:vAlign w:val="center"/>
          </w:tcPr>
          <w:p>
            <w:pPr>
              <w:widowControl/>
              <w:spacing w:line="240" w:lineRule="auto"/>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noWrap/>
            <w:vAlign w:val="center"/>
          </w:tcPr>
          <w:p>
            <w:pPr>
              <w:widowControl/>
              <w:spacing w:line="240" w:lineRule="auto"/>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vAlign w:val="center"/>
          </w:tcPr>
          <w:p>
            <w:pPr>
              <w:widowControl/>
              <w:spacing w:line="240" w:lineRule="auto"/>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vAlign w:val="center"/>
          </w:tcPr>
          <w:p>
            <w:pPr>
              <w:widowControl/>
              <w:jc w:val="left"/>
              <w:rPr>
                <w:rFonts w:ascii="宋体" w:cs="宋体"/>
                <w:b/>
                <w:bCs/>
                <w:color w:val="000000"/>
                <w:kern w:val="0"/>
                <w:sz w:val="24"/>
              </w:rPr>
            </w:pPr>
          </w:p>
        </w:tc>
        <w:tc>
          <w:tcPr>
            <w:tcW w:w="1559" w:type="dxa"/>
            <w:vMerge w:val="continue"/>
            <w:vAlign w:val="center"/>
          </w:tcPr>
          <w:p>
            <w:pPr>
              <w:widowControl/>
              <w:jc w:val="left"/>
              <w:rPr>
                <w:rFonts w:ascii="宋体" w:cs="宋体"/>
                <w:b/>
                <w:bCs/>
                <w:color w:val="000000"/>
                <w:kern w:val="0"/>
                <w:sz w:val="24"/>
              </w:rPr>
            </w:pPr>
          </w:p>
        </w:tc>
        <w:tc>
          <w:tcPr>
            <w:tcW w:w="1701" w:type="dxa"/>
            <w:vMerge w:val="continue"/>
            <w:vAlign w:val="center"/>
          </w:tcPr>
          <w:p>
            <w:pPr>
              <w:widowControl/>
              <w:jc w:val="left"/>
              <w:rPr>
                <w:rFonts w:ascii="宋体" w:cs="宋体"/>
                <w:b/>
                <w:bCs/>
                <w:color w:val="000000"/>
                <w:kern w:val="0"/>
                <w:sz w:val="24"/>
              </w:rPr>
            </w:pPr>
          </w:p>
        </w:tc>
        <w:tc>
          <w:tcPr>
            <w:tcW w:w="1559" w:type="dxa"/>
            <w:vMerge w:val="continue"/>
            <w:vAlign w:val="center"/>
          </w:tcPr>
          <w:p>
            <w:pPr>
              <w:widowControl/>
              <w:jc w:val="left"/>
              <w:rPr>
                <w:rFonts w:ascii="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noWrap/>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2896"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701"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noWrap/>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2896"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701"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noWrap/>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2896"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701"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noWrap/>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2896"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701"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noWrap/>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2896"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701"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noWrap/>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2896"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701"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noWrap/>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2896"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701"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noWrap/>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2896"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701"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noWrap/>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2896"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701"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noWrap/>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2896"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701"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vAlign w:val="center"/>
          </w:tcPr>
          <w:p>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2896" w:type="dxa"/>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vAlign w:val="center"/>
          </w:tcPr>
          <w:p>
            <w:pPr>
              <w:widowControl/>
              <w:jc w:val="right"/>
              <w:rPr>
                <w:rFonts w:ascii="宋体" w:cs="宋体"/>
                <w:color w:val="000000"/>
                <w:kern w:val="0"/>
                <w:sz w:val="24"/>
              </w:rPr>
            </w:pPr>
            <w:r>
              <w:rPr>
                <w:rFonts w:hint="eastAsia" w:ascii="宋体" w:hAnsi="宋体" w:cs="宋体"/>
                <w:color w:val="000000"/>
                <w:kern w:val="0"/>
                <w:sz w:val="24"/>
              </w:rPr>
              <w:t>　</w:t>
            </w:r>
          </w:p>
        </w:tc>
        <w:tc>
          <w:tcPr>
            <w:tcW w:w="1701" w:type="dxa"/>
            <w:vAlign w:val="center"/>
          </w:tcPr>
          <w:p>
            <w:pPr>
              <w:widowControl/>
              <w:jc w:val="right"/>
              <w:rPr>
                <w:rFonts w:ascii="宋体" w:cs="宋体"/>
                <w:color w:val="000000"/>
                <w:kern w:val="0"/>
                <w:sz w:val="24"/>
              </w:rPr>
            </w:pPr>
            <w:r>
              <w:rPr>
                <w:rFonts w:hint="eastAsia" w:ascii="宋体" w:hAnsi="宋体" w:cs="宋体"/>
                <w:color w:val="000000"/>
                <w:kern w:val="0"/>
                <w:sz w:val="24"/>
              </w:rPr>
              <w:t>　</w:t>
            </w:r>
          </w:p>
        </w:tc>
        <w:tc>
          <w:tcPr>
            <w:tcW w:w="1559" w:type="dxa"/>
            <w:vAlign w:val="center"/>
          </w:tcPr>
          <w:p>
            <w:pPr>
              <w:widowControl/>
              <w:jc w:val="right"/>
              <w:rPr>
                <w:rFonts w:asci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2896" w:type="dxa"/>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vAlign w:val="center"/>
          </w:tcPr>
          <w:p>
            <w:pPr>
              <w:widowControl/>
              <w:jc w:val="right"/>
              <w:rPr>
                <w:rFonts w:ascii="宋体" w:cs="宋体"/>
                <w:color w:val="000000"/>
                <w:kern w:val="0"/>
                <w:sz w:val="24"/>
              </w:rPr>
            </w:pPr>
            <w:r>
              <w:rPr>
                <w:rFonts w:hint="eastAsia" w:ascii="宋体" w:hAnsi="宋体" w:cs="宋体"/>
                <w:color w:val="000000"/>
                <w:kern w:val="0"/>
                <w:sz w:val="24"/>
              </w:rPr>
              <w:t>　</w:t>
            </w:r>
          </w:p>
        </w:tc>
        <w:tc>
          <w:tcPr>
            <w:tcW w:w="1701" w:type="dxa"/>
            <w:vAlign w:val="center"/>
          </w:tcPr>
          <w:p>
            <w:pPr>
              <w:widowControl/>
              <w:jc w:val="right"/>
              <w:rPr>
                <w:rFonts w:ascii="宋体" w:cs="宋体"/>
                <w:color w:val="000000"/>
                <w:kern w:val="0"/>
                <w:sz w:val="24"/>
              </w:rPr>
            </w:pPr>
            <w:r>
              <w:rPr>
                <w:rFonts w:hint="eastAsia" w:ascii="宋体" w:hAnsi="宋体" w:cs="宋体"/>
                <w:color w:val="000000"/>
                <w:kern w:val="0"/>
                <w:sz w:val="24"/>
              </w:rPr>
              <w:t>　</w:t>
            </w:r>
          </w:p>
        </w:tc>
        <w:tc>
          <w:tcPr>
            <w:tcW w:w="1559" w:type="dxa"/>
            <w:vAlign w:val="center"/>
          </w:tcPr>
          <w:p>
            <w:pPr>
              <w:widowControl/>
              <w:jc w:val="right"/>
              <w:rPr>
                <w:rFonts w:asci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2896" w:type="dxa"/>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vAlign w:val="center"/>
          </w:tcPr>
          <w:p>
            <w:pPr>
              <w:widowControl/>
              <w:jc w:val="right"/>
              <w:rPr>
                <w:rFonts w:ascii="宋体" w:cs="宋体"/>
                <w:color w:val="000000"/>
                <w:kern w:val="0"/>
                <w:sz w:val="24"/>
              </w:rPr>
            </w:pPr>
            <w:r>
              <w:rPr>
                <w:rFonts w:hint="eastAsia" w:ascii="宋体" w:hAnsi="宋体" w:cs="宋体"/>
                <w:color w:val="000000"/>
                <w:kern w:val="0"/>
                <w:sz w:val="24"/>
              </w:rPr>
              <w:t>　</w:t>
            </w:r>
          </w:p>
        </w:tc>
        <w:tc>
          <w:tcPr>
            <w:tcW w:w="1701" w:type="dxa"/>
            <w:vAlign w:val="center"/>
          </w:tcPr>
          <w:p>
            <w:pPr>
              <w:widowControl/>
              <w:jc w:val="right"/>
              <w:rPr>
                <w:rFonts w:ascii="宋体" w:cs="宋体"/>
                <w:color w:val="000000"/>
                <w:kern w:val="0"/>
                <w:sz w:val="24"/>
              </w:rPr>
            </w:pPr>
            <w:r>
              <w:rPr>
                <w:rFonts w:hint="eastAsia" w:ascii="宋体" w:hAnsi="宋体" w:cs="宋体"/>
                <w:color w:val="000000"/>
                <w:kern w:val="0"/>
                <w:sz w:val="24"/>
              </w:rPr>
              <w:t>　</w:t>
            </w:r>
          </w:p>
        </w:tc>
        <w:tc>
          <w:tcPr>
            <w:tcW w:w="1559" w:type="dxa"/>
            <w:vAlign w:val="center"/>
          </w:tcPr>
          <w:p>
            <w:pPr>
              <w:widowControl/>
              <w:jc w:val="right"/>
              <w:rPr>
                <w:rFonts w:asci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2896" w:type="dxa"/>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vAlign w:val="center"/>
          </w:tcPr>
          <w:p>
            <w:pPr>
              <w:widowControl/>
              <w:jc w:val="right"/>
              <w:rPr>
                <w:rFonts w:ascii="宋体" w:cs="宋体"/>
                <w:color w:val="000000"/>
                <w:kern w:val="0"/>
                <w:sz w:val="24"/>
              </w:rPr>
            </w:pPr>
            <w:r>
              <w:rPr>
                <w:rFonts w:hint="eastAsia" w:ascii="宋体" w:hAnsi="宋体" w:cs="宋体"/>
                <w:color w:val="000000"/>
                <w:kern w:val="0"/>
                <w:sz w:val="24"/>
              </w:rPr>
              <w:t>　</w:t>
            </w:r>
          </w:p>
        </w:tc>
        <w:tc>
          <w:tcPr>
            <w:tcW w:w="1701" w:type="dxa"/>
            <w:vAlign w:val="center"/>
          </w:tcPr>
          <w:p>
            <w:pPr>
              <w:widowControl/>
              <w:jc w:val="right"/>
              <w:rPr>
                <w:rFonts w:ascii="宋体" w:cs="宋体"/>
                <w:color w:val="000000"/>
                <w:kern w:val="0"/>
                <w:sz w:val="24"/>
              </w:rPr>
            </w:pPr>
            <w:r>
              <w:rPr>
                <w:rFonts w:hint="eastAsia" w:ascii="宋体" w:hAnsi="宋体" w:cs="宋体"/>
                <w:color w:val="000000"/>
                <w:kern w:val="0"/>
                <w:sz w:val="24"/>
              </w:rPr>
              <w:t>　</w:t>
            </w:r>
          </w:p>
        </w:tc>
        <w:tc>
          <w:tcPr>
            <w:tcW w:w="1559" w:type="dxa"/>
            <w:vAlign w:val="center"/>
          </w:tcPr>
          <w:p>
            <w:pPr>
              <w:widowControl/>
              <w:jc w:val="right"/>
              <w:rPr>
                <w:rFonts w:asci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2896" w:type="dxa"/>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vAlign w:val="center"/>
          </w:tcPr>
          <w:p>
            <w:pPr>
              <w:widowControl/>
              <w:jc w:val="right"/>
              <w:rPr>
                <w:rFonts w:ascii="宋体" w:cs="宋体"/>
                <w:color w:val="000000"/>
                <w:kern w:val="0"/>
                <w:sz w:val="24"/>
              </w:rPr>
            </w:pPr>
            <w:r>
              <w:rPr>
                <w:rFonts w:hint="eastAsia" w:ascii="宋体" w:hAnsi="宋体" w:cs="宋体"/>
                <w:color w:val="000000"/>
                <w:kern w:val="0"/>
                <w:sz w:val="24"/>
              </w:rPr>
              <w:t>　</w:t>
            </w:r>
          </w:p>
        </w:tc>
        <w:tc>
          <w:tcPr>
            <w:tcW w:w="1701" w:type="dxa"/>
            <w:vAlign w:val="center"/>
          </w:tcPr>
          <w:p>
            <w:pPr>
              <w:widowControl/>
              <w:jc w:val="right"/>
              <w:rPr>
                <w:rFonts w:ascii="宋体" w:cs="宋体"/>
                <w:color w:val="000000"/>
                <w:kern w:val="0"/>
                <w:sz w:val="24"/>
              </w:rPr>
            </w:pPr>
            <w:r>
              <w:rPr>
                <w:rFonts w:hint="eastAsia" w:ascii="宋体" w:hAnsi="宋体" w:cs="宋体"/>
                <w:color w:val="000000"/>
                <w:kern w:val="0"/>
                <w:sz w:val="24"/>
              </w:rPr>
              <w:t>　</w:t>
            </w:r>
          </w:p>
        </w:tc>
        <w:tc>
          <w:tcPr>
            <w:tcW w:w="1559" w:type="dxa"/>
            <w:vAlign w:val="center"/>
          </w:tcPr>
          <w:p>
            <w:pPr>
              <w:widowControl/>
              <w:jc w:val="right"/>
              <w:rPr>
                <w:rFonts w:asci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2896" w:type="dxa"/>
            <w:vAlign w:val="center"/>
          </w:tcPr>
          <w:p>
            <w:pPr>
              <w:widowControl/>
              <w:jc w:val="center"/>
              <w:rPr>
                <w:rFonts w:ascii="宋体" w:cs="宋体"/>
                <w:color w:val="000000"/>
                <w:kern w:val="0"/>
                <w:sz w:val="24"/>
              </w:rPr>
            </w:pPr>
            <w:r>
              <w:rPr>
                <w:rFonts w:hint="eastAsia" w:ascii="宋体" w:hAnsi="宋体" w:cs="宋体"/>
                <w:color w:val="000000"/>
                <w:kern w:val="0"/>
                <w:sz w:val="24"/>
              </w:rPr>
              <w:t>合计</w:t>
            </w:r>
          </w:p>
        </w:tc>
        <w:tc>
          <w:tcPr>
            <w:tcW w:w="1559" w:type="dxa"/>
            <w:vAlign w:val="center"/>
          </w:tcPr>
          <w:p>
            <w:pPr>
              <w:widowControl/>
              <w:jc w:val="right"/>
              <w:rPr>
                <w:rFonts w:ascii="宋体" w:cs="宋体"/>
                <w:color w:val="000000"/>
                <w:kern w:val="0"/>
                <w:sz w:val="24"/>
              </w:rPr>
            </w:pPr>
            <w:r>
              <w:rPr>
                <w:rFonts w:hint="eastAsia" w:ascii="宋体" w:hAnsi="宋体" w:cs="宋体"/>
                <w:color w:val="000000"/>
                <w:kern w:val="0"/>
                <w:sz w:val="24"/>
              </w:rPr>
              <w:t>　</w:t>
            </w:r>
          </w:p>
        </w:tc>
        <w:tc>
          <w:tcPr>
            <w:tcW w:w="1701" w:type="dxa"/>
            <w:vAlign w:val="center"/>
          </w:tcPr>
          <w:p>
            <w:pPr>
              <w:widowControl/>
              <w:jc w:val="right"/>
              <w:rPr>
                <w:rFonts w:ascii="宋体" w:cs="宋体"/>
                <w:color w:val="000000"/>
                <w:kern w:val="0"/>
                <w:sz w:val="24"/>
              </w:rPr>
            </w:pPr>
            <w:r>
              <w:rPr>
                <w:rFonts w:hint="eastAsia" w:ascii="宋体" w:hAnsi="宋体" w:cs="宋体"/>
                <w:color w:val="000000"/>
                <w:kern w:val="0"/>
                <w:sz w:val="24"/>
              </w:rPr>
              <w:t>　</w:t>
            </w:r>
          </w:p>
        </w:tc>
        <w:tc>
          <w:tcPr>
            <w:tcW w:w="1559" w:type="dxa"/>
            <w:vAlign w:val="center"/>
          </w:tcPr>
          <w:p>
            <w:pPr>
              <w:widowControl/>
              <w:jc w:val="right"/>
              <w:rPr>
                <w:rFonts w:ascii="宋体" w:cs="宋体"/>
                <w:color w:val="000000"/>
                <w:kern w:val="0"/>
                <w:sz w:val="24"/>
              </w:rPr>
            </w:pPr>
            <w:r>
              <w:rPr>
                <w:rFonts w:hint="eastAsia" w:ascii="宋体" w:hAnsi="宋体" w:cs="宋体"/>
                <w:color w:val="000000"/>
                <w:kern w:val="0"/>
                <w:sz w:val="24"/>
              </w:rPr>
              <w:t>　</w:t>
            </w:r>
          </w:p>
        </w:tc>
      </w:tr>
    </w:tbl>
    <w:p>
      <w:pPr>
        <w:widowControl/>
        <w:spacing w:line="580" w:lineRule="exact"/>
        <w:jc w:val="left"/>
        <w:rPr>
          <w:rFonts w:ascii="宋体" w:cs="宋体"/>
          <w:kern w:val="0"/>
          <w:sz w:val="32"/>
          <w:szCs w:val="32"/>
        </w:rPr>
      </w:pPr>
      <w:r>
        <w:rPr>
          <w:rFonts w:hint="eastAsia" w:ascii="仿宋_GB2312" w:hAnsi="宋体" w:eastAsia="仿宋_GB2312"/>
          <w:b/>
          <w:kern w:val="0"/>
          <w:sz w:val="28"/>
          <w:szCs w:val="32"/>
        </w:rPr>
        <w:t>备注：县清水泉管委会2019年没有使用政府性基金预算拨款安排的支出，政府性基金预算支出情况表为空表。</w:t>
      </w:r>
    </w:p>
    <w:p>
      <w:pPr>
        <w:widowControl/>
        <w:outlineLvl w:val="1"/>
        <w:rPr>
          <w:rFonts w:ascii="宋体"/>
          <w:kern w:val="0"/>
          <w:sz w:val="32"/>
          <w:szCs w:val="32"/>
        </w:rPr>
        <w:sectPr>
          <w:footerReference r:id="rId3" w:type="default"/>
          <w:footerReference r:id="rId4" w:type="even"/>
          <w:pgSz w:w="11906" w:h="16838"/>
          <w:pgMar w:top="2098" w:right="1417" w:bottom="1928" w:left="1587" w:header="851" w:footer="992" w:gutter="0"/>
          <w:pgNumType w:fmt="numberInDash"/>
          <w:cols w:space="720" w:num="1"/>
          <w:docGrid w:linePitch="312" w:charSpace="0"/>
        </w:sectPr>
      </w:pPr>
    </w:p>
    <w:p>
      <w:pPr>
        <w:widowControl/>
        <w:spacing w:beforeLines="50" w:line="240" w:lineRule="auto"/>
        <w:jc w:val="center"/>
        <w:outlineLvl w:val="1"/>
        <w:rPr>
          <w:rFonts w:hint="eastAsia" w:ascii="黑体" w:hAnsi="黑体" w:eastAsia="黑体"/>
          <w:kern w:val="0"/>
          <w:sz w:val="32"/>
          <w:szCs w:val="32"/>
        </w:rPr>
      </w:pPr>
      <w:r>
        <w:rPr>
          <w:rFonts w:hint="eastAsia" w:ascii="黑体" w:hAnsi="黑体" w:eastAsia="黑体"/>
          <w:kern w:val="0"/>
          <w:sz w:val="32"/>
          <w:szCs w:val="32"/>
        </w:rPr>
        <w:t>第三部分 2019年县清水泉管委会预算情况说明</w:t>
      </w:r>
    </w:p>
    <w:p>
      <w:pPr>
        <w:widowControl/>
        <w:spacing w:line="580" w:lineRule="exact"/>
        <w:ind w:firstLine="640"/>
        <w:jc w:val="left"/>
        <w:rPr>
          <w:rFonts w:hint="eastAsia" w:ascii="黑体" w:hAnsi="黑体" w:eastAsia="黑体" w:cs="宋体"/>
          <w:bCs/>
          <w:kern w:val="0"/>
          <w:sz w:val="32"/>
          <w:szCs w:val="32"/>
        </w:rPr>
      </w:pPr>
      <w:r>
        <w:rPr>
          <w:rFonts w:hint="eastAsia" w:ascii="黑体" w:hAnsi="黑体" w:eastAsia="黑体" w:cs="宋体"/>
          <w:bCs/>
          <w:kern w:val="0"/>
          <w:sz w:val="32"/>
          <w:szCs w:val="32"/>
        </w:rPr>
        <w:t>一、关于县清水泉管委会2019年收支预算情况的总体说明</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按照全口径预算的原则，县清水泉管委会2019年所有收入和支出均纳入部门预算管理。收支总预算166.01万元。</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收入预算包括：一般公共预算166.01万元。</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支出预算包括：一般公共服务支出92.86万元、社会保障和就业支出73.15万元。</w:t>
      </w:r>
    </w:p>
    <w:p>
      <w:pPr>
        <w:widowControl/>
        <w:spacing w:line="580" w:lineRule="exact"/>
        <w:ind w:firstLine="640"/>
        <w:jc w:val="left"/>
        <w:rPr>
          <w:rFonts w:ascii="宋体" w:cs="宋体"/>
          <w:kern w:val="0"/>
          <w:sz w:val="32"/>
          <w:szCs w:val="32"/>
        </w:rPr>
      </w:pPr>
      <w:r>
        <w:rPr>
          <w:rFonts w:hint="eastAsia" w:ascii="黑体" w:hAnsi="宋体" w:eastAsia="黑体" w:cs="宋体"/>
          <w:kern w:val="0"/>
          <w:sz w:val="32"/>
          <w:szCs w:val="32"/>
        </w:rPr>
        <w:t>二、关于县清水泉管委会2019年收入预算情况说明</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县清水泉管委会收入预算166.01万元，其中：</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一般公共预算166.01万元，占 100 %，比上年增加24.74万元，主要原因是人员工资、社保、住房公积金调整及专项业务费增加。      </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政府性基金预算未安排，较上年无增减变化，主要原因是我单位两年均未安排政府性基金预算。</w:t>
      </w:r>
    </w:p>
    <w:p>
      <w:pPr>
        <w:widowControl/>
        <w:spacing w:line="580" w:lineRule="exact"/>
        <w:ind w:firstLine="640"/>
        <w:jc w:val="left"/>
        <w:rPr>
          <w:rFonts w:hint="eastAsia" w:ascii="黑体" w:hAnsi="宋体" w:eastAsia="黑体" w:cs="宋体"/>
          <w:kern w:val="0"/>
          <w:sz w:val="32"/>
          <w:szCs w:val="32"/>
        </w:rPr>
      </w:pPr>
      <w:r>
        <w:rPr>
          <w:rFonts w:hint="eastAsia" w:ascii="黑体" w:hAnsi="宋体" w:eastAsia="黑体" w:cs="宋体"/>
          <w:kern w:val="0"/>
          <w:sz w:val="32"/>
          <w:szCs w:val="32"/>
        </w:rPr>
        <w:t>三、关于县清水泉管委会2019年支出预算情况说明</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县清水泉管委会单位2019年支出预算166.01万元，其中：</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基本支出99.01元，占59.64%，比上年增加23.54万元，主要原因是人员工资、社保、住房公积金调整及日常公用经费支出增加。  </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项目支出67万元，占40.36%，与上年减少1.2万元，主要原因专项业务费支出预算减少。     </w:t>
      </w:r>
    </w:p>
    <w:p>
      <w:pPr>
        <w:widowControl/>
        <w:spacing w:line="580" w:lineRule="exact"/>
        <w:ind w:firstLine="640"/>
        <w:jc w:val="left"/>
        <w:rPr>
          <w:rFonts w:hint="eastAsia" w:ascii="黑体" w:hAnsi="黑体" w:eastAsia="黑体" w:cs="宋体"/>
          <w:bCs/>
          <w:kern w:val="0"/>
          <w:sz w:val="32"/>
          <w:szCs w:val="32"/>
        </w:rPr>
      </w:pPr>
      <w:r>
        <w:rPr>
          <w:rFonts w:hint="eastAsia" w:ascii="黑体" w:hAnsi="黑体" w:eastAsia="黑体" w:cs="宋体"/>
          <w:bCs/>
          <w:kern w:val="0"/>
          <w:sz w:val="32"/>
          <w:szCs w:val="32"/>
        </w:rPr>
        <w:t>四、关于县清水泉管委会2019年财政拨款收支预算情况的总体说明</w:t>
      </w:r>
    </w:p>
    <w:p>
      <w:pPr>
        <w:spacing w:line="580" w:lineRule="exact"/>
        <w:ind w:firstLine="640"/>
        <w:rPr>
          <w:rFonts w:ascii="宋体" w:cs="宋体"/>
          <w:kern w:val="0"/>
          <w:sz w:val="32"/>
          <w:szCs w:val="32"/>
        </w:rPr>
      </w:pPr>
      <w:r>
        <w:rPr>
          <w:rFonts w:hint="eastAsia" w:ascii="仿宋_GB2312" w:hAnsi="宋体" w:eastAsia="仿宋_GB2312" w:cs="宋体"/>
          <w:kern w:val="0"/>
          <w:sz w:val="32"/>
          <w:szCs w:val="32"/>
        </w:rPr>
        <w:t>2019年财政拨款收支总预算166.01万元。</w:t>
      </w:r>
    </w:p>
    <w:p>
      <w:pPr>
        <w:spacing w:line="580" w:lineRule="exact"/>
        <w:ind w:firstLine="640"/>
        <w:rPr>
          <w:rFonts w:ascii="宋体" w:hAnsi="宋体" w:cs="宋体"/>
          <w:kern w:val="0"/>
          <w:sz w:val="32"/>
          <w:szCs w:val="32"/>
        </w:rPr>
      </w:pPr>
      <w:r>
        <w:rPr>
          <w:rFonts w:hint="eastAsia" w:ascii="仿宋_GB2312" w:hAnsi="宋体" w:eastAsia="仿宋_GB2312" w:cs="宋体"/>
          <w:kern w:val="0"/>
          <w:sz w:val="32"/>
          <w:szCs w:val="32"/>
        </w:rPr>
        <w:t>收入全部为一般公共预算拨款166.01万元，无政府性基金预算拨款。</w:t>
      </w:r>
      <w:r>
        <w:rPr>
          <w:rFonts w:ascii="宋体" w:hAnsi="宋体" w:cs="宋体"/>
          <w:kern w:val="0"/>
          <w:sz w:val="32"/>
          <w:szCs w:val="32"/>
        </w:rPr>
        <w:t xml:space="preserve"> </w:t>
      </w:r>
    </w:p>
    <w:p>
      <w:pPr>
        <w:spacing w:line="580" w:lineRule="exact"/>
        <w:ind w:firstLine="64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支出预算包括：</w:t>
      </w:r>
    </w:p>
    <w:p>
      <w:pPr>
        <w:spacing w:line="580" w:lineRule="exact"/>
        <w:ind w:firstLine="64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一般公共服务支出（201类）政府办公厅（室）及相关机构事物（03款）92.86万元，主要用于人员工资、伙食补助、日常公用经费支出。</w:t>
      </w:r>
    </w:p>
    <w:p>
      <w:pPr>
        <w:spacing w:line="580" w:lineRule="exact"/>
        <w:ind w:firstLine="64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社会保障和就业支出（208类）行政事业单位离退休（05款）73.15万元，主要用于在职人员单位基本养老保险缴费支出及基层政权和社区建设经费支出。</w:t>
      </w:r>
    </w:p>
    <w:p>
      <w:pPr>
        <w:widowControl/>
        <w:spacing w:line="580" w:lineRule="exact"/>
        <w:ind w:firstLine="640"/>
        <w:jc w:val="left"/>
        <w:rPr>
          <w:rFonts w:hint="eastAsia" w:ascii="黑体" w:hAnsi="宋体" w:eastAsia="黑体" w:cs="宋体"/>
          <w:kern w:val="0"/>
          <w:sz w:val="32"/>
          <w:szCs w:val="32"/>
        </w:rPr>
      </w:pPr>
      <w:r>
        <w:rPr>
          <w:rFonts w:hint="eastAsia" w:ascii="黑体" w:hAnsi="宋体" w:eastAsia="黑体" w:cs="宋体"/>
          <w:kern w:val="0"/>
          <w:sz w:val="32"/>
          <w:szCs w:val="32"/>
        </w:rPr>
        <w:t>五、关于县清水泉管委会2019年一般公共预算当年拨款情况说明</w:t>
      </w:r>
    </w:p>
    <w:p>
      <w:pPr>
        <w:widowControl/>
        <w:spacing w:line="580" w:lineRule="exact"/>
        <w:ind w:firstLine="642"/>
        <w:jc w:val="left"/>
        <w:rPr>
          <w:rFonts w:hint="eastAsia"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县清水泉管委会2019年一般公共预算拨款基本支出99.01万元，比上年执行数增加26.04万元，增长35.69%。主要原因是：人员工资调资、社保</w:t>
      </w:r>
      <w:r>
        <w:rPr>
          <w:rFonts w:hint="eastAsia" w:ascii="仿宋_GB2312" w:hAnsi="宋体" w:eastAsia="仿宋_GB2312" w:cs="宋体"/>
          <w:kern w:val="0"/>
          <w:sz w:val="32"/>
          <w:szCs w:val="32"/>
          <w:lang w:eastAsia="zh-CN"/>
        </w:rPr>
        <w:t>基</w:t>
      </w:r>
      <w:r>
        <w:rPr>
          <w:rFonts w:hint="eastAsia" w:ascii="仿宋_GB2312" w:hAnsi="宋体" w:eastAsia="仿宋_GB2312" w:cs="宋体"/>
          <w:kern w:val="0"/>
          <w:sz w:val="32"/>
          <w:szCs w:val="32"/>
        </w:rPr>
        <w:t xml:space="preserve">数、住房公积金基数调增。        </w:t>
      </w:r>
    </w:p>
    <w:p>
      <w:pPr>
        <w:widowControl/>
        <w:spacing w:line="580" w:lineRule="exact"/>
        <w:ind w:firstLine="642"/>
        <w:jc w:val="left"/>
        <w:rPr>
          <w:rFonts w:hint="eastAsia"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80" w:lineRule="exact"/>
        <w:ind w:firstLine="640"/>
        <w:rPr>
          <w:rFonts w:hint="eastAsia" w:ascii="仿宋_GB2312" w:eastAsia="仿宋_GB2312"/>
          <w:sz w:val="32"/>
          <w:szCs w:val="32"/>
        </w:rPr>
      </w:pPr>
      <w:r>
        <w:rPr>
          <w:rFonts w:hint="eastAsia" w:ascii="仿宋_GB2312" w:eastAsia="仿宋_GB2312"/>
          <w:sz w:val="32"/>
          <w:szCs w:val="32"/>
        </w:rPr>
        <w:t>1. 一般公共服务支出（201类）92.86万元，占55.94%。</w:t>
      </w:r>
    </w:p>
    <w:p>
      <w:pPr>
        <w:spacing w:line="580" w:lineRule="exact"/>
        <w:ind w:firstLine="640"/>
        <w:rPr>
          <w:rFonts w:hint="eastAsia" w:ascii="仿宋_GB2312" w:eastAsia="仿宋_GB2312"/>
          <w:sz w:val="32"/>
          <w:szCs w:val="32"/>
        </w:rPr>
      </w:pPr>
      <w:r>
        <w:rPr>
          <w:rFonts w:hint="eastAsia" w:ascii="仿宋_GB2312" w:eastAsia="仿宋_GB2312"/>
          <w:sz w:val="32"/>
          <w:szCs w:val="32"/>
        </w:rPr>
        <w:t>2. 社会保障和就业支出(208类)73.15万元，占44.06%。</w:t>
      </w:r>
    </w:p>
    <w:p>
      <w:pPr>
        <w:widowControl/>
        <w:spacing w:line="580" w:lineRule="exact"/>
        <w:ind w:firstLine="642"/>
        <w:jc w:val="left"/>
        <w:rPr>
          <w:rFonts w:hint="eastAsia"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 一般公共服务支出（201类）政府办公厅（室）及相关机构事物（03款）行政运行（01项）:2019年预算数为92.86万元，比上年执行数增加14.38万元，增长18.32%，主要原因是：人员社保基数、工资调资、住房公积金基数调整。</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 社会保障和就业支出(208类) 民政管理事物（02款）基层政权和社区建设（08项）：2019年预算数</w:t>
      </w:r>
      <w:r>
        <w:rPr>
          <w:rFonts w:hint="eastAsia" w:ascii="仿宋_GB2312" w:hAnsi="宋体" w:eastAsia="仿宋_GB2312" w:cs="宋体"/>
          <w:kern w:val="0"/>
          <w:sz w:val="32"/>
          <w:szCs w:val="32"/>
          <w:lang w:eastAsia="zh-CN"/>
        </w:rPr>
        <w:t>为</w:t>
      </w:r>
      <w:r>
        <w:rPr>
          <w:rFonts w:hint="eastAsia" w:ascii="仿宋_GB2312" w:hAnsi="宋体" w:eastAsia="仿宋_GB2312" w:cs="宋体"/>
          <w:kern w:val="0"/>
          <w:sz w:val="32"/>
          <w:szCs w:val="32"/>
        </w:rPr>
        <w:t xml:space="preserve">67万元，比上年执行数减少67.8万元，降低50.30%，主要原因是：基层政权和社区建设专项业务费收入预算减少。   </w:t>
      </w:r>
    </w:p>
    <w:p>
      <w:pPr>
        <w:widowControl/>
        <w:spacing w:line="580" w:lineRule="exact"/>
        <w:ind w:firstLine="640"/>
        <w:jc w:val="left"/>
        <w:rPr>
          <w:rFonts w:ascii="宋体" w:cs="宋体"/>
          <w:kern w:val="0"/>
          <w:sz w:val="32"/>
          <w:szCs w:val="32"/>
        </w:rPr>
      </w:pPr>
      <w:r>
        <w:rPr>
          <w:rFonts w:hint="eastAsia" w:ascii="仿宋_GB2312" w:hAnsi="宋体" w:eastAsia="仿宋_GB2312" w:cs="宋体"/>
          <w:kern w:val="0"/>
          <w:sz w:val="32"/>
          <w:szCs w:val="32"/>
        </w:rPr>
        <w:t>3. 社会保障和就业支出(208类) 行政事业单位离退休（05款）机关事业单位基本养老保险缴费支出（05项）：2019年预算数</w:t>
      </w:r>
      <w:r>
        <w:rPr>
          <w:rFonts w:hint="eastAsia" w:ascii="仿宋_GB2312" w:hAnsi="宋体" w:eastAsia="仿宋_GB2312" w:cs="宋体"/>
          <w:kern w:val="0"/>
          <w:sz w:val="32"/>
          <w:szCs w:val="32"/>
          <w:lang w:eastAsia="zh-CN"/>
        </w:rPr>
        <w:t>为</w:t>
      </w:r>
      <w:r>
        <w:rPr>
          <w:rFonts w:hint="eastAsia" w:ascii="仿宋_GB2312" w:hAnsi="宋体" w:eastAsia="仿宋_GB2312" w:cs="宋体"/>
          <w:kern w:val="0"/>
          <w:sz w:val="32"/>
          <w:szCs w:val="32"/>
        </w:rPr>
        <w:t xml:space="preserve">6.15万元，比上年执行数增加1.65万元，增长36.67%，主要原因是：人员社保基数调整。   </w:t>
      </w:r>
      <w:r>
        <w:rPr>
          <w:rFonts w:ascii="宋体" w:hAnsi="宋体" w:cs="宋体"/>
          <w:kern w:val="0"/>
          <w:sz w:val="32"/>
          <w:szCs w:val="32"/>
        </w:rPr>
        <w:t xml:space="preserve"> </w:t>
      </w:r>
    </w:p>
    <w:p>
      <w:pPr>
        <w:widowControl/>
        <w:spacing w:line="580" w:lineRule="exact"/>
        <w:ind w:firstLine="640"/>
        <w:jc w:val="left"/>
        <w:rPr>
          <w:rFonts w:hint="eastAsia" w:ascii="黑体" w:hAnsi="宋体" w:eastAsia="黑体" w:cs="宋体"/>
          <w:kern w:val="0"/>
          <w:sz w:val="32"/>
          <w:szCs w:val="32"/>
        </w:rPr>
      </w:pPr>
      <w:r>
        <w:rPr>
          <w:rFonts w:hint="eastAsia" w:ascii="黑体" w:hAnsi="宋体" w:eastAsia="黑体" w:cs="宋体"/>
          <w:kern w:val="0"/>
          <w:sz w:val="32"/>
          <w:szCs w:val="32"/>
        </w:rPr>
        <w:t>六、关于县清水泉管委会2019年一般公共预算基本支出情况说明</w:t>
      </w:r>
    </w:p>
    <w:p>
      <w:pPr>
        <w:widowControl/>
        <w:spacing w:line="580" w:lineRule="exact"/>
        <w:ind w:firstLine="64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县清水泉管委会2019年一般公共预算基本支出99.01万元，其中：</w:t>
      </w:r>
    </w:p>
    <w:p>
      <w:pPr>
        <w:widowControl/>
        <w:spacing w:line="580" w:lineRule="exact"/>
        <w:ind w:firstLine="64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人员经费77.53万元，主要包括：基本工资13.12万元、津贴补贴12.21万元、奖金10.10万元、伙食补助费1.87万元、绩效工资4.79万元、机关事业单位基本养老保险缴费6.15万元、职工基本医疗保险缴费2.77万元、公务员医疗补助缴费0.61万元、其他社会保障缴费0.32万元、住房公积金6.22万元、其他人员和福利支出7.37万元、其他对个人和家庭的补助12万元。</w:t>
      </w:r>
    </w:p>
    <w:p>
      <w:pPr>
        <w:widowControl/>
        <w:spacing w:line="580" w:lineRule="exact"/>
        <w:ind w:firstLine="640"/>
        <w:jc w:val="left"/>
        <w:rPr>
          <w:rFonts w:ascii="宋体" w:cs="宋体"/>
          <w:color w:val="auto"/>
          <w:kern w:val="0"/>
          <w:sz w:val="32"/>
          <w:szCs w:val="32"/>
        </w:rPr>
      </w:pPr>
      <w:r>
        <w:rPr>
          <w:rFonts w:hint="eastAsia" w:ascii="仿宋_GB2312" w:hAnsi="宋体" w:eastAsia="仿宋_GB2312" w:cs="宋体"/>
          <w:color w:val="auto"/>
          <w:kern w:val="0"/>
          <w:sz w:val="32"/>
          <w:szCs w:val="32"/>
        </w:rPr>
        <w:t>公用经费21.48万元，主要包括：办公费0.3万元、印刷费0.2万元、水费0.2万元、电费0.5万元、办公取暖费6.05万元、公务接待费0.25万元、工会经费0.34万元、福利费0.79万元、公务用车运行维护费12.60万元</w:t>
      </w:r>
      <w:r>
        <w:rPr>
          <w:rFonts w:hint="eastAsia" w:ascii="仿宋_GB2312" w:hAnsi="宋体" w:eastAsia="仿宋_GB2312" w:cs="宋体"/>
          <w:color w:val="auto"/>
          <w:kern w:val="0"/>
          <w:sz w:val="32"/>
          <w:szCs w:val="32"/>
          <w:lang w:val="en-US" w:eastAsia="zh-CN"/>
        </w:rPr>
        <w:t>、其他商品和服务支出0.25万元</w:t>
      </w:r>
      <w:r>
        <w:rPr>
          <w:rFonts w:hint="eastAsia" w:ascii="仿宋_GB2312" w:hAnsi="宋体" w:eastAsia="仿宋_GB2312" w:cs="宋体"/>
          <w:color w:val="auto"/>
          <w:kern w:val="0"/>
          <w:sz w:val="32"/>
          <w:szCs w:val="32"/>
        </w:rPr>
        <w:t>。</w:t>
      </w:r>
    </w:p>
    <w:p>
      <w:pPr>
        <w:widowControl/>
        <w:spacing w:line="580" w:lineRule="exact"/>
        <w:ind w:firstLine="640"/>
        <w:jc w:val="left"/>
        <w:rPr>
          <w:rFonts w:hint="eastAsia" w:ascii="黑体" w:hAnsi="宋体" w:eastAsia="黑体" w:cs="宋体"/>
          <w:kern w:val="0"/>
          <w:sz w:val="32"/>
          <w:szCs w:val="32"/>
        </w:rPr>
      </w:pPr>
      <w:r>
        <w:rPr>
          <w:rFonts w:hint="eastAsia" w:ascii="黑体" w:hAnsi="宋体" w:eastAsia="黑体" w:cs="宋体"/>
          <w:kern w:val="0"/>
          <w:sz w:val="32"/>
          <w:szCs w:val="32"/>
        </w:rPr>
        <w:t>七、关于县清水泉管委会2019年项目支出情况说明</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1、项目名称：基层政权和社区建设（管委会运转经费）</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设立的政策依据：管委会全年运转经费</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预算安排规模：41.9万元</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项目承担单位：乌鲁木齐县清水泉片区管理委员会</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资金分配情况：41.9万元</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资金执行时间：2019年1月1日—2019年12月31日</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2、项目名称：基层政权和社区建设（社区办公经费）</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设立的政策依据：社区经费县级配套</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预算安排规模：8万元</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项目承担单位：乌鲁木齐县清水泉片区管委会清水泉社区</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资金分配情况：8万元</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资金执行时间：2019年1月1日—2019年12月31日</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3、项目名称：基层政权和社区建设（其他对个人和家庭的补助）</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设立的政策依据：解决聘用环卫人员工资，管委会正常运行</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预算安排规模：8.1万元</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项目承担单位：乌鲁木齐县清水泉片区管理委员会</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资金分配情况：8.1万元</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资金执行时间：2019年1月1日—2019年12月31日</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资金来源：财政拨款</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补贴人数：4人</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补贴标准：平均每人每月1687.5元</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补贴范围：所有聘用人员</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补贴方式：工资</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发放程序：银行汇款</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受益人群和社会效益：所有聘用人员，促进片区发展</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4、项目名称：基层政权和社区建设（其他对个人和家庭的补助）</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设立的政策依据：解决社区聘用人员维稳补助，社区正常运行</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预算安排规模：9万元</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项目承担单位：乌鲁木齐县清水泉片区管委会清水泉社区</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资金分配情况：9万元</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资金执行时间：2019年1月1日—2019年12月31日</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资金来源：财政拨款</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补贴人数：15人</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补贴标准：平均每人每月500元</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补贴范围：社区所有聘用干部</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补贴方式：生活补助</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发放程序：银行汇款</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受益人群和社会效益：社区聘用15名基层工作者，促进社区和谐发展。</w:t>
      </w:r>
    </w:p>
    <w:p>
      <w:pPr>
        <w:widowControl/>
        <w:spacing w:line="580" w:lineRule="exact"/>
        <w:ind w:firstLine="642"/>
        <w:jc w:val="left"/>
        <w:rPr>
          <w:rFonts w:hint="eastAsia" w:ascii="黑体" w:hAnsi="宋体" w:eastAsia="黑体" w:cs="宋体"/>
          <w:kern w:val="0"/>
          <w:sz w:val="32"/>
          <w:szCs w:val="32"/>
        </w:rPr>
      </w:pPr>
      <w:r>
        <w:rPr>
          <w:rFonts w:hint="eastAsia" w:ascii="黑体" w:hAnsi="宋体" w:eastAsia="黑体" w:cs="宋体"/>
          <w:kern w:val="0"/>
          <w:sz w:val="32"/>
          <w:szCs w:val="32"/>
        </w:rPr>
        <w:t>八、关于县清水泉管委会2019年一般公共预算“三公”经费预算情况说明</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县清水泉管委会</w:t>
      </w:r>
      <w:r>
        <w:rPr>
          <w:rFonts w:hint="eastAsia" w:ascii="仿宋_GB2312" w:hAnsi="宋体" w:eastAsia="仿宋_GB2312" w:cs="宋体"/>
          <w:kern w:val="0"/>
          <w:sz w:val="32"/>
          <w:szCs w:val="32"/>
          <w:lang w:eastAsia="zh-CN"/>
        </w:rPr>
        <w:t>部门</w:t>
      </w:r>
      <w:r>
        <w:rPr>
          <w:rFonts w:hint="eastAsia" w:ascii="仿宋_GB2312" w:hAnsi="宋体" w:eastAsia="仿宋_GB2312" w:cs="宋体"/>
          <w:kern w:val="0"/>
          <w:sz w:val="32"/>
          <w:szCs w:val="32"/>
        </w:rPr>
        <w:t>2019年“三公”经费财政拨款预算数为12.85万元，其中：因公出国（境）费 0万元，公务用车购置0万元，公务用车运行费12.6万元，公务接待费0.25万元。</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2019年“三公”经费财政拨款预算比上年增加0.5万元，因公出国（境）费较上年无增减变动，主要原因是：单位两年均未安排因公出国（境）费预算；公务用车购置费为0万元，未安排预算，较上年无增减变动；公务用车运行费较上年增加0.75万元，主要原因是：今年新增一辆公务用车，公务用车运行费用增加；公务接待费较上年减少0.25万元万元，主要原因是公务接待费计提基数减少。 </w:t>
      </w:r>
    </w:p>
    <w:p>
      <w:pPr>
        <w:widowControl/>
        <w:spacing w:line="580" w:lineRule="exact"/>
        <w:ind w:firstLine="642"/>
        <w:jc w:val="left"/>
        <w:rPr>
          <w:rFonts w:hint="eastAsia" w:ascii="黑体" w:hAnsi="宋体" w:eastAsia="黑体" w:cs="宋体"/>
          <w:kern w:val="0"/>
          <w:sz w:val="32"/>
          <w:szCs w:val="32"/>
        </w:rPr>
      </w:pPr>
      <w:r>
        <w:rPr>
          <w:rFonts w:hint="eastAsia" w:ascii="黑体" w:hAnsi="宋体" w:eastAsia="黑体" w:cs="宋体"/>
          <w:kern w:val="0"/>
          <w:sz w:val="32"/>
          <w:szCs w:val="32"/>
        </w:rPr>
        <w:t>九、关于县清水泉管委会2019年政府性基金预算拨款情况说明</w:t>
      </w:r>
    </w:p>
    <w:p>
      <w:pPr>
        <w:widowControl/>
        <w:spacing w:line="580" w:lineRule="exact"/>
        <w:ind w:firstLine="640"/>
        <w:jc w:val="left"/>
        <w:rPr>
          <w:rFonts w:ascii="宋体" w:cs="宋体"/>
          <w:kern w:val="0"/>
          <w:sz w:val="32"/>
          <w:szCs w:val="32"/>
        </w:rPr>
      </w:pPr>
      <w:r>
        <w:rPr>
          <w:rFonts w:hint="eastAsia" w:ascii="仿宋_GB2312" w:hAnsi="宋体" w:eastAsia="仿宋_GB2312" w:cs="宋体"/>
          <w:kern w:val="0"/>
          <w:sz w:val="32"/>
          <w:szCs w:val="32"/>
        </w:rPr>
        <w:t>县清水泉管委会2019年没有使用政府性基金预算拨款安排的支出，政府性基金预算支出情况表为空表。</w:t>
      </w:r>
    </w:p>
    <w:p>
      <w:pPr>
        <w:widowControl/>
        <w:spacing w:line="580" w:lineRule="exact"/>
        <w:ind w:firstLine="640"/>
        <w:jc w:val="left"/>
        <w:rPr>
          <w:rFonts w:hint="eastAsia"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80" w:lineRule="exact"/>
        <w:ind w:firstLine="642"/>
        <w:jc w:val="left"/>
        <w:rPr>
          <w:rFonts w:hint="eastAsia"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80" w:lineRule="exact"/>
        <w:ind w:firstLine="640"/>
        <w:jc w:val="left"/>
        <w:rPr>
          <w:rFonts w:ascii="宋体" w:cs="宋体"/>
          <w:kern w:val="0"/>
          <w:sz w:val="32"/>
          <w:szCs w:val="32"/>
        </w:rPr>
      </w:pPr>
      <w:r>
        <w:rPr>
          <w:rFonts w:hint="eastAsia" w:ascii="仿宋_GB2312" w:hAnsi="宋体" w:eastAsia="仿宋_GB2312" w:cs="宋体"/>
          <w:kern w:val="0"/>
          <w:sz w:val="32"/>
          <w:szCs w:val="32"/>
        </w:rPr>
        <w:t xml:space="preserve">2019年，县清水泉管委会本级及下属0家行政单位、0家参公管理事业单位和0家事业单位的机关运行经费财政拨款预算21.48万元，比上年预算增加2.89万元，增长15.76%。主要原因是公务用车运行维护费增加。    </w:t>
      </w:r>
      <w:r>
        <w:rPr>
          <w:rFonts w:ascii="宋体" w:hAnsi="宋体" w:cs="宋体"/>
          <w:kern w:val="0"/>
          <w:sz w:val="32"/>
          <w:szCs w:val="32"/>
        </w:rPr>
        <w:t xml:space="preserve"> </w:t>
      </w:r>
    </w:p>
    <w:p>
      <w:pPr>
        <w:widowControl/>
        <w:spacing w:line="580" w:lineRule="exact"/>
        <w:ind w:firstLine="642"/>
        <w:jc w:val="left"/>
        <w:rPr>
          <w:rFonts w:hint="eastAsia" w:ascii="楷体_GB2312" w:hAnsi="宋体" w:eastAsia="楷体_GB2312" w:cs="宋体"/>
          <w:b/>
          <w:kern w:val="0"/>
          <w:sz w:val="32"/>
          <w:szCs w:val="32"/>
        </w:rPr>
      </w:pPr>
      <w:r>
        <w:rPr>
          <w:rFonts w:hint="eastAsia" w:ascii="宋体" w:hAnsi="宋体" w:cs="宋体"/>
          <w:b/>
          <w:kern w:val="0"/>
          <w:sz w:val="32"/>
          <w:szCs w:val="32"/>
        </w:rPr>
        <w:t>（</w:t>
      </w:r>
      <w:r>
        <w:rPr>
          <w:rFonts w:hint="eastAsia" w:ascii="楷体_GB2312" w:hAnsi="宋体" w:eastAsia="楷体_GB2312" w:cs="宋体"/>
          <w:b/>
          <w:kern w:val="0"/>
          <w:sz w:val="32"/>
          <w:szCs w:val="32"/>
        </w:rPr>
        <w:t>二）政府采购情况</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2019年，县清水泉管委会及下属单位政府采购预算5万元，其中：政府采购货物预算5万元，政府采购工程预算0万元，政府采购服务预算0万元。</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2019年度本部门面向中小企业预留政府采购项目预算金额0万元，其中：面向小微企业预留政府采购项目预算金额0万元。</w:t>
      </w:r>
    </w:p>
    <w:p>
      <w:pPr>
        <w:widowControl/>
        <w:spacing w:line="580" w:lineRule="exact"/>
        <w:ind w:firstLine="642"/>
        <w:jc w:val="left"/>
        <w:rPr>
          <w:rFonts w:ascii="宋体"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截至20</w:t>
      </w:r>
      <w:r>
        <w:rPr>
          <w:rFonts w:hint="eastAsia" w:ascii="仿宋_GB2312" w:hAnsi="宋体" w:eastAsia="仿宋_GB2312" w:cs="宋体"/>
          <w:kern w:val="0"/>
          <w:sz w:val="32"/>
          <w:szCs w:val="32"/>
          <w:lang w:val="en-US" w:eastAsia="zh-CN"/>
        </w:rPr>
        <w:t>18</w:t>
      </w:r>
      <w:r>
        <w:rPr>
          <w:rFonts w:hint="eastAsia" w:ascii="仿宋_GB2312" w:hAnsi="宋体" w:eastAsia="仿宋_GB2312" w:cs="宋体"/>
          <w:kern w:val="0"/>
          <w:sz w:val="32"/>
          <w:szCs w:val="32"/>
        </w:rPr>
        <w:t>年底，县清水泉管委会及下属各预算单位占用使用国有资产总体情况为</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1.房屋0平方米，价值0万元。</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2.车辆3辆，价值40.73万元；其中：一般公务用车</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辆，价值0万元；执法执勤用车0辆，价值0万元；其他车辆3辆，价值40.73万元。</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3.办公家具价值40.75万元。</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4.其他资产价值97.81万元。</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2019年部门预算未安排购置车辆经费，安排购置50万元以上大型设备0台（套），单位价值100万元以上大型设备0台（套）。</w:t>
      </w:r>
    </w:p>
    <w:p>
      <w:pPr>
        <w:widowControl/>
        <w:spacing w:line="580" w:lineRule="exact"/>
        <w:ind w:firstLine="642"/>
        <w:jc w:val="left"/>
        <w:rPr>
          <w:rFonts w:hint="eastAsia"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2019年度，本年度实行绩效管理的项目4个，涉及预算金额67万元。具体情况见下表（按项目分别填报）：</w:t>
      </w:r>
    </w:p>
    <w:p>
      <w:pPr>
        <w:widowControl/>
        <w:spacing w:line="580" w:lineRule="exact"/>
        <w:ind w:firstLine="640"/>
        <w:jc w:val="left"/>
        <w:rPr>
          <w:rFonts w:hint="eastAsia" w:ascii="仿宋_GB2312" w:hAnsi="宋体" w:eastAsia="仿宋_GB2312" w:cs="宋体"/>
          <w:kern w:val="0"/>
          <w:sz w:val="32"/>
          <w:szCs w:val="32"/>
        </w:rPr>
        <w:sectPr>
          <w:pgSz w:w="11906" w:h="16838"/>
          <w:pgMar w:top="1440" w:right="1800" w:bottom="1440" w:left="1800" w:header="851" w:footer="992" w:gutter="0"/>
          <w:cols w:space="425" w:num="1"/>
          <w:docGrid w:type="lines" w:linePitch="312" w:charSpace="0"/>
        </w:sectPr>
      </w:pPr>
    </w:p>
    <w:tbl>
      <w:tblPr>
        <w:tblStyle w:val="9"/>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pPr>
              <w:widowControl/>
              <w:jc w:val="center"/>
              <w:outlineLvl w:val="1"/>
              <w:rPr>
                <w:rFonts w:ascii="宋体" w:cs="宋体"/>
                <w:b/>
                <w:bCs/>
                <w:kern w:val="0"/>
                <w:sz w:val="32"/>
                <w:szCs w:val="32"/>
              </w:rPr>
            </w:pPr>
            <w:r>
              <w:rPr>
                <w:rFonts w:hint="eastAsia" w:ascii="宋体" w:hAnsi="宋体"/>
                <w:b/>
                <w:kern w:val="0"/>
                <w:sz w:val="32"/>
                <w:szCs w:val="32"/>
              </w:rPr>
              <w:t>项</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支</w:t>
            </w:r>
            <w:r>
              <w:rPr>
                <w:rFonts w:ascii="宋体" w:hAnsi="宋体"/>
                <w:b/>
                <w:kern w:val="0"/>
                <w:sz w:val="32"/>
                <w:szCs w:val="32"/>
              </w:rPr>
              <w:t xml:space="preserve">  </w:t>
            </w:r>
            <w:r>
              <w:rPr>
                <w:rFonts w:hint="eastAsia" w:ascii="宋体" w:hAnsi="宋体"/>
                <w:b/>
                <w:kern w:val="0"/>
                <w:sz w:val="32"/>
                <w:szCs w:val="32"/>
              </w:rPr>
              <w:t>出</w:t>
            </w:r>
            <w:r>
              <w:rPr>
                <w:rFonts w:ascii="宋体" w:hAnsi="宋体"/>
                <w:b/>
                <w:kern w:val="0"/>
                <w:sz w:val="32"/>
                <w:szCs w:val="32"/>
              </w:rPr>
              <w:t xml:space="preserve">  </w:t>
            </w:r>
            <w:r>
              <w:rPr>
                <w:rFonts w:hint="eastAsia" w:ascii="宋体" w:hAnsi="宋体"/>
                <w:b/>
                <w:kern w:val="0"/>
                <w:sz w:val="32"/>
                <w:szCs w:val="32"/>
              </w:rPr>
              <w:t>绩</w:t>
            </w:r>
            <w:r>
              <w:rPr>
                <w:rFonts w:ascii="宋体" w:hAnsi="宋体"/>
                <w:b/>
                <w:kern w:val="0"/>
                <w:sz w:val="32"/>
                <w:szCs w:val="32"/>
              </w:rPr>
              <w:t xml:space="preserve">  </w:t>
            </w:r>
            <w:r>
              <w:rPr>
                <w:rFonts w:hint="eastAsia" w:ascii="宋体" w:hAnsi="宋体"/>
                <w:b/>
                <w:kern w:val="0"/>
                <w:sz w:val="32"/>
                <w:szCs w:val="32"/>
              </w:rPr>
              <w:t>效</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标</w:t>
            </w:r>
            <w:r>
              <w:rPr>
                <w:rFonts w:ascii="宋体" w:hAnsi="宋体"/>
                <w:b/>
                <w:kern w:val="0"/>
                <w:sz w:val="32"/>
                <w:szCs w:val="32"/>
              </w:rPr>
              <w:t xml:space="preserve">  </w:t>
            </w:r>
            <w:r>
              <w:rPr>
                <w:rFonts w:hint="eastAsia" w:ascii="宋体" w:hAnsi="宋体"/>
                <w:b/>
                <w:kern w:val="0"/>
                <w:sz w:val="32"/>
                <w:szCs w:val="32"/>
              </w:rPr>
              <w:t>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pPr>
              <w:widowControl/>
              <w:jc w:val="left"/>
              <w:rPr>
                <w:rFonts w:ascii="宋体" w:cs="宋体"/>
                <w:color w:val="000000"/>
                <w:kern w:val="0"/>
                <w:sz w:val="22"/>
              </w:rPr>
            </w:pPr>
          </w:p>
        </w:tc>
        <w:tc>
          <w:tcPr>
            <w:tcW w:w="1857" w:type="dxa"/>
            <w:tcBorders>
              <w:top w:val="nil"/>
              <w:left w:val="nil"/>
              <w:bottom w:val="nil"/>
              <w:right w:val="nil"/>
            </w:tcBorders>
            <w:noWrap/>
            <w:vAlign w:val="bottom"/>
          </w:tcPr>
          <w:p>
            <w:pPr>
              <w:widowControl/>
              <w:jc w:val="left"/>
              <w:rPr>
                <w:rFonts w:ascii="宋体" w:cs="宋体"/>
                <w:color w:val="000000"/>
                <w:kern w:val="0"/>
                <w:sz w:val="22"/>
              </w:rPr>
            </w:pPr>
          </w:p>
        </w:tc>
        <w:tc>
          <w:tcPr>
            <w:tcW w:w="1664" w:type="dxa"/>
            <w:tcBorders>
              <w:top w:val="nil"/>
              <w:left w:val="nil"/>
              <w:bottom w:val="nil"/>
              <w:right w:val="nil"/>
            </w:tcBorders>
            <w:noWrap/>
            <w:vAlign w:val="bottom"/>
          </w:tcPr>
          <w:p>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pPr>
              <w:widowControl/>
              <w:jc w:val="left"/>
              <w:rPr>
                <w:rFonts w:ascii="宋体" w:cs="宋体"/>
                <w:color w:val="000000"/>
                <w:kern w:val="0"/>
                <w:sz w:val="22"/>
              </w:rPr>
            </w:pPr>
          </w:p>
        </w:tc>
        <w:tc>
          <w:tcPr>
            <w:tcW w:w="323" w:type="dxa"/>
            <w:tcBorders>
              <w:top w:val="nil"/>
              <w:left w:val="nil"/>
              <w:bottom w:val="nil"/>
              <w:right w:val="nil"/>
            </w:tcBorders>
            <w:noWrap/>
            <w:vAlign w:val="bottom"/>
          </w:tcPr>
          <w:p>
            <w:pPr>
              <w:widowControl/>
              <w:jc w:val="left"/>
              <w:rPr>
                <w:rFonts w:ascii="宋体" w:cs="宋体"/>
                <w:color w:val="000000"/>
                <w:kern w:val="0"/>
                <w:sz w:val="22"/>
              </w:rPr>
            </w:pPr>
          </w:p>
        </w:tc>
        <w:tc>
          <w:tcPr>
            <w:tcW w:w="323" w:type="dxa"/>
            <w:tcBorders>
              <w:top w:val="nil"/>
              <w:left w:val="nil"/>
              <w:bottom w:val="nil"/>
              <w:right w:val="nil"/>
            </w:tcBorders>
            <w:noWrap/>
            <w:vAlign w:val="bottom"/>
          </w:tcPr>
          <w:p>
            <w:pPr>
              <w:widowControl/>
              <w:jc w:val="left"/>
              <w:rPr>
                <w:rFonts w:ascii="宋体" w:cs="宋体"/>
                <w:color w:val="000000"/>
                <w:kern w:val="0"/>
                <w:sz w:val="22"/>
              </w:rPr>
            </w:pPr>
          </w:p>
        </w:tc>
        <w:tc>
          <w:tcPr>
            <w:tcW w:w="1925" w:type="dxa"/>
            <w:tcBorders>
              <w:top w:val="nil"/>
              <w:left w:val="nil"/>
              <w:bottom w:val="nil"/>
              <w:right w:val="nil"/>
            </w:tcBorders>
            <w:noWrap/>
            <w:vAlign w:val="bottom"/>
          </w:tcPr>
          <w:p>
            <w:pPr>
              <w:widowControl/>
              <w:jc w:val="left"/>
              <w:rPr>
                <w:rFonts w:ascii="宋体" w:cs="宋体"/>
                <w:color w:val="000000"/>
                <w:kern w:val="0"/>
                <w:sz w:val="22"/>
              </w:rPr>
            </w:pPr>
          </w:p>
        </w:tc>
        <w:tc>
          <w:tcPr>
            <w:tcW w:w="249" w:type="dxa"/>
            <w:tcBorders>
              <w:top w:val="nil"/>
              <w:left w:val="nil"/>
              <w:bottom w:val="nil"/>
              <w:right w:val="nil"/>
            </w:tcBorders>
            <w:noWrap/>
            <w:vAlign w:val="bottom"/>
          </w:tcPr>
          <w:p>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pPr>
              <w:widowControl/>
              <w:jc w:val="left"/>
              <w:rPr>
                <w:rFonts w:ascii="宋体" w:cs="宋体"/>
                <w:color w:val="000000"/>
                <w:kern w:val="0"/>
                <w:sz w:val="22"/>
              </w:rPr>
            </w:pPr>
          </w:p>
        </w:tc>
        <w:tc>
          <w:tcPr>
            <w:tcW w:w="249" w:type="dxa"/>
            <w:tcBorders>
              <w:top w:val="nil"/>
              <w:left w:val="nil"/>
              <w:bottom w:val="nil"/>
              <w:right w:val="nil"/>
            </w:tcBorders>
            <w:noWrap/>
            <w:vAlign w:val="bottom"/>
          </w:tcPr>
          <w:p>
            <w:pPr>
              <w:widowControl/>
              <w:jc w:val="left"/>
              <w:rPr>
                <w:rFonts w:ascii="宋体" w:cs="宋体"/>
                <w:color w:val="000000"/>
                <w:kern w:val="0"/>
                <w:sz w:val="22"/>
              </w:rPr>
            </w:pPr>
          </w:p>
        </w:tc>
        <w:tc>
          <w:tcPr>
            <w:tcW w:w="249" w:type="dxa"/>
            <w:tcBorders>
              <w:top w:val="nil"/>
              <w:left w:val="nil"/>
              <w:bottom w:val="nil"/>
              <w:right w:val="nil"/>
            </w:tcBorders>
            <w:noWrap/>
            <w:vAlign w:val="bottom"/>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90"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乌鲁木齐县清水泉片区管理委员会</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管委会运转经费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41.9</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41.9</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cs="宋体"/>
                <w:kern w:val="0"/>
                <w:sz w:val="18"/>
                <w:szCs w:val="18"/>
              </w:rPr>
              <w:t>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cs="宋体"/>
                <w:kern w:val="0"/>
                <w:sz w:val="20"/>
                <w:szCs w:val="20"/>
              </w:rPr>
            </w:pPr>
            <w:r>
              <w:rPr>
                <w:rFonts w:ascii="宋体" w:hAnsi="宋体" w:cs="宋体"/>
                <w:kern w:val="0"/>
                <w:sz w:val="20"/>
                <w:szCs w:val="20"/>
              </w:rPr>
              <w:t>2019</w:t>
            </w:r>
            <w:r>
              <w:rPr>
                <w:rFonts w:hint="eastAsia" w:ascii="宋体" w:hAnsi="宋体" w:cs="宋体"/>
                <w:kern w:val="0"/>
                <w:sz w:val="20"/>
                <w:szCs w:val="20"/>
              </w:rPr>
              <w:t>年度管委会维稳工作落实较好，能够正常开展各项工作，政策宣传到位，辖区群众安定团结，群众认可度较好。</w:t>
            </w:r>
          </w:p>
        </w:tc>
      </w:tr>
      <w:tr>
        <w:tblPrEx>
          <w:tblCellMar>
            <w:top w:w="0" w:type="dxa"/>
            <w:left w:w="108" w:type="dxa"/>
            <w:bottom w:w="0" w:type="dxa"/>
            <w:right w:w="108" w:type="dxa"/>
          </w:tblCellMar>
        </w:tblPrEx>
        <w:trPr>
          <w:trHeight w:val="297"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cs="宋体"/>
                <w:kern w:val="0"/>
                <w:sz w:val="18"/>
                <w:szCs w:val="18"/>
              </w:rPr>
            </w:pPr>
            <w:r>
              <w:rPr>
                <w:rFonts w:hint="eastAsia" w:ascii="宋体" w:hAnsi="宋体" w:cs="宋体"/>
                <w:kern w:val="0"/>
                <w:sz w:val="18"/>
                <w:szCs w:val="18"/>
              </w:rPr>
              <w:t>提高人员工作积极性、辖区环境整洁　</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s="宋体"/>
                <w:sz w:val="24"/>
              </w:rPr>
            </w:pPr>
            <w:r>
              <w:rPr>
                <w:rFonts w:hint="eastAsia" w:ascii="宋体" w:hAnsi="宋体"/>
              </w:rPr>
              <w:t>下降率≧</w:t>
            </w:r>
            <w:r>
              <w:rPr>
                <w:rFonts w:ascii="宋体" w:hAnsi="宋体"/>
              </w:rPr>
              <w:t>1%</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cs="宋体"/>
                <w:kern w:val="0"/>
                <w:sz w:val="18"/>
                <w:szCs w:val="18"/>
              </w:rPr>
            </w:pPr>
            <w:r>
              <w:rPr>
                <w:rFonts w:hint="eastAsia" w:ascii="宋体" w:hAnsi="宋体" w:cs="宋体"/>
                <w:kern w:val="0"/>
                <w:sz w:val="18"/>
                <w:szCs w:val="18"/>
              </w:rPr>
              <w:t>厉行节约、进行询价、节约资源</w:t>
            </w:r>
            <w:r>
              <w:rPr>
                <w:rFonts w:ascii="宋体" w:hAnsi="宋体" w:cs="宋体"/>
                <w:kern w:val="0"/>
                <w:sz w:val="18"/>
                <w:szCs w:val="18"/>
              </w:rPr>
              <w:t xml:space="preserve">     </w:t>
            </w: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rPr>
              <w:t>下降率≧</w:t>
            </w:r>
            <w:r>
              <w:rPr>
                <w:rFonts w:ascii="宋体" w:hAnsi="宋体"/>
              </w:rPr>
              <w:t>1%</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按时发放环卫人员、锅炉工工资、及时清理路面垃圾</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rPr>
            </w:pPr>
            <w:r>
              <w:rPr>
                <w:rFonts w:ascii="宋体" w:hAnsi="宋体"/>
              </w:rPr>
              <w:t xml:space="preserve"> </w:t>
            </w:r>
            <w:r>
              <w:rPr>
                <w:rFonts w:hint="eastAsia" w:ascii="宋体" w:hAnsi="宋体"/>
              </w:rPr>
              <w:t>合格率≧</w:t>
            </w:r>
            <w:r>
              <w:rPr>
                <w:rFonts w:ascii="宋体" w:hAnsi="宋体"/>
              </w:rPr>
              <w:t>95%</w:t>
            </w:r>
            <w:r>
              <w:rPr>
                <w:rFonts w:hint="eastAsia" w:ascii="宋体" w:hAnsi="宋体"/>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顺利开展单位各项工作，做好维稳工作</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rPr>
              <w:t>合格率≧</w:t>
            </w:r>
            <w:r>
              <w:rPr>
                <w:rFonts w:ascii="宋体" w:hAnsi="宋体"/>
              </w:rPr>
              <w:t>95%</w:t>
            </w:r>
            <w:r>
              <w:rPr>
                <w:rFonts w:hint="eastAsia" w:ascii="宋体" w:hAnsi="宋体"/>
              </w:rPr>
              <w:t>　</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确保环卫工、锅炉工工资正常发放</w:t>
            </w:r>
          </w:p>
        </w:tc>
        <w:tc>
          <w:tcPr>
            <w:tcW w:w="3773" w:type="dxa"/>
            <w:gridSpan w:val="4"/>
            <w:tcBorders>
              <w:top w:val="single" w:color="000000" w:sz="4" w:space="0"/>
              <w:left w:val="nil"/>
              <w:bottom w:val="single" w:color="000000" w:sz="4" w:space="0"/>
              <w:right w:val="single" w:color="000000" w:sz="4" w:space="0"/>
            </w:tcBorders>
            <w:vAlign w:val="center"/>
          </w:tcPr>
          <w:p>
            <w:pPr>
              <w:ind w:firstLine="1260" w:firstLineChars="600"/>
              <w:rPr>
                <w:rFonts w:ascii="宋体" w:cs="宋体"/>
                <w:sz w:val="24"/>
              </w:rPr>
            </w:pPr>
            <w:r>
              <w:rPr>
                <w:rFonts w:hint="eastAsia" w:ascii="宋体" w:hAnsi="宋体"/>
              </w:rPr>
              <w:t>≧</w:t>
            </w:r>
            <w:r>
              <w:rPr>
                <w:rFonts w:ascii="宋体" w:hAnsi="宋体"/>
              </w:rPr>
              <w:t>4</w:t>
            </w:r>
            <w:r>
              <w:rPr>
                <w:rFonts w:hint="eastAsia" w:ascii="宋体" w:hAnsi="宋体"/>
              </w:rPr>
              <w:t>人</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落实维稳工作、确保各项工作正常开展</w:t>
            </w:r>
          </w:p>
        </w:tc>
        <w:tc>
          <w:tcPr>
            <w:tcW w:w="3773" w:type="dxa"/>
            <w:gridSpan w:val="4"/>
            <w:tcBorders>
              <w:top w:val="single" w:color="000000" w:sz="4" w:space="0"/>
              <w:left w:val="nil"/>
              <w:bottom w:val="single" w:color="000000" w:sz="4" w:space="0"/>
              <w:right w:val="single" w:color="000000" w:sz="4" w:space="0"/>
            </w:tcBorders>
            <w:vAlign w:val="center"/>
          </w:tcPr>
          <w:p>
            <w:pPr>
              <w:widowControl/>
              <w:ind w:firstLine="1260" w:firstLineChars="600"/>
              <w:rPr>
                <w:rFonts w:ascii="宋体" w:cs="宋体"/>
                <w:kern w:val="0"/>
                <w:sz w:val="18"/>
                <w:szCs w:val="18"/>
              </w:rPr>
            </w:pPr>
            <w:r>
              <w:rPr>
                <w:rFonts w:hint="eastAsia" w:ascii="宋体" w:hAnsi="宋体"/>
              </w:rPr>
              <w:t>≧</w:t>
            </w:r>
            <w:r>
              <w:rPr>
                <w:rFonts w:ascii="宋体" w:hAnsi="宋体"/>
              </w:rPr>
              <w:t>6</w:t>
            </w:r>
            <w:r>
              <w:rPr>
                <w:rFonts w:hint="eastAsia" w:ascii="宋体" w:hAnsi="宋体"/>
              </w:rPr>
              <w:t>次</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确保辖区环境整洁、冬季单位供暖良好</w:t>
            </w:r>
          </w:p>
        </w:tc>
        <w:tc>
          <w:tcPr>
            <w:tcW w:w="3773" w:type="dxa"/>
            <w:gridSpan w:val="4"/>
            <w:tcBorders>
              <w:top w:val="single" w:color="000000" w:sz="4" w:space="0"/>
              <w:left w:val="nil"/>
              <w:bottom w:val="single" w:color="000000" w:sz="4" w:space="0"/>
              <w:right w:val="single" w:color="000000" w:sz="4" w:space="0"/>
            </w:tcBorders>
            <w:vAlign w:val="center"/>
          </w:tcPr>
          <w:p>
            <w:pPr>
              <w:ind w:firstLine="1260" w:firstLineChars="600"/>
              <w:rPr>
                <w:rFonts w:ascii="宋体" w:cs="宋体"/>
                <w:sz w:val="24"/>
              </w:rPr>
            </w:pPr>
            <w:r>
              <w:rPr>
                <w:rFonts w:hint="eastAsia" w:ascii="宋体" w:hAnsi="宋体"/>
              </w:rPr>
              <w:t>满意率≧</w:t>
            </w:r>
            <w:r>
              <w:rPr>
                <w:rFonts w:ascii="宋体" w:hAnsi="宋体"/>
              </w:rPr>
              <w:t>95%</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确保单位维稳工作、社会事务工作、办公室工作正常进行</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rPr>
              <w:t xml:space="preserve"> </w:t>
            </w:r>
            <w:r>
              <w:rPr>
                <w:rFonts w:hint="eastAsia" w:ascii="宋体" w:hAnsi="宋体"/>
              </w:rPr>
              <w:t>满意率≧</w:t>
            </w:r>
            <w:r>
              <w:rPr>
                <w:rFonts w:ascii="宋体" w:hAnsi="宋体"/>
              </w:rPr>
              <w:t>95%</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提高辖区整体环境质量，营造良好生存环境</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有所提升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合理利用资源，完成单位各项业务</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合格率</w:t>
            </w:r>
            <w:r>
              <w:rPr>
                <w:rFonts w:hint="eastAsia" w:ascii="宋体" w:hAnsi="宋体"/>
              </w:rPr>
              <w:t>≧</w:t>
            </w:r>
            <w:r>
              <w:rPr>
                <w:rFonts w:ascii="宋体" w:hAnsi="宋体"/>
              </w:rPr>
              <w:t>96%</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辖区群众满意度</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rPr>
              <w:t>≧</w:t>
            </w:r>
            <w:r>
              <w:rPr>
                <w:rFonts w:ascii="宋体" w:hAnsi="宋体"/>
              </w:rPr>
              <w:t>96%</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群众认可度、工作人员满意度</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rPr>
              <w:t>≧</w:t>
            </w:r>
            <w:r>
              <w:rPr>
                <w:rFonts w:ascii="宋体" w:hAnsi="宋体"/>
              </w:rPr>
              <w:t>96%</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提高环境质量、增强群众满意度</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s="宋体"/>
                <w:sz w:val="24"/>
              </w:rPr>
            </w:pPr>
            <w:r>
              <w:rPr>
                <w:rFonts w:hint="eastAsia" w:ascii="宋体" w:hAnsi="宋体"/>
              </w:rPr>
              <w:t>满意率≧</w:t>
            </w:r>
            <w:r>
              <w:rPr>
                <w:rFonts w:ascii="宋体" w:hAnsi="宋体"/>
              </w:rPr>
              <w:t>95%</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提高辖区维稳治安、提高工作人员积极性</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rPr>
              <w:t>满意率≧</w:t>
            </w:r>
            <w:r>
              <w:rPr>
                <w:rFonts w:ascii="宋体" w:hAnsi="宋体"/>
              </w:rPr>
              <w:t>95%</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环境质量持续提升</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s="宋体"/>
                <w:sz w:val="24"/>
              </w:rPr>
            </w:pPr>
            <w:r>
              <w:rPr>
                <w:rFonts w:hint="eastAsia" w:ascii="宋体" w:hAnsi="宋体"/>
              </w:rPr>
              <w:t>环境问题投诉≦</w:t>
            </w:r>
            <w:r>
              <w:rPr>
                <w:rFonts w:ascii="宋体" w:hAnsi="宋体"/>
              </w:rPr>
              <w:t>6</w:t>
            </w:r>
            <w:r>
              <w:rPr>
                <w:rFonts w:hint="eastAsia" w:ascii="宋体" w:hAnsi="宋体"/>
              </w:rPr>
              <w:t>次</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维稳工作落实好、社会事务工作落实好</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s="宋体"/>
                <w:sz w:val="24"/>
              </w:rPr>
            </w:pPr>
            <w:r>
              <w:rPr>
                <w:rFonts w:hint="eastAsia" w:ascii="宋体" w:hAnsi="宋体"/>
              </w:rPr>
              <w:t>投诉≦</w:t>
            </w:r>
            <w:r>
              <w:rPr>
                <w:rFonts w:ascii="宋体" w:hAnsi="宋体"/>
              </w:rPr>
              <w:t>5</w:t>
            </w:r>
            <w:r>
              <w:rPr>
                <w:rFonts w:hint="eastAsia" w:ascii="宋体" w:hAnsi="宋体"/>
              </w:rPr>
              <w:t>次</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环境整洁度</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rPr>
              <w:t>≧</w:t>
            </w:r>
            <w:r>
              <w:rPr>
                <w:rFonts w:ascii="宋体" w:hAnsi="宋体"/>
              </w:rPr>
              <w:t>95%</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员工积极性提高，群众认可度高</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rPr>
              <w:t>≧</w:t>
            </w:r>
            <w:r>
              <w:rPr>
                <w:rFonts w:ascii="宋体" w:hAnsi="宋体"/>
              </w:rPr>
              <w:t>95%</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pPr>
              <w:widowControl/>
              <w:jc w:val="center"/>
              <w:outlineLvl w:val="1"/>
              <w:rPr>
                <w:rFonts w:ascii="宋体" w:cs="宋体"/>
                <w:b/>
                <w:bCs/>
                <w:kern w:val="0"/>
                <w:sz w:val="32"/>
                <w:szCs w:val="32"/>
              </w:rPr>
            </w:pPr>
            <w:r>
              <w:rPr>
                <w:rFonts w:hint="eastAsia" w:ascii="宋体" w:hAnsi="宋体"/>
                <w:b/>
                <w:kern w:val="0"/>
                <w:sz w:val="32"/>
                <w:szCs w:val="32"/>
              </w:rPr>
              <w:t>项</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支</w:t>
            </w:r>
            <w:r>
              <w:rPr>
                <w:rFonts w:ascii="宋体" w:hAnsi="宋体"/>
                <w:b/>
                <w:kern w:val="0"/>
                <w:sz w:val="32"/>
                <w:szCs w:val="32"/>
              </w:rPr>
              <w:t xml:space="preserve">  </w:t>
            </w:r>
            <w:r>
              <w:rPr>
                <w:rFonts w:hint="eastAsia" w:ascii="宋体" w:hAnsi="宋体"/>
                <w:b/>
                <w:kern w:val="0"/>
                <w:sz w:val="32"/>
                <w:szCs w:val="32"/>
              </w:rPr>
              <w:t>出</w:t>
            </w:r>
            <w:r>
              <w:rPr>
                <w:rFonts w:ascii="宋体" w:hAnsi="宋体"/>
                <w:b/>
                <w:kern w:val="0"/>
                <w:sz w:val="32"/>
                <w:szCs w:val="32"/>
              </w:rPr>
              <w:t xml:space="preserve">  </w:t>
            </w:r>
            <w:r>
              <w:rPr>
                <w:rFonts w:hint="eastAsia" w:ascii="宋体" w:hAnsi="宋体"/>
                <w:b/>
                <w:kern w:val="0"/>
                <w:sz w:val="32"/>
                <w:szCs w:val="32"/>
              </w:rPr>
              <w:t>绩</w:t>
            </w:r>
            <w:r>
              <w:rPr>
                <w:rFonts w:ascii="宋体" w:hAnsi="宋体"/>
                <w:b/>
                <w:kern w:val="0"/>
                <w:sz w:val="32"/>
                <w:szCs w:val="32"/>
              </w:rPr>
              <w:t xml:space="preserve">  </w:t>
            </w:r>
            <w:r>
              <w:rPr>
                <w:rFonts w:hint="eastAsia" w:ascii="宋体" w:hAnsi="宋体"/>
                <w:b/>
                <w:kern w:val="0"/>
                <w:sz w:val="32"/>
                <w:szCs w:val="32"/>
              </w:rPr>
              <w:t>效</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标</w:t>
            </w:r>
            <w:r>
              <w:rPr>
                <w:rFonts w:ascii="宋体" w:hAnsi="宋体"/>
                <w:b/>
                <w:kern w:val="0"/>
                <w:sz w:val="32"/>
                <w:szCs w:val="32"/>
              </w:rPr>
              <w:t xml:space="preserve">  </w:t>
            </w:r>
            <w:r>
              <w:rPr>
                <w:rFonts w:hint="eastAsia" w:ascii="宋体" w:hAnsi="宋体"/>
                <w:b/>
                <w:kern w:val="0"/>
                <w:sz w:val="32"/>
                <w:szCs w:val="32"/>
              </w:rPr>
              <w:t>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pPr>
              <w:widowControl/>
              <w:jc w:val="left"/>
              <w:rPr>
                <w:rFonts w:ascii="宋体" w:cs="宋体"/>
                <w:color w:val="000000"/>
                <w:kern w:val="0"/>
                <w:sz w:val="22"/>
              </w:rPr>
            </w:pPr>
          </w:p>
        </w:tc>
        <w:tc>
          <w:tcPr>
            <w:tcW w:w="1857" w:type="dxa"/>
            <w:tcBorders>
              <w:top w:val="nil"/>
              <w:left w:val="nil"/>
              <w:bottom w:val="nil"/>
              <w:right w:val="nil"/>
            </w:tcBorders>
            <w:noWrap/>
            <w:vAlign w:val="bottom"/>
          </w:tcPr>
          <w:p>
            <w:pPr>
              <w:widowControl/>
              <w:jc w:val="left"/>
              <w:rPr>
                <w:rFonts w:ascii="宋体" w:cs="宋体"/>
                <w:color w:val="000000"/>
                <w:kern w:val="0"/>
                <w:sz w:val="22"/>
              </w:rPr>
            </w:pPr>
          </w:p>
        </w:tc>
        <w:tc>
          <w:tcPr>
            <w:tcW w:w="1664" w:type="dxa"/>
            <w:tcBorders>
              <w:top w:val="nil"/>
              <w:left w:val="nil"/>
              <w:bottom w:val="nil"/>
              <w:right w:val="nil"/>
            </w:tcBorders>
            <w:noWrap/>
            <w:vAlign w:val="bottom"/>
          </w:tcPr>
          <w:p>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pPr>
              <w:widowControl/>
              <w:jc w:val="left"/>
              <w:rPr>
                <w:rFonts w:ascii="宋体" w:cs="宋体"/>
                <w:color w:val="000000"/>
                <w:kern w:val="0"/>
                <w:sz w:val="22"/>
              </w:rPr>
            </w:pPr>
          </w:p>
        </w:tc>
        <w:tc>
          <w:tcPr>
            <w:tcW w:w="323" w:type="dxa"/>
            <w:tcBorders>
              <w:top w:val="nil"/>
              <w:left w:val="nil"/>
              <w:bottom w:val="nil"/>
              <w:right w:val="nil"/>
            </w:tcBorders>
            <w:noWrap/>
            <w:vAlign w:val="bottom"/>
          </w:tcPr>
          <w:p>
            <w:pPr>
              <w:widowControl/>
              <w:jc w:val="left"/>
              <w:rPr>
                <w:rFonts w:ascii="宋体" w:cs="宋体"/>
                <w:color w:val="000000"/>
                <w:kern w:val="0"/>
                <w:sz w:val="22"/>
              </w:rPr>
            </w:pPr>
          </w:p>
        </w:tc>
        <w:tc>
          <w:tcPr>
            <w:tcW w:w="323" w:type="dxa"/>
            <w:tcBorders>
              <w:top w:val="nil"/>
              <w:left w:val="nil"/>
              <w:bottom w:val="nil"/>
              <w:right w:val="nil"/>
            </w:tcBorders>
            <w:noWrap/>
            <w:vAlign w:val="bottom"/>
          </w:tcPr>
          <w:p>
            <w:pPr>
              <w:widowControl/>
              <w:jc w:val="left"/>
              <w:rPr>
                <w:rFonts w:ascii="宋体" w:cs="宋体"/>
                <w:color w:val="000000"/>
                <w:kern w:val="0"/>
                <w:sz w:val="22"/>
              </w:rPr>
            </w:pPr>
          </w:p>
        </w:tc>
        <w:tc>
          <w:tcPr>
            <w:tcW w:w="1925" w:type="dxa"/>
            <w:tcBorders>
              <w:top w:val="nil"/>
              <w:left w:val="nil"/>
              <w:bottom w:val="nil"/>
              <w:right w:val="nil"/>
            </w:tcBorders>
            <w:noWrap/>
            <w:vAlign w:val="bottom"/>
          </w:tcPr>
          <w:p>
            <w:pPr>
              <w:widowControl/>
              <w:jc w:val="left"/>
              <w:rPr>
                <w:rFonts w:ascii="宋体" w:cs="宋体"/>
                <w:color w:val="000000"/>
                <w:kern w:val="0"/>
                <w:sz w:val="22"/>
              </w:rPr>
            </w:pPr>
          </w:p>
        </w:tc>
        <w:tc>
          <w:tcPr>
            <w:tcW w:w="249" w:type="dxa"/>
            <w:tcBorders>
              <w:top w:val="nil"/>
              <w:left w:val="nil"/>
              <w:bottom w:val="nil"/>
              <w:right w:val="nil"/>
            </w:tcBorders>
            <w:noWrap/>
            <w:vAlign w:val="bottom"/>
          </w:tcPr>
          <w:p>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pPr>
              <w:widowControl/>
              <w:jc w:val="left"/>
              <w:rPr>
                <w:rFonts w:ascii="宋体" w:cs="宋体"/>
                <w:color w:val="000000"/>
                <w:kern w:val="0"/>
                <w:sz w:val="22"/>
              </w:rPr>
            </w:pPr>
          </w:p>
        </w:tc>
        <w:tc>
          <w:tcPr>
            <w:tcW w:w="249" w:type="dxa"/>
            <w:tcBorders>
              <w:top w:val="nil"/>
              <w:left w:val="nil"/>
              <w:bottom w:val="nil"/>
              <w:right w:val="nil"/>
            </w:tcBorders>
            <w:noWrap/>
            <w:vAlign w:val="bottom"/>
          </w:tcPr>
          <w:p>
            <w:pPr>
              <w:widowControl/>
              <w:jc w:val="left"/>
              <w:rPr>
                <w:rFonts w:ascii="宋体" w:cs="宋体"/>
                <w:color w:val="000000"/>
                <w:kern w:val="0"/>
                <w:sz w:val="22"/>
              </w:rPr>
            </w:pPr>
          </w:p>
        </w:tc>
        <w:tc>
          <w:tcPr>
            <w:tcW w:w="249" w:type="dxa"/>
            <w:tcBorders>
              <w:top w:val="nil"/>
              <w:left w:val="nil"/>
              <w:bottom w:val="nil"/>
              <w:right w:val="nil"/>
            </w:tcBorders>
            <w:noWrap/>
            <w:vAlign w:val="bottom"/>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乌鲁木齐县清水泉片区管理委员会</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cs="宋体"/>
                <w:kern w:val="0"/>
                <w:sz w:val="18"/>
                <w:szCs w:val="18"/>
              </w:rPr>
              <w:t>基层政权和社区建设（其他对个人和家庭的补助）</w:t>
            </w:r>
          </w:p>
          <w:p>
            <w:pPr>
              <w:widowControl/>
              <w:jc w:val="center"/>
              <w:rPr>
                <w:rFonts w:ascii="宋体" w:cs="宋体"/>
                <w:kern w:val="0"/>
                <w:sz w:val="18"/>
                <w:szCs w:val="18"/>
              </w:rPr>
            </w:pP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8.1</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8.1</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cs="宋体"/>
                <w:kern w:val="0"/>
                <w:sz w:val="18"/>
                <w:szCs w:val="18"/>
              </w:rPr>
              <w:t>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cs="宋体"/>
                <w:kern w:val="0"/>
                <w:sz w:val="20"/>
                <w:szCs w:val="20"/>
              </w:rPr>
            </w:pPr>
            <w:r>
              <w:rPr>
                <w:rFonts w:ascii="宋体" w:hAnsi="宋体" w:cs="宋体"/>
                <w:kern w:val="0"/>
                <w:sz w:val="20"/>
                <w:szCs w:val="20"/>
              </w:rPr>
              <w:t>2019</w:t>
            </w:r>
            <w:r>
              <w:rPr>
                <w:rFonts w:hint="eastAsia" w:ascii="宋体" w:hAnsi="宋体" w:cs="宋体"/>
                <w:kern w:val="0"/>
                <w:sz w:val="20"/>
                <w:szCs w:val="20"/>
              </w:rPr>
              <w:t>年度管委会维稳工作落实较好，能够正常开展各项工作，政策宣传到位，辖区群众安定团结，群众认可度较好。</w:t>
            </w:r>
          </w:p>
        </w:tc>
      </w:tr>
      <w:tr>
        <w:tblPrEx>
          <w:tblCellMar>
            <w:top w:w="0" w:type="dxa"/>
            <w:left w:w="108" w:type="dxa"/>
            <w:bottom w:w="0" w:type="dxa"/>
            <w:right w:w="108" w:type="dxa"/>
          </w:tblCellMar>
        </w:tblPrEx>
        <w:trPr>
          <w:trHeight w:val="297"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cs="宋体"/>
                <w:kern w:val="0"/>
                <w:sz w:val="18"/>
                <w:szCs w:val="18"/>
              </w:rPr>
            </w:pPr>
            <w:r>
              <w:rPr>
                <w:rFonts w:hint="eastAsia" w:ascii="宋体" w:hAnsi="宋体" w:cs="宋体"/>
                <w:kern w:val="0"/>
                <w:sz w:val="18"/>
                <w:szCs w:val="18"/>
              </w:rPr>
              <w:t>提高人员工作积极性、辖区环境整洁　</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s="宋体"/>
                <w:sz w:val="24"/>
              </w:rPr>
            </w:pPr>
            <w:r>
              <w:rPr>
                <w:rFonts w:hint="eastAsia" w:ascii="宋体" w:hAnsi="宋体"/>
              </w:rPr>
              <w:t>下降率≧</w:t>
            </w:r>
            <w:r>
              <w:rPr>
                <w:rFonts w:ascii="宋体" w:hAnsi="宋体"/>
              </w:rPr>
              <w:t>1%</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cs="宋体"/>
                <w:kern w:val="0"/>
                <w:sz w:val="18"/>
                <w:szCs w:val="18"/>
              </w:rPr>
            </w:pPr>
            <w:r>
              <w:rPr>
                <w:rFonts w:hint="eastAsia" w:ascii="宋体" w:hAnsi="宋体" w:cs="宋体"/>
                <w:kern w:val="0"/>
                <w:sz w:val="18"/>
                <w:szCs w:val="18"/>
              </w:rPr>
              <w:t>厉行节约、进行询价、节约资源</w:t>
            </w:r>
            <w:r>
              <w:rPr>
                <w:rFonts w:ascii="宋体" w:hAnsi="宋体" w:cs="宋体"/>
                <w:kern w:val="0"/>
                <w:sz w:val="18"/>
                <w:szCs w:val="18"/>
              </w:rPr>
              <w:t xml:space="preserve">     </w:t>
            </w: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rPr>
              <w:t>下降率≧</w:t>
            </w:r>
            <w:r>
              <w:rPr>
                <w:rFonts w:ascii="宋体" w:hAnsi="宋体"/>
              </w:rPr>
              <w:t>1%</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按时发放环卫人员、锅炉工工资、及时清理路面垃圾</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rPr>
            </w:pPr>
            <w:r>
              <w:rPr>
                <w:rFonts w:ascii="宋体" w:hAnsi="宋体"/>
              </w:rPr>
              <w:t xml:space="preserve"> </w:t>
            </w:r>
            <w:r>
              <w:rPr>
                <w:rFonts w:hint="eastAsia" w:ascii="宋体" w:hAnsi="宋体"/>
              </w:rPr>
              <w:t>合格率≧</w:t>
            </w:r>
            <w:r>
              <w:rPr>
                <w:rFonts w:ascii="宋体" w:hAnsi="宋体"/>
              </w:rPr>
              <w:t>95%</w:t>
            </w:r>
            <w:r>
              <w:rPr>
                <w:rFonts w:hint="eastAsia" w:ascii="宋体" w:hAnsi="宋体"/>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顺利开展单位各项工作，做好维稳工作</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rPr>
              <w:t>合格率≧</w:t>
            </w:r>
            <w:r>
              <w:rPr>
                <w:rFonts w:ascii="宋体" w:hAnsi="宋体"/>
              </w:rPr>
              <w:t>95%</w:t>
            </w:r>
            <w:r>
              <w:rPr>
                <w:rFonts w:hint="eastAsia" w:ascii="宋体" w:hAnsi="宋体"/>
              </w:rPr>
              <w:t>　</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确保环卫工、锅炉工工资正常发放</w:t>
            </w:r>
          </w:p>
        </w:tc>
        <w:tc>
          <w:tcPr>
            <w:tcW w:w="3773" w:type="dxa"/>
            <w:gridSpan w:val="4"/>
            <w:tcBorders>
              <w:top w:val="single" w:color="000000" w:sz="4" w:space="0"/>
              <w:left w:val="nil"/>
              <w:bottom w:val="single" w:color="000000" w:sz="4" w:space="0"/>
              <w:right w:val="single" w:color="000000" w:sz="4" w:space="0"/>
            </w:tcBorders>
            <w:vAlign w:val="center"/>
          </w:tcPr>
          <w:p>
            <w:pPr>
              <w:ind w:firstLine="1260" w:firstLineChars="600"/>
              <w:rPr>
                <w:rFonts w:ascii="宋体" w:cs="宋体"/>
                <w:sz w:val="24"/>
              </w:rPr>
            </w:pPr>
            <w:r>
              <w:rPr>
                <w:rFonts w:hint="eastAsia" w:ascii="宋体" w:hAnsi="宋体"/>
              </w:rPr>
              <w:t>≧</w:t>
            </w:r>
            <w:r>
              <w:rPr>
                <w:rFonts w:ascii="宋体" w:hAnsi="宋体"/>
              </w:rPr>
              <w:t>4</w:t>
            </w:r>
            <w:r>
              <w:rPr>
                <w:rFonts w:hint="eastAsia" w:ascii="宋体" w:hAnsi="宋体"/>
              </w:rPr>
              <w:t>人</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落实维稳工作、确保各项工作正常开展</w:t>
            </w:r>
          </w:p>
        </w:tc>
        <w:tc>
          <w:tcPr>
            <w:tcW w:w="3773" w:type="dxa"/>
            <w:gridSpan w:val="4"/>
            <w:tcBorders>
              <w:top w:val="single" w:color="000000" w:sz="4" w:space="0"/>
              <w:left w:val="nil"/>
              <w:bottom w:val="single" w:color="000000" w:sz="4" w:space="0"/>
              <w:right w:val="single" w:color="000000" w:sz="4" w:space="0"/>
            </w:tcBorders>
            <w:vAlign w:val="center"/>
          </w:tcPr>
          <w:p>
            <w:pPr>
              <w:widowControl/>
              <w:ind w:firstLine="1260" w:firstLineChars="600"/>
              <w:rPr>
                <w:rFonts w:ascii="宋体" w:cs="宋体"/>
                <w:kern w:val="0"/>
                <w:sz w:val="18"/>
                <w:szCs w:val="18"/>
              </w:rPr>
            </w:pPr>
            <w:r>
              <w:rPr>
                <w:rFonts w:hint="eastAsia" w:ascii="宋体" w:hAnsi="宋体"/>
              </w:rPr>
              <w:t>≧</w:t>
            </w:r>
            <w:r>
              <w:rPr>
                <w:rFonts w:ascii="宋体" w:hAnsi="宋体"/>
              </w:rPr>
              <w:t>6</w:t>
            </w:r>
            <w:r>
              <w:rPr>
                <w:rFonts w:hint="eastAsia" w:ascii="宋体" w:hAnsi="宋体"/>
              </w:rPr>
              <w:t>次</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确保辖区环境整洁、冬季单位供暖良好</w:t>
            </w:r>
          </w:p>
        </w:tc>
        <w:tc>
          <w:tcPr>
            <w:tcW w:w="3773" w:type="dxa"/>
            <w:gridSpan w:val="4"/>
            <w:tcBorders>
              <w:top w:val="single" w:color="000000" w:sz="4" w:space="0"/>
              <w:left w:val="nil"/>
              <w:bottom w:val="single" w:color="000000" w:sz="4" w:space="0"/>
              <w:right w:val="single" w:color="000000" w:sz="4" w:space="0"/>
            </w:tcBorders>
            <w:vAlign w:val="center"/>
          </w:tcPr>
          <w:p>
            <w:pPr>
              <w:ind w:firstLine="1260" w:firstLineChars="600"/>
              <w:rPr>
                <w:rFonts w:ascii="宋体" w:cs="宋体"/>
                <w:sz w:val="24"/>
              </w:rPr>
            </w:pPr>
            <w:r>
              <w:rPr>
                <w:rFonts w:hint="eastAsia" w:ascii="宋体" w:hAnsi="宋体"/>
              </w:rPr>
              <w:t>满意率≧</w:t>
            </w:r>
            <w:r>
              <w:rPr>
                <w:rFonts w:ascii="宋体" w:hAnsi="宋体"/>
              </w:rPr>
              <w:t>95%</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确保单位维稳工作、社会事务工作、办公室工作正常进行</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rPr>
              <w:t xml:space="preserve"> </w:t>
            </w:r>
            <w:r>
              <w:rPr>
                <w:rFonts w:hint="eastAsia" w:ascii="宋体" w:hAnsi="宋体"/>
              </w:rPr>
              <w:t>满意率≧</w:t>
            </w:r>
            <w:r>
              <w:rPr>
                <w:rFonts w:ascii="宋体" w:hAnsi="宋体"/>
              </w:rPr>
              <w:t>95%</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提高辖区整体环境质量，营造良好生存环境</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有所提升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合理利用资源，完成单位各项业务</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合格率</w:t>
            </w:r>
            <w:r>
              <w:rPr>
                <w:rFonts w:hint="eastAsia" w:ascii="宋体" w:hAnsi="宋体"/>
              </w:rPr>
              <w:t>≧</w:t>
            </w:r>
            <w:r>
              <w:rPr>
                <w:rFonts w:ascii="宋体" w:hAnsi="宋体"/>
              </w:rPr>
              <w:t>96%</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辖区群众满意度</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rPr>
              <w:t>≧</w:t>
            </w:r>
            <w:r>
              <w:rPr>
                <w:rFonts w:ascii="宋体" w:hAnsi="宋体"/>
              </w:rPr>
              <w:t>96%</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群众认可度、工作人员满意度</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rPr>
              <w:t>≧</w:t>
            </w:r>
            <w:r>
              <w:rPr>
                <w:rFonts w:ascii="宋体" w:hAnsi="宋体"/>
              </w:rPr>
              <w:t>96%</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提高环境质量、增强群众满意度</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s="宋体"/>
                <w:sz w:val="24"/>
              </w:rPr>
            </w:pPr>
            <w:r>
              <w:rPr>
                <w:rFonts w:hint="eastAsia" w:ascii="宋体" w:hAnsi="宋体"/>
              </w:rPr>
              <w:t>满意率≧</w:t>
            </w:r>
            <w:r>
              <w:rPr>
                <w:rFonts w:ascii="宋体" w:hAnsi="宋体"/>
              </w:rPr>
              <w:t>95%</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提高辖区维稳治安、提高工作人员积极性</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rPr>
              <w:t>满意率≧</w:t>
            </w:r>
            <w:r>
              <w:rPr>
                <w:rFonts w:ascii="宋体" w:hAnsi="宋体"/>
              </w:rPr>
              <w:t>95%</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环境质量持续提升</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s="宋体"/>
                <w:sz w:val="24"/>
              </w:rPr>
            </w:pPr>
            <w:r>
              <w:rPr>
                <w:rFonts w:hint="eastAsia" w:ascii="宋体" w:hAnsi="宋体"/>
              </w:rPr>
              <w:t>环境问题投诉≦</w:t>
            </w:r>
            <w:r>
              <w:rPr>
                <w:rFonts w:ascii="宋体" w:hAnsi="宋体"/>
              </w:rPr>
              <w:t>6</w:t>
            </w:r>
            <w:r>
              <w:rPr>
                <w:rFonts w:hint="eastAsia" w:ascii="宋体" w:hAnsi="宋体"/>
              </w:rPr>
              <w:t>次</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维稳工作落实好、社会事务工作落实好</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s="宋体"/>
                <w:sz w:val="24"/>
              </w:rPr>
            </w:pPr>
            <w:r>
              <w:rPr>
                <w:rFonts w:hint="eastAsia" w:ascii="宋体" w:hAnsi="宋体"/>
              </w:rPr>
              <w:t>投诉≦</w:t>
            </w:r>
            <w:r>
              <w:rPr>
                <w:rFonts w:ascii="宋体" w:hAnsi="宋体"/>
              </w:rPr>
              <w:t>5</w:t>
            </w:r>
            <w:r>
              <w:rPr>
                <w:rFonts w:hint="eastAsia" w:ascii="宋体" w:hAnsi="宋体"/>
              </w:rPr>
              <w:t>次</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环境整洁度</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rPr>
              <w:t>≧</w:t>
            </w:r>
            <w:r>
              <w:rPr>
                <w:rFonts w:ascii="宋体" w:hAnsi="宋体"/>
              </w:rPr>
              <w:t>95%</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员工积极性提高，群众认可度高</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rPr>
              <w:t>≧</w:t>
            </w:r>
            <w:r>
              <w:rPr>
                <w:rFonts w:ascii="宋体" w:hAnsi="宋体"/>
              </w:rPr>
              <w:t>95%</w:t>
            </w:r>
            <w:r>
              <w:rPr>
                <w:rFonts w:hint="eastAsia" w:ascii="宋体" w:hAnsi="宋体" w:cs="宋体"/>
                <w:kern w:val="0"/>
                <w:sz w:val="18"/>
                <w:szCs w:val="18"/>
              </w:rPr>
              <w:t>　　</w:t>
            </w:r>
          </w:p>
        </w:tc>
      </w:tr>
    </w:tbl>
    <w:p>
      <w:pPr>
        <w:widowControl/>
        <w:spacing w:line="560" w:lineRule="exact"/>
        <w:jc w:val="left"/>
        <w:rPr>
          <w:rFonts w:ascii="宋体" w:cs="宋体"/>
          <w:b/>
          <w:kern w:val="0"/>
          <w:sz w:val="32"/>
          <w:szCs w:val="32"/>
        </w:rPr>
      </w:pPr>
    </w:p>
    <w:tbl>
      <w:tblPr>
        <w:tblStyle w:val="9"/>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pPr>
              <w:widowControl/>
              <w:jc w:val="center"/>
              <w:outlineLvl w:val="1"/>
              <w:rPr>
                <w:rFonts w:ascii="宋体" w:cs="宋体"/>
                <w:b/>
                <w:bCs/>
                <w:kern w:val="0"/>
                <w:sz w:val="32"/>
                <w:szCs w:val="32"/>
              </w:rPr>
            </w:pPr>
            <w:r>
              <w:rPr>
                <w:rFonts w:hint="eastAsia" w:ascii="宋体" w:hAnsi="宋体"/>
                <w:b/>
                <w:kern w:val="0"/>
                <w:sz w:val="32"/>
                <w:szCs w:val="32"/>
              </w:rPr>
              <w:t>项</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支</w:t>
            </w:r>
            <w:r>
              <w:rPr>
                <w:rFonts w:ascii="宋体" w:hAnsi="宋体"/>
                <w:b/>
                <w:kern w:val="0"/>
                <w:sz w:val="32"/>
                <w:szCs w:val="32"/>
              </w:rPr>
              <w:t xml:space="preserve">  </w:t>
            </w:r>
            <w:r>
              <w:rPr>
                <w:rFonts w:hint="eastAsia" w:ascii="宋体" w:hAnsi="宋体"/>
                <w:b/>
                <w:kern w:val="0"/>
                <w:sz w:val="32"/>
                <w:szCs w:val="32"/>
              </w:rPr>
              <w:t>出</w:t>
            </w:r>
            <w:r>
              <w:rPr>
                <w:rFonts w:ascii="宋体" w:hAnsi="宋体"/>
                <w:b/>
                <w:kern w:val="0"/>
                <w:sz w:val="32"/>
                <w:szCs w:val="32"/>
              </w:rPr>
              <w:t xml:space="preserve">  </w:t>
            </w:r>
            <w:r>
              <w:rPr>
                <w:rFonts w:hint="eastAsia" w:ascii="宋体" w:hAnsi="宋体"/>
                <w:b/>
                <w:kern w:val="0"/>
                <w:sz w:val="32"/>
                <w:szCs w:val="32"/>
              </w:rPr>
              <w:t>绩</w:t>
            </w:r>
            <w:r>
              <w:rPr>
                <w:rFonts w:ascii="宋体" w:hAnsi="宋体"/>
                <w:b/>
                <w:kern w:val="0"/>
                <w:sz w:val="32"/>
                <w:szCs w:val="32"/>
              </w:rPr>
              <w:t xml:space="preserve">  </w:t>
            </w:r>
            <w:r>
              <w:rPr>
                <w:rFonts w:hint="eastAsia" w:ascii="宋体" w:hAnsi="宋体"/>
                <w:b/>
                <w:kern w:val="0"/>
                <w:sz w:val="32"/>
                <w:szCs w:val="32"/>
              </w:rPr>
              <w:t>效</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标</w:t>
            </w:r>
            <w:r>
              <w:rPr>
                <w:rFonts w:ascii="宋体" w:hAnsi="宋体"/>
                <w:b/>
                <w:kern w:val="0"/>
                <w:sz w:val="32"/>
                <w:szCs w:val="32"/>
              </w:rPr>
              <w:t xml:space="preserve">  </w:t>
            </w:r>
            <w:r>
              <w:rPr>
                <w:rFonts w:hint="eastAsia" w:ascii="宋体" w:hAnsi="宋体"/>
                <w:b/>
                <w:kern w:val="0"/>
                <w:sz w:val="32"/>
                <w:szCs w:val="32"/>
              </w:rPr>
              <w:t>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pPr>
              <w:widowControl/>
              <w:jc w:val="left"/>
              <w:rPr>
                <w:rFonts w:ascii="宋体" w:cs="宋体"/>
                <w:color w:val="000000"/>
                <w:kern w:val="0"/>
                <w:sz w:val="22"/>
              </w:rPr>
            </w:pPr>
          </w:p>
        </w:tc>
        <w:tc>
          <w:tcPr>
            <w:tcW w:w="1857" w:type="dxa"/>
            <w:tcBorders>
              <w:top w:val="nil"/>
              <w:left w:val="nil"/>
              <w:bottom w:val="nil"/>
              <w:right w:val="nil"/>
            </w:tcBorders>
            <w:noWrap/>
            <w:vAlign w:val="bottom"/>
          </w:tcPr>
          <w:p>
            <w:pPr>
              <w:widowControl/>
              <w:jc w:val="left"/>
              <w:rPr>
                <w:rFonts w:ascii="宋体" w:cs="宋体"/>
                <w:color w:val="000000"/>
                <w:kern w:val="0"/>
                <w:sz w:val="22"/>
              </w:rPr>
            </w:pPr>
          </w:p>
        </w:tc>
        <w:tc>
          <w:tcPr>
            <w:tcW w:w="1664" w:type="dxa"/>
            <w:tcBorders>
              <w:top w:val="nil"/>
              <w:left w:val="nil"/>
              <w:bottom w:val="nil"/>
              <w:right w:val="nil"/>
            </w:tcBorders>
            <w:noWrap/>
            <w:vAlign w:val="bottom"/>
          </w:tcPr>
          <w:p>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pPr>
              <w:widowControl/>
              <w:jc w:val="left"/>
              <w:rPr>
                <w:rFonts w:ascii="宋体" w:cs="宋体"/>
                <w:color w:val="000000"/>
                <w:kern w:val="0"/>
                <w:sz w:val="22"/>
              </w:rPr>
            </w:pPr>
          </w:p>
        </w:tc>
        <w:tc>
          <w:tcPr>
            <w:tcW w:w="323" w:type="dxa"/>
            <w:tcBorders>
              <w:top w:val="nil"/>
              <w:left w:val="nil"/>
              <w:bottom w:val="nil"/>
              <w:right w:val="nil"/>
            </w:tcBorders>
            <w:noWrap/>
            <w:vAlign w:val="bottom"/>
          </w:tcPr>
          <w:p>
            <w:pPr>
              <w:widowControl/>
              <w:jc w:val="left"/>
              <w:rPr>
                <w:rFonts w:ascii="宋体" w:cs="宋体"/>
                <w:color w:val="000000"/>
                <w:kern w:val="0"/>
                <w:sz w:val="22"/>
              </w:rPr>
            </w:pPr>
          </w:p>
        </w:tc>
        <w:tc>
          <w:tcPr>
            <w:tcW w:w="323" w:type="dxa"/>
            <w:tcBorders>
              <w:top w:val="nil"/>
              <w:left w:val="nil"/>
              <w:bottom w:val="nil"/>
              <w:right w:val="nil"/>
            </w:tcBorders>
            <w:noWrap/>
            <w:vAlign w:val="bottom"/>
          </w:tcPr>
          <w:p>
            <w:pPr>
              <w:widowControl/>
              <w:jc w:val="left"/>
              <w:rPr>
                <w:rFonts w:ascii="宋体" w:cs="宋体"/>
                <w:color w:val="000000"/>
                <w:kern w:val="0"/>
                <w:sz w:val="22"/>
              </w:rPr>
            </w:pPr>
          </w:p>
        </w:tc>
        <w:tc>
          <w:tcPr>
            <w:tcW w:w="1925" w:type="dxa"/>
            <w:tcBorders>
              <w:top w:val="nil"/>
              <w:left w:val="nil"/>
              <w:bottom w:val="nil"/>
              <w:right w:val="nil"/>
            </w:tcBorders>
            <w:noWrap/>
            <w:vAlign w:val="bottom"/>
          </w:tcPr>
          <w:p>
            <w:pPr>
              <w:widowControl/>
              <w:jc w:val="left"/>
              <w:rPr>
                <w:rFonts w:ascii="宋体" w:cs="宋体"/>
                <w:color w:val="000000"/>
                <w:kern w:val="0"/>
                <w:sz w:val="22"/>
              </w:rPr>
            </w:pPr>
          </w:p>
        </w:tc>
        <w:tc>
          <w:tcPr>
            <w:tcW w:w="249" w:type="dxa"/>
            <w:tcBorders>
              <w:top w:val="nil"/>
              <w:left w:val="nil"/>
              <w:bottom w:val="nil"/>
              <w:right w:val="nil"/>
            </w:tcBorders>
            <w:noWrap/>
            <w:vAlign w:val="bottom"/>
          </w:tcPr>
          <w:p>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pPr>
              <w:widowControl/>
              <w:jc w:val="left"/>
              <w:rPr>
                <w:rFonts w:ascii="宋体" w:cs="宋体"/>
                <w:color w:val="000000"/>
                <w:kern w:val="0"/>
                <w:sz w:val="22"/>
              </w:rPr>
            </w:pPr>
          </w:p>
        </w:tc>
        <w:tc>
          <w:tcPr>
            <w:tcW w:w="249" w:type="dxa"/>
            <w:tcBorders>
              <w:top w:val="nil"/>
              <w:left w:val="nil"/>
              <w:bottom w:val="nil"/>
              <w:right w:val="nil"/>
            </w:tcBorders>
            <w:noWrap/>
            <w:vAlign w:val="bottom"/>
          </w:tcPr>
          <w:p>
            <w:pPr>
              <w:widowControl/>
              <w:jc w:val="left"/>
              <w:rPr>
                <w:rFonts w:ascii="宋体" w:cs="宋体"/>
                <w:color w:val="000000"/>
                <w:kern w:val="0"/>
                <w:sz w:val="22"/>
              </w:rPr>
            </w:pPr>
          </w:p>
        </w:tc>
        <w:tc>
          <w:tcPr>
            <w:tcW w:w="249" w:type="dxa"/>
            <w:tcBorders>
              <w:top w:val="nil"/>
              <w:left w:val="nil"/>
              <w:bottom w:val="nil"/>
              <w:right w:val="nil"/>
            </w:tcBorders>
            <w:noWrap/>
            <w:vAlign w:val="bottom"/>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乌鲁木齐县清水泉片区管理委员会</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社区经费县级配套</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8</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8</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r>
              <w:rPr>
                <w:rFonts w:ascii="宋体" w:cs="宋体"/>
                <w:kern w:val="0"/>
                <w:sz w:val="18"/>
                <w:szCs w:val="18"/>
              </w:rPr>
              <w:t>0</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2019</w:t>
            </w:r>
            <w:r>
              <w:rPr>
                <w:rFonts w:hint="eastAsia" w:ascii="宋体" w:hAnsi="宋体" w:cs="宋体"/>
                <w:kern w:val="0"/>
                <w:sz w:val="18"/>
                <w:szCs w:val="18"/>
              </w:rPr>
              <w:t>年度社区正常运转、用于办公、维稳、日常事务支出，更好的服务于辖区群众。</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cs="宋体"/>
                <w:kern w:val="0"/>
                <w:sz w:val="18"/>
                <w:szCs w:val="18"/>
              </w:rPr>
            </w:pPr>
            <w:r>
              <w:rPr>
                <w:rFonts w:hint="eastAsia" w:ascii="宋体" w:hAnsi="宋体" w:cs="宋体"/>
                <w:kern w:val="0"/>
                <w:sz w:val="18"/>
                <w:szCs w:val="18"/>
              </w:rPr>
              <w:t>节约资源、合理利用　</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s="宋体"/>
                <w:sz w:val="24"/>
              </w:rPr>
            </w:pPr>
            <w:r>
              <w:rPr>
                <w:rFonts w:hint="eastAsia" w:ascii="宋体" w:hAnsi="宋体"/>
              </w:rPr>
              <w:t>下降率≧</w:t>
            </w:r>
            <w:r>
              <w:rPr>
                <w:rFonts w:ascii="宋体" w:hAnsi="宋体"/>
              </w:rPr>
              <w:t>2%</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cs="宋体"/>
                <w:kern w:val="0"/>
                <w:sz w:val="18"/>
                <w:szCs w:val="18"/>
              </w:rPr>
            </w:pPr>
            <w:r>
              <w:rPr>
                <w:rFonts w:hint="eastAsia" w:ascii="宋体" w:hAnsi="宋体" w:cs="宋体"/>
                <w:kern w:val="0"/>
                <w:sz w:val="18"/>
                <w:szCs w:val="18"/>
              </w:rPr>
              <w:t>减压车辆维修费用、严格落实维稳工作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rPr>
              <w:t>下降率≧</w:t>
            </w:r>
            <w:r>
              <w:rPr>
                <w:rFonts w:ascii="宋体" w:hAnsi="宋体"/>
              </w:rPr>
              <w:t>2%</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严格按照上级指示及时落实维稳工作</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rPr>
              <w:t>满意率≧</w:t>
            </w:r>
            <w:r>
              <w:rPr>
                <w:rFonts w:ascii="宋体" w:hAnsi="宋体"/>
              </w:rPr>
              <w:t>95%</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按时采购办公物品、缴纳水电费、顺利开展工作</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rPr>
              <w:t>满意率≧</w:t>
            </w:r>
            <w:r>
              <w:rPr>
                <w:rFonts w:ascii="宋体" w:hAnsi="宋体"/>
              </w:rPr>
              <w:t>95%</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确保环卫车辆正常运转、道路封堵等</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rPr>
              <w:t>≧</w:t>
            </w:r>
            <w:r>
              <w:rPr>
                <w:rFonts w:ascii="宋体" w:hAnsi="宋体"/>
              </w:rPr>
              <w:t>4</w:t>
            </w:r>
            <w:r>
              <w:rPr>
                <w:rFonts w:hint="eastAsia" w:ascii="宋体" w:hAnsi="宋体"/>
              </w:rPr>
              <w:t>辆</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单位各项活动正常开展</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rPr>
              <w:t>≧</w:t>
            </w:r>
            <w:r>
              <w:rPr>
                <w:rFonts w:ascii="宋体" w:hAnsi="宋体"/>
              </w:rPr>
              <w:t>5</w:t>
            </w:r>
            <w:r>
              <w:rPr>
                <w:rFonts w:hint="eastAsia" w:ascii="宋体" w:hAnsi="宋体"/>
              </w:rPr>
              <w:t>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确保社区正常运转、群众满意度指标提高</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rPr>
              <w:t>满意率≧</w:t>
            </w:r>
            <w:r>
              <w:rPr>
                <w:rFonts w:ascii="宋体" w:hAnsi="宋体"/>
              </w:rPr>
              <w:t>95%</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确保社区完成所有工作任务</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rPr>
              <w:t>满意率≧</w:t>
            </w:r>
            <w:r>
              <w:rPr>
                <w:rFonts w:ascii="宋体" w:hAnsi="宋体"/>
              </w:rPr>
              <w:t>95%</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社会治安好、人民生活水平提高</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rPr>
              <w:t>满意率≧</w:t>
            </w:r>
            <w:r>
              <w:rPr>
                <w:rFonts w:ascii="宋体" w:hAnsi="宋体"/>
              </w:rPr>
              <w:t>95%</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基本办公设备配备好，提高工作人员效率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rPr>
              <w:t>满意率≧</w:t>
            </w:r>
            <w:r>
              <w:rPr>
                <w:rFonts w:ascii="宋体" w:hAnsi="宋体"/>
              </w:rPr>
              <w:t>95%</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辖区环境改善、人民安居乐业</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有所提升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各项工作正常开展</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很好提升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服务群众好、方便群众办事</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rPr>
              <w:t>满意率≧</w:t>
            </w:r>
            <w:r>
              <w:rPr>
                <w:rFonts w:ascii="宋体" w:hAnsi="宋体"/>
              </w:rPr>
              <w:t>95%</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紧密联系群众、</w:t>
            </w:r>
            <w:bookmarkStart w:id="0" w:name="_GoBack"/>
            <w:bookmarkEnd w:id="0"/>
            <w:r>
              <w:rPr>
                <w:rFonts w:hint="eastAsia" w:ascii="宋体" w:hAnsi="宋体" w:cs="宋体"/>
                <w:kern w:val="0"/>
                <w:sz w:val="18"/>
                <w:szCs w:val="18"/>
                <w:lang w:eastAsia="zh-CN"/>
              </w:rPr>
              <w:t>民族</w:t>
            </w:r>
            <w:r>
              <w:rPr>
                <w:rFonts w:hint="eastAsia" w:ascii="宋体" w:hAnsi="宋体" w:cs="宋体"/>
                <w:kern w:val="0"/>
                <w:sz w:val="18"/>
                <w:szCs w:val="18"/>
              </w:rPr>
              <w:t>团结活动开展好</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rPr>
              <w:t>满意率≧</w:t>
            </w:r>
            <w:r>
              <w:rPr>
                <w:rFonts w:ascii="宋体" w:hAnsi="宋体"/>
              </w:rPr>
              <w:t>95%</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辖区安定团结、幸福指数提高</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rPr>
              <w:t>≧</w:t>
            </w:r>
            <w:r>
              <w:rPr>
                <w:rFonts w:ascii="宋体" w:hAnsi="宋体"/>
              </w:rPr>
              <w:t>95%</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服务群众好、满意度增加</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rPr>
              <w:t>≧</w:t>
            </w:r>
            <w:r>
              <w:rPr>
                <w:rFonts w:ascii="宋体" w:hAnsi="宋体"/>
              </w:rPr>
              <w:t>95%</w:t>
            </w:r>
            <w:r>
              <w:rPr>
                <w:rFonts w:hint="eastAsia" w:ascii="宋体" w:hAnsi="宋体" w:cs="宋体"/>
                <w:kern w:val="0"/>
                <w:sz w:val="18"/>
                <w:szCs w:val="18"/>
              </w:rPr>
              <w:t>　</w:t>
            </w:r>
          </w:p>
        </w:tc>
      </w:tr>
    </w:tbl>
    <w:p>
      <w:pPr>
        <w:widowControl/>
        <w:spacing w:line="560" w:lineRule="exact"/>
        <w:jc w:val="left"/>
        <w:rPr>
          <w:rFonts w:ascii="宋体" w:cs="宋体"/>
          <w:b/>
          <w:kern w:val="0"/>
          <w:sz w:val="32"/>
          <w:szCs w:val="32"/>
        </w:rPr>
      </w:pPr>
    </w:p>
    <w:tbl>
      <w:tblPr>
        <w:tblStyle w:val="9"/>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pPr>
              <w:widowControl/>
              <w:jc w:val="center"/>
              <w:outlineLvl w:val="1"/>
              <w:rPr>
                <w:rFonts w:ascii="宋体" w:cs="宋体"/>
                <w:b/>
                <w:bCs/>
                <w:kern w:val="0"/>
                <w:sz w:val="32"/>
                <w:szCs w:val="32"/>
              </w:rPr>
            </w:pPr>
            <w:r>
              <w:rPr>
                <w:rFonts w:hint="eastAsia" w:ascii="宋体" w:hAnsi="宋体"/>
                <w:b/>
                <w:kern w:val="0"/>
                <w:sz w:val="32"/>
                <w:szCs w:val="32"/>
              </w:rPr>
              <w:t>项</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支</w:t>
            </w:r>
            <w:r>
              <w:rPr>
                <w:rFonts w:ascii="宋体" w:hAnsi="宋体"/>
                <w:b/>
                <w:kern w:val="0"/>
                <w:sz w:val="32"/>
                <w:szCs w:val="32"/>
              </w:rPr>
              <w:t xml:space="preserve">  </w:t>
            </w:r>
            <w:r>
              <w:rPr>
                <w:rFonts w:hint="eastAsia" w:ascii="宋体" w:hAnsi="宋体"/>
                <w:b/>
                <w:kern w:val="0"/>
                <w:sz w:val="32"/>
                <w:szCs w:val="32"/>
              </w:rPr>
              <w:t>出</w:t>
            </w:r>
            <w:r>
              <w:rPr>
                <w:rFonts w:ascii="宋体" w:hAnsi="宋体"/>
                <w:b/>
                <w:kern w:val="0"/>
                <w:sz w:val="32"/>
                <w:szCs w:val="32"/>
              </w:rPr>
              <w:t xml:space="preserve">  </w:t>
            </w:r>
            <w:r>
              <w:rPr>
                <w:rFonts w:hint="eastAsia" w:ascii="宋体" w:hAnsi="宋体"/>
                <w:b/>
                <w:kern w:val="0"/>
                <w:sz w:val="32"/>
                <w:szCs w:val="32"/>
              </w:rPr>
              <w:t>绩</w:t>
            </w:r>
            <w:r>
              <w:rPr>
                <w:rFonts w:ascii="宋体" w:hAnsi="宋体"/>
                <w:b/>
                <w:kern w:val="0"/>
                <w:sz w:val="32"/>
                <w:szCs w:val="32"/>
              </w:rPr>
              <w:t xml:space="preserve">  </w:t>
            </w:r>
            <w:r>
              <w:rPr>
                <w:rFonts w:hint="eastAsia" w:ascii="宋体" w:hAnsi="宋体"/>
                <w:b/>
                <w:kern w:val="0"/>
                <w:sz w:val="32"/>
                <w:szCs w:val="32"/>
              </w:rPr>
              <w:t>效</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标</w:t>
            </w:r>
            <w:r>
              <w:rPr>
                <w:rFonts w:ascii="宋体" w:hAnsi="宋体"/>
                <w:b/>
                <w:kern w:val="0"/>
                <w:sz w:val="32"/>
                <w:szCs w:val="32"/>
              </w:rPr>
              <w:t xml:space="preserve">  </w:t>
            </w:r>
            <w:r>
              <w:rPr>
                <w:rFonts w:hint="eastAsia" w:ascii="宋体" w:hAnsi="宋体"/>
                <w:b/>
                <w:kern w:val="0"/>
                <w:sz w:val="32"/>
                <w:szCs w:val="32"/>
              </w:rPr>
              <w:t>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pPr>
              <w:widowControl/>
              <w:jc w:val="left"/>
              <w:rPr>
                <w:rFonts w:ascii="宋体" w:cs="宋体"/>
                <w:color w:val="000000"/>
                <w:kern w:val="0"/>
                <w:sz w:val="22"/>
              </w:rPr>
            </w:pPr>
          </w:p>
        </w:tc>
        <w:tc>
          <w:tcPr>
            <w:tcW w:w="1857" w:type="dxa"/>
            <w:tcBorders>
              <w:top w:val="nil"/>
              <w:left w:val="nil"/>
              <w:bottom w:val="nil"/>
              <w:right w:val="nil"/>
            </w:tcBorders>
            <w:noWrap/>
            <w:vAlign w:val="bottom"/>
          </w:tcPr>
          <w:p>
            <w:pPr>
              <w:widowControl/>
              <w:jc w:val="left"/>
              <w:rPr>
                <w:rFonts w:ascii="宋体" w:cs="宋体"/>
                <w:color w:val="000000"/>
                <w:kern w:val="0"/>
                <w:sz w:val="22"/>
              </w:rPr>
            </w:pPr>
          </w:p>
        </w:tc>
        <w:tc>
          <w:tcPr>
            <w:tcW w:w="1664" w:type="dxa"/>
            <w:tcBorders>
              <w:top w:val="nil"/>
              <w:left w:val="nil"/>
              <w:bottom w:val="nil"/>
              <w:right w:val="nil"/>
            </w:tcBorders>
            <w:noWrap/>
            <w:vAlign w:val="bottom"/>
          </w:tcPr>
          <w:p>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pPr>
              <w:widowControl/>
              <w:jc w:val="left"/>
              <w:rPr>
                <w:rFonts w:ascii="宋体" w:cs="宋体"/>
                <w:color w:val="000000"/>
                <w:kern w:val="0"/>
                <w:sz w:val="22"/>
              </w:rPr>
            </w:pPr>
          </w:p>
        </w:tc>
        <w:tc>
          <w:tcPr>
            <w:tcW w:w="323" w:type="dxa"/>
            <w:tcBorders>
              <w:top w:val="nil"/>
              <w:left w:val="nil"/>
              <w:bottom w:val="nil"/>
              <w:right w:val="nil"/>
            </w:tcBorders>
            <w:noWrap/>
            <w:vAlign w:val="bottom"/>
          </w:tcPr>
          <w:p>
            <w:pPr>
              <w:widowControl/>
              <w:jc w:val="left"/>
              <w:rPr>
                <w:rFonts w:ascii="宋体" w:cs="宋体"/>
                <w:color w:val="000000"/>
                <w:kern w:val="0"/>
                <w:sz w:val="22"/>
              </w:rPr>
            </w:pPr>
          </w:p>
        </w:tc>
        <w:tc>
          <w:tcPr>
            <w:tcW w:w="323" w:type="dxa"/>
            <w:tcBorders>
              <w:top w:val="nil"/>
              <w:left w:val="nil"/>
              <w:bottom w:val="nil"/>
              <w:right w:val="nil"/>
            </w:tcBorders>
            <w:noWrap/>
            <w:vAlign w:val="bottom"/>
          </w:tcPr>
          <w:p>
            <w:pPr>
              <w:widowControl/>
              <w:jc w:val="left"/>
              <w:rPr>
                <w:rFonts w:ascii="宋体" w:cs="宋体"/>
                <w:color w:val="000000"/>
                <w:kern w:val="0"/>
                <w:sz w:val="22"/>
              </w:rPr>
            </w:pPr>
          </w:p>
        </w:tc>
        <w:tc>
          <w:tcPr>
            <w:tcW w:w="1925" w:type="dxa"/>
            <w:tcBorders>
              <w:top w:val="nil"/>
              <w:left w:val="nil"/>
              <w:bottom w:val="nil"/>
              <w:right w:val="nil"/>
            </w:tcBorders>
            <w:noWrap/>
            <w:vAlign w:val="bottom"/>
          </w:tcPr>
          <w:p>
            <w:pPr>
              <w:widowControl/>
              <w:jc w:val="left"/>
              <w:rPr>
                <w:rFonts w:ascii="宋体" w:cs="宋体"/>
                <w:color w:val="000000"/>
                <w:kern w:val="0"/>
                <w:sz w:val="22"/>
              </w:rPr>
            </w:pPr>
          </w:p>
        </w:tc>
        <w:tc>
          <w:tcPr>
            <w:tcW w:w="249" w:type="dxa"/>
            <w:tcBorders>
              <w:top w:val="nil"/>
              <w:left w:val="nil"/>
              <w:bottom w:val="nil"/>
              <w:right w:val="nil"/>
            </w:tcBorders>
            <w:noWrap/>
            <w:vAlign w:val="bottom"/>
          </w:tcPr>
          <w:p>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pPr>
              <w:widowControl/>
              <w:jc w:val="left"/>
              <w:rPr>
                <w:rFonts w:ascii="宋体" w:cs="宋体"/>
                <w:color w:val="000000"/>
                <w:kern w:val="0"/>
                <w:sz w:val="22"/>
              </w:rPr>
            </w:pPr>
          </w:p>
        </w:tc>
        <w:tc>
          <w:tcPr>
            <w:tcW w:w="249" w:type="dxa"/>
            <w:tcBorders>
              <w:top w:val="nil"/>
              <w:left w:val="nil"/>
              <w:bottom w:val="nil"/>
              <w:right w:val="nil"/>
            </w:tcBorders>
            <w:noWrap/>
            <w:vAlign w:val="bottom"/>
          </w:tcPr>
          <w:p>
            <w:pPr>
              <w:widowControl/>
              <w:jc w:val="left"/>
              <w:rPr>
                <w:rFonts w:ascii="宋体" w:cs="宋体"/>
                <w:color w:val="000000"/>
                <w:kern w:val="0"/>
                <w:sz w:val="22"/>
              </w:rPr>
            </w:pPr>
          </w:p>
        </w:tc>
        <w:tc>
          <w:tcPr>
            <w:tcW w:w="249" w:type="dxa"/>
            <w:tcBorders>
              <w:top w:val="nil"/>
              <w:left w:val="nil"/>
              <w:bottom w:val="nil"/>
              <w:right w:val="nil"/>
            </w:tcBorders>
            <w:noWrap/>
            <w:vAlign w:val="bottom"/>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乌鲁木齐县清水泉片区管理委员会</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社区非在编工作者维稳补助</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9</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9</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cs="宋体"/>
                <w:kern w:val="0"/>
                <w:sz w:val="18"/>
                <w:szCs w:val="18"/>
              </w:rPr>
              <w:t>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2019</w:t>
            </w:r>
            <w:r>
              <w:rPr>
                <w:rFonts w:hint="eastAsia" w:ascii="宋体" w:hAnsi="宋体" w:cs="宋体"/>
                <w:kern w:val="0"/>
                <w:sz w:val="18"/>
                <w:szCs w:val="18"/>
              </w:rPr>
              <w:t>年度按时发放社区非在编工作者</w:t>
            </w:r>
            <w:r>
              <w:rPr>
                <w:rFonts w:ascii="宋体" w:hAnsi="宋体" w:cs="宋体"/>
                <w:kern w:val="0"/>
                <w:sz w:val="18"/>
                <w:szCs w:val="18"/>
              </w:rPr>
              <w:t>15</w:t>
            </w:r>
            <w:r>
              <w:rPr>
                <w:rFonts w:hint="eastAsia" w:ascii="宋体" w:hAnsi="宋体" w:cs="宋体"/>
                <w:kern w:val="0"/>
                <w:sz w:val="18"/>
                <w:szCs w:val="18"/>
              </w:rPr>
              <w:t>人社保、提高社区工作者工作积极性，更好的服务于辖区人民群众。</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cs="宋体"/>
                <w:kern w:val="0"/>
                <w:sz w:val="18"/>
                <w:szCs w:val="18"/>
              </w:rPr>
            </w:pPr>
            <w:r>
              <w:rPr>
                <w:rFonts w:hint="eastAsia" w:ascii="宋体" w:hAnsi="宋体" w:cs="宋体"/>
                <w:kern w:val="0"/>
                <w:sz w:val="18"/>
                <w:szCs w:val="18"/>
              </w:rPr>
              <w:t>严格按照考勤制度</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严格管理</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cs="宋体"/>
                <w:kern w:val="0"/>
                <w:sz w:val="18"/>
                <w:szCs w:val="18"/>
              </w:rPr>
            </w:pPr>
            <w:r>
              <w:rPr>
                <w:rFonts w:hint="eastAsia" w:ascii="宋体" w:hAnsi="宋体" w:cs="宋体"/>
                <w:kern w:val="0"/>
                <w:sz w:val="18"/>
                <w:szCs w:val="18"/>
              </w:rPr>
              <w:t>提高工作效率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有所提高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按时发放维稳工作者维稳补助　</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s="宋体"/>
                <w:sz w:val="24"/>
              </w:rPr>
            </w:pPr>
            <w:r>
              <w:rPr>
                <w:rFonts w:hint="eastAsia" w:ascii="宋体" w:hAnsi="宋体"/>
              </w:rPr>
              <w:t>合格率≧</w:t>
            </w:r>
            <w:r>
              <w:rPr>
                <w:rFonts w:ascii="宋体" w:hAnsi="宋体"/>
              </w:rPr>
              <w:t>95%</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及时进行培训，有效提高工作效率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rPr>
              <w:t>合格率≧</w:t>
            </w:r>
            <w:r>
              <w:rPr>
                <w:rFonts w:ascii="宋体" w:hAnsi="宋体"/>
              </w:rPr>
              <w:t>95%</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确保社区工作人员维稳补助发放</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rPr>
              <w:t>≧</w:t>
            </w:r>
            <w:r>
              <w:rPr>
                <w:rFonts w:ascii="宋体" w:hAnsi="宋体"/>
              </w:rPr>
              <w:t>15</w:t>
            </w:r>
            <w:r>
              <w:rPr>
                <w:rFonts w:hint="eastAsia" w:ascii="宋体" w:hAnsi="宋体"/>
              </w:rPr>
              <w:t>人</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确保社区工作人员每月维稳补助金额</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rPr>
              <w:t>≧</w:t>
            </w:r>
            <w:r>
              <w:rPr>
                <w:rFonts w:ascii="宋体" w:hAnsi="宋体"/>
              </w:rPr>
              <w:t>500</w:t>
            </w:r>
            <w:r>
              <w:rPr>
                <w:rFonts w:hint="eastAsia" w:ascii="宋体" w:hAnsi="宋体"/>
              </w:rPr>
              <w:t>元</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提高工作人员积极性</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有所提高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提高工作效率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有所提高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工作服务态度高，便于群众办事</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rPr>
              <w:t>满意率≧</w:t>
            </w:r>
            <w:r>
              <w:rPr>
                <w:rFonts w:ascii="宋体" w:hAnsi="宋体"/>
              </w:rPr>
              <w:t>95%</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提高业务学习，宣传好各项政策</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rPr>
              <w:t>满意率≧</w:t>
            </w:r>
            <w:r>
              <w:rPr>
                <w:rFonts w:ascii="宋体" w:hAnsi="宋体"/>
              </w:rPr>
              <w:t>95%</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不断学习、不断进步</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业务水平提升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提高工作效率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效率提高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解决大学毕业生就业、辖区安定有序</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辖区安定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宣传各项党的好政策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群众知晓率提高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热情投入工作</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rPr>
              <w:t>≧</w:t>
            </w:r>
            <w:r>
              <w:rPr>
                <w:rFonts w:ascii="宋体" w:hAnsi="宋体"/>
              </w:rPr>
              <w:t>96%</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nil"/>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nil"/>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群众满意度增加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rPr>
              <w:t>≧</w:t>
            </w:r>
            <w:r>
              <w:rPr>
                <w:rFonts w:ascii="宋体" w:hAnsi="宋体"/>
              </w:rPr>
              <w:t>95%</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rPr>
            </w:pPr>
          </w:p>
        </w:tc>
      </w:tr>
    </w:tbl>
    <w:p>
      <w:pPr>
        <w:widowControl/>
        <w:spacing w:line="560" w:lineRule="exact"/>
        <w:ind w:firstLine="630" w:firstLineChars="196"/>
        <w:jc w:val="left"/>
        <w:rPr>
          <w:rFonts w:ascii="宋体" w:cs="宋体"/>
          <w:b/>
          <w:kern w:val="0"/>
          <w:sz w:val="32"/>
          <w:szCs w:val="32"/>
        </w:rPr>
        <w:sectPr>
          <w:pgSz w:w="16838" w:h="11906" w:orient="landscape"/>
          <w:pgMar w:top="1800" w:right="1440" w:bottom="1800" w:left="1440" w:header="851" w:footer="992" w:gutter="0"/>
          <w:cols w:space="425" w:num="1"/>
          <w:docGrid w:type="lines" w:linePitch="312" w:charSpace="0"/>
        </w:sectPr>
      </w:pPr>
    </w:p>
    <w:p>
      <w:pPr>
        <w:widowControl/>
        <w:spacing w:line="560" w:lineRule="exact"/>
        <w:ind w:firstLine="630" w:firstLineChars="196"/>
        <w:jc w:val="left"/>
        <w:rPr>
          <w:rFonts w:hint="eastAsia"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60" w:lineRule="exact"/>
        <w:ind w:firstLine="640" w:firstLineChars="200"/>
        <w:jc w:val="left"/>
        <w:rPr>
          <w:rFonts w:ascii="宋体" w:cs="宋体"/>
          <w:b/>
          <w:kern w:val="0"/>
          <w:sz w:val="32"/>
          <w:szCs w:val="32"/>
        </w:rPr>
      </w:pPr>
      <w:r>
        <w:rPr>
          <w:rFonts w:hint="eastAsia" w:ascii="仿宋_GB2312" w:hAnsi="宋体" w:eastAsia="仿宋_GB2312" w:cs="宋体"/>
          <w:kern w:val="0"/>
          <w:sz w:val="32"/>
          <w:szCs w:val="32"/>
        </w:rPr>
        <w:t>县清水泉管委会无其他需说明的事项</w:t>
      </w:r>
    </w:p>
    <w:p>
      <w:pPr>
        <w:widowControl/>
        <w:spacing w:beforeLines="50"/>
        <w:jc w:val="center"/>
        <w:outlineLvl w:val="1"/>
        <w:rPr>
          <w:rFonts w:hint="eastAsia" w:ascii="黑体" w:hAnsi="黑体" w:eastAsia="黑体"/>
          <w:kern w:val="0"/>
          <w:sz w:val="32"/>
          <w:szCs w:val="32"/>
        </w:rPr>
      </w:pPr>
      <w:r>
        <w:rPr>
          <w:rFonts w:hint="eastAsia" w:ascii="黑体" w:hAnsi="黑体" w:eastAsia="黑体"/>
          <w:kern w:val="0"/>
          <w:sz w:val="32"/>
          <w:szCs w:val="32"/>
        </w:rPr>
        <w:t>第四部分  名词解释</w:t>
      </w:r>
    </w:p>
    <w:p>
      <w:pPr>
        <w:widowControl/>
        <w:spacing w:line="560" w:lineRule="exact"/>
        <w:ind w:firstLine="640"/>
        <w:jc w:val="left"/>
        <w:rPr>
          <w:rFonts w:hint="eastAsia" w:ascii="黑体" w:hAnsi="黑体" w:eastAsia="黑体"/>
          <w:kern w:val="0"/>
          <w:sz w:val="32"/>
          <w:szCs w:val="32"/>
        </w:rPr>
      </w:pPr>
      <w:r>
        <w:rPr>
          <w:rFonts w:hint="eastAsia" w:ascii="黑体" w:hAnsi="黑体" w:eastAsia="黑体"/>
          <w:kern w:val="0"/>
          <w:sz w:val="32"/>
          <w:szCs w:val="32"/>
        </w:rPr>
        <w:t>名词解释：</w:t>
      </w:r>
    </w:p>
    <w:p>
      <w:pPr>
        <w:spacing w:line="550" w:lineRule="exact"/>
        <w:ind w:firstLine="642"/>
        <w:rPr>
          <w:rFonts w:hint="eastAsia"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hint="eastAsia"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宋体"/>
          <w:sz w:val="32"/>
          <w:szCs w:val="32"/>
        </w:rPr>
      </w:pPr>
      <w:r>
        <w:rPr>
          <w:rFonts w:hint="eastAsia" w:ascii="黑体" w:hAnsi="黑体" w:eastAsia="黑体"/>
          <w:sz w:val="32"/>
          <w:szCs w:val="32"/>
        </w:rPr>
        <w:t>三、基本支出：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hint="eastAsia" w:ascii="仿宋_GB2312" w:eastAsia="仿宋_GB2312"/>
          <w:sz w:val="32"/>
          <w:szCs w:val="32"/>
        </w:rPr>
      </w:pPr>
      <w:r>
        <w:rPr>
          <w:rFonts w:hint="eastAsia" w:ascii="黑体" w:hAnsi="黑体" w:eastAsia="黑体"/>
          <w:sz w:val="32"/>
          <w:szCs w:val="32"/>
        </w:rPr>
        <w:t>四、项目支出：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pPr>
        <w:spacing w:line="550" w:lineRule="exact"/>
        <w:ind w:firstLine="642"/>
        <w:rPr>
          <w:rFonts w:hint="eastAsia" w:ascii="仿宋_GB2312" w:eastAsia="仿宋_GB2312"/>
          <w:sz w:val="32"/>
          <w:szCs w:val="32"/>
        </w:rPr>
      </w:pPr>
      <w:r>
        <w:rPr>
          <w:rFonts w:hint="eastAsia" w:ascii="黑体" w:hAnsi="黑体" w:eastAsia="黑体"/>
          <w:sz w:val="32"/>
          <w:szCs w:val="32"/>
        </w:rPr>
        <w:t>五、“三公”经费：</w:t>
      </w:r>
      <w:r>
        <w:rPr>
          <w:rFonts w:hint="eastAsia" w:ascii="仿宋_GB2312" w:eastAsia="仿宋_GB2312"/>
          <w:sz w:val="32"/>
          <w:szCs w:val="32"/>
        </w:rPr>
        <w:t>指自治区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hint="eastAsia" w:ascii="仿宋_GB2312" w:eastAsia="仿宋_GB2312"/>
          <w:sz w:val="32"/>
          <w:szCs w:val="32"/>
        </w:rPr>
      </w:pPr>
      <w:r>
        <w:rPr>
          <w:rFonts w:hint="eastAsia" w:ascii="黑体" w:hAnsi="黑体" w:eastAsia="黑体"/>
          <w:sz w:val="32"/>
          <w:szCs w:val="32"/>
        </w:rPr>
        <w:t>六、机关运行经费：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left"/>
        <w:rPr>
          <w:rFonts w:ascii="宋体" w:cs="宋体"/>
          <w:kern w:val="0"/>
          <w:sz w:val="32"/>
          <w:szCs w:val="32"/>
        </w:rPr>
      </w:pPr>
      <w:r>
        <w:rPr>
          <w:rFonts w:ascii="宋体" w:hAnsi="宋体" w:cs="宋体"/>
          <w:kern w:val="0"/>
          <w:sz w:val="32"/>
          <w:szCs w:val="32"/>
        </w:rPr>
        <w:t xml:space="preserve">     </w:t>
      </w:r>
    </w:p>
    <w:p>
      <w:pPr>
        <w:widowControl/>
        <w:spacing w:line="560" w:lineRule="exact"/>
        <w:jc w:val="left"/>
        <w:rPr>
          <w:rFonts w:ascii="宋体" w:cs="宋体"/>
          <w:kern w:val="0"/>
          <w:sz w:val="32"/>
          <w:szCs w:val="32"/>
        </w:rPr>
      </w:pPr>
    </w:p>
    <w:p>
      <w:pPr>
        <w:widowControl/>
        <w:spacing w:line="560" w:lineRule="exact"/>
        <w:jc w:val="left"/>
        <w:rPr>
          <w:rFonts w:ascii="宋体" w:cs="宋体"/>
          <w:kern w:val="0"/>
          <w:sz w:val="32"/>
          <w:szCs w:val="32"/>
        </w:rPr>
      </w:pPr>
    </w:p>
    <w:p>
      <w:pPr>
        <w:widowControl/>
        <w:spacing w:line="560" w:lineRule="exact"/>
        <w:jc w:val="left"/>
        <w:rPr>
          <w:rFonts w:ascii="宋体" w:cs="宋体"/>
          <w:kern w:val="0"/>
          <w:sz w:val="32"/>
          <w:szCs w:val="32"/>
        </w:rPr>
      </w:pPr>
    </w:p>
    <w:p>
      <w:pPr>
        <w:widowControl/>
        <w:spacing w:line="560" w:lineRule="exact"/>
        <w:jc w:val="left"/>
        <w:rPr>
          <w:rFonts w:ascii="宋体" w:cs="宋体"/>
          <w:kern w:val="0"/>
          <w:sz w:val="32"/>
          <w:szCs w:val="32"/>
        </w:rPr>
      </w:pPr>
    </w:p>
    <w:p>
      <w:pPr>
        <w:widowControl/>
        <w:spacing w:line="560" w:lineRule="exact"/>
        <w:ind w:left="4800" w:hanging="4800" w:hangingChars="1500"/>
        <w:jc w:val="left"/>
        <w:rPr>
          <w:rFonts w:hint="eastAsia" w:ascii="仿宋_GB2312" w:hAnsi="宋体" w:eastAsia="仿宋_GB2312" w:cs="宋体"/>
          <w:kern w:val="0"/>
          <w:sz w:val="32"/>
          <w:szCs w:val="32"/>
        </w:rPr>
      </w:pPr>
      <w:r>
        <w:rPr>
          <w:rFonts w:ascii="宋体" w:hAnsi="宋体" w:cs="宋体"/>
          <w:kern w:val="0"/>
          <w:sz w:val="32"/>
          <w:szCs w:val="32"/>
        </w:rPr>
        <w:t xml:space="preserve">                    </w:t>
      </w:r>
      <w:r>
        <w:rPr>
          <w:rFonts w:hint="eastAsia" w:ascii="仿宋_GB2312" w:hAnsi="宋体" w:eastAsia="仿宋_GB2312" w:cs="宋体"/>
          <w:kern w:val="0"/>
          <w:sz w:val="32"/>
          <w:szCs w:val="32"/>
        </w:rPr>
        <w:t>乌鲁木齐县清水泉片区管理委员会</w:t>
      </w:r>
    </w:p>
    <w:p>
      <w:pPr>
        <w:widowControl/>
        <w:spacing w:line="560" w:lineRule="exact"/>
        <w:ind w:left="4800" w:hanging="4800" w:hangingChars="15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2019年2月19日</w:t>
      </w:r>
    </w:p>
    <w:p>
      <w:pPr>
        <w:widowControl/>
        <w:spacing w:line="560" w:lineRule="exact"/>
        <w:ind w:left="4800" w:hanging="4800" w:hangingChars="1500"/>
        <w:jc w:val="left"/>
        <w:rPr>
          <w:rFonts w:hint="eastAsia" w:ascii="仿宋_GB2312" w:hAnsi="宋体" w:eastAsia="仿宋_GB2312" w:cs="宋体"/>
          <w:kern w:val="0"/>
          <w:sz w:val="32"/>
          <w:szCs w:val="32"/>
        </w:rPr>
      </w:pPr>
    </w:p>
    <w:p>
      <w:pPr>
        <w:rPr>
          <w:rFonts w:ascii="宋体"/>
        </w:rPr>
      </w:pPr>
    </w:p>
    <w:p>
      <w:pPr>
        <w:rPr>
          <w:rFonts w:asci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4604E"/>
    <w:multiLevelType w:val="singleLevel"/>
    <w:tmpl w:val="A934604E"/>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mZDUxZDQwNTk3YWM2ZmY4YmE4ZDEyYjMyMzc0MmEifQ=="/>
  </w:docVars>
  <w:rsids>
    <w:rsidRoot w:val="002B5144"/>
    <w:rsid w:val="00013EA2"/>
    <w:rsid w:val="000141BF"/>
    <w:rsid w:val="0001754E"/>
    <w:rsid w:val="00017554"/>
    <w:rsid w:val="00017EFD"/>
    <w:rsid w:val="0002011D"/>
    <w:rsid w:val="00020392"/>
    <w:rsid w:val="0002340E"/>
    <w:rsid w:val="000315FA"/>
    <w:rsid w:val="00031848"/>
    <w:rsid w:val="00033FF7"/>
    <w:rsid w:val="00037389"/>
    <w:rsid w:val="00037C5F"/>
    <w:rsid w:val="00040ED4"/>
    <w:rsid w:val="000414B6"/>
    <w:rsid w:val="000430C9"/>
    <w:rsid w:val="000439B2"/>
    <w:rsid w:val="000439C5"/>
    <w:rsid w:val="0005049A"/>
    <w:rsid w:val="00056975"/>
    <w:rsid w:val="00057F5B"/>
    <w:rsid w:val="00063C2B"/>
    <w:rsid w:val="0006651A"/>
    <w:rsid w:val="000669FB"/>
    <w:rsid w:val="000850C8"/>
    <w:rsid w:val="00086C23"/>
    <w:rsid w:val="0008763F"/>
    <w:rsid w:val="00091EA9"/>
    <w:rsid w:val="000971E2"/>
    <w:rsid w:val="000A1C2C"/>
    <w:rsid w:val="000A20BA"/>
    <w:rsid w:val="000A359A"/>
    <w:rsid w:val="000A3605"/>
    <w:rsid w:val="000A5A8B"/>
    <w:rsid w:val="000A6C6F"/>
    <w:rsid w:val="000B05B9"/>
    <w:rsid w:val="000B341C"/>
    <w:rsid w:val="000B5A8C"/>
    <w:rsid w:val="000C0B1E"/>
    <w:rsid w:val="000D64F5"/>
    <w:rsid w:val="000D6B29"/>
    <w:rsid w:val="000E0ADD"/>
    <w:rsid w:val="000F1443"/>
    <w:rsid w:val="001104B3"/>
    <w:rsid w:val="001109E5"/>
    <w:rsid w:val="001116A6"/>
    <w:rsid w:val="00113D91"/>
    <w:rsid w:val="00116C94"/>
    <w:rsid w:val="00116CED"/>
    <w:rsid w:val="00122296"/>
    <w:rsid w:val="001229A6"/>
    <w:rsid w:val="0012366B"/>
    <w:rsid w:val="00125A11"/>
    <w:rsid w:val="00125CB7"/>
    <w:rsid w:val="00133A35"/>
    <w:rsid w:val="00136C1D"/>
    <w:rsid w:val="00146AAD"/>
    <w:rsid w:val="00151D6E"/>
    <w:rsid w:val="00152A7F"/>
    <w:rsid w:val="00157DA2"/>
    <w:rsid w:val="001615BC"/>
    <w:rsid w:val="00163C27"/>
    <w:rsid w:val="00164D46"/>
    <w:rsid w:val="00172108"/>
    <w:rsid w:val="00174131"/>
    <w:rsid w:val="001871B8"/>
    <w:rsid w:val="0019071C"/>
    <w:rsid w:val="00191E71"/>
    <w:rsid w:val="00192E2E"/>
    <w:rsid w:val="001A100E"/>
    <w:rsid w:val="001A3F0B"/>
    <w:rsid w:val="001B276C"/>
    <w:rsid w:val="001B2E13"/>
    <w:rsid w:val="001C478C"/>
    <w:rsid w:val="001C7526"/>
    <w:rsid w:val="001D3EAB"/>
    <w:rsid w:val="001D404F"/>
    <w:rsid w:val="001D46A0"/>
    <w:rsid w:val="001D5746"/>
    <w:rsid w:val="001D6516"/>
    <w:rsid w:val="001E5F02"/>
    <w:rsid w:val="001E6AB7"/>
    <w:rsid w:val="001E7095"/>
    <w:rsid w:val="001F015E"/>
    <w:rsid w:val="001F1687"/>
    <w:rsid w:val="00203AB6"/>
    <w:rsid w:val="00210AB7"/>
    <w:rsid w:val="00221AE5"/>
    <w:rsid w:val="002329AB"/>
    <w:rsid w:val="00233020"/>
    <w:rsid w:val="0023522E"/>
    <w:rsid w:val="002364F2"/>
    <w:rsid w:val="00246FF4"/>
    <w:rsid w:val="00251149"/>
    <w:rsid w:val="002616EE"/>
    <w:rsid w:val="00264155"/>
    <w:rsid w:val="00265FF7"/>
    <w:rsid w:val="0028182B"/>
    <w:rsid w:val="00282FA4"/>
    <w:rsid w:val="00291DED"/>
    <w:rsid w:val="00297CF6"/>
    <w:rsid w:val="002A1B47"/>
    <w:rsid w:val="002A2579"/>
    <w:rsid w:val="002A3442"/>
    <w:rsid w:val="002A3EB9"/>
    <w:rsid w:val="002B322E"/>
    <w:rsid w:val="002B34A2"/>
    <w:rsid w:val="002B5144"/>
    <w:rsid w:val="002B5B4B"/>
    <w:rsid w:val="002B5E25"/>
    <w:rsid w:val="002C0D9D"/>
    <w:rsid w:val="002C1114"/>
    <w:rsid w:val="002C2E1A"/>
    <w:rsid w:val="002C3B4E"/>
    <w:rsid w:val="002C69FE"/>
    <w:rsid w:val="002C78B4"/>
    <w:rsid w:val="002D611A"/>
    <w:rsid w:val="002E2983"/>
    <w:rsid w:val="002F24A6"/>
    <w:rsid w:val="002F4911"/>
    <w:rsid w:val="00303CB1"/>
    <w:rsid w:val="00304B5E"/>
    <w:rsid w:val="00305D05"/>
    <w:rsid w:val="00306414"/>
    <w:rsid w:val="00310FD9"/>
    <w:rsid w:val="003116CC"/>
    <w:rsid w:val="00316264"/>
    <w:rsid w:val="00316EE1"/>
    <w:rsid w:val="00317B36"/>
    <w:rsid w:val="003219D9"/>
    <w:rsid w:val="00325B17"/>
    <w:rsid w:val="003346A2"/>
    <w:rsid w:val="0033656C"/>
    <w:rsid w:val="00340F88"/>
    <w:rsid w:val="00345AAC"/>
    <w:rsid w:val="00345E9C"/>
    <w:rsid w:val="00346364"/>
    <w:rsid w:val="003471A5"/>
    <w:rsid w:val="00350E29"/>
    <w:rsid w:val="00351147"/>
    <w:rsid w:val="0035130B"/>
    <w:rsid w:val="0035552C"/>
    <w:rsid w:val="0035774D"/>
    <w:rsid w:val="00360F66"/>
    <w:rsid w:val="0037191D"/>
    <w:rsid w:val="00383B53"/>
    <w:rsid w:val="003853C0"/>
    <w:rsid w:val="00391C3A"/>
    <w:rsid w:val="00397E2B"/>
    <w:rsid w:val="003A42B9"/>
    <w:rsid w:val="003A5C6B"/>
    <w:rsid w:val="003A6B24"/>
    <w:rsid w:val="003A7EA3"/>
    <w:rsid w:val="003B3C45"/>
    <w:rsid w:val="003C2247"/>
    <w:rsid w:val="003C31F2"/>
    <w:rsid w:val="003D1649"/>
    <w:rsid w:val="003E2D7E"/>
    <w:rsid w:val="003E54AB"/>
    <w:rsid w:val="003F4F6E"/>
    <w:rsid w:val="004003C7"/>
    <w:rsid w:val="00400B37"/>
    <w:rsid w:val="00403856"/>
    <w:rsid w:val="00405F19"/>
    <w:rsid w:val="00405F90"/>
    <w:rsid w:val="00406BC3"/>
    <w:rsid w:val="0040777D"/>
    <w:rsid w:val="00407C14"/>
    <w:rsid w:val="00412A09"/>
    <w:rsid w:val="004148C8"/>
    <w:rsid w:val="004215B8"/>
    <w:rsid w:val="00422791"/>
    <w:rsid w:val="00423B3F"/>
    <w:rsid w:val="00424015"/>
    <w:rsid w:val="004258E2"/>
    <w:rsid w:val="004268E3"/>
    <w:rsid w:val="004362EC"/>
    <w:rsid w:val="0043657B"/>
    <w:rsid w:val="0043692A"/>
    <w:rsid w:val="00440367"/>
    <w:rsid w:val="00447391"/>
    <w:rsid w:val="00447686"/>
    <w:rsid w:val="00451526"/>
    <w:rsid w:val="00451594"/>
    <w:rsid w:val="0045502B"/>
    <w:rsid w:val="00461F3B"/>
    <w:rsid w:val="00466EA3"/>
    <w:rsid w:val="00471AA3"/>
    <w:rsid w:val="00471EEC"/>
    <w:rsid w:val="004755DB"/>
    <w:rsid w:val="0047764A"/>
    <w:rsid w:val="00484624"/>
    <w:rsid w:val="00486582"/>
    <w:rsid w:val="004903B9"/>
    <w:rsid w:val="004909EE"/>
    <w:rsid w:val="00491DC0"/>
    <w:rsid w:val="004A389A"/>
    <w:rsid w:val="004A5134"/>
    <w:rsid w:val="004B517D"/>
    <w:rsid w:val="004B56C5"/>
    <w:rsid w:val="004C4126"/>
    <w:rsid w:val="004C6B92"/>
    <w:rsid w:val="004D095E"/>
    <w:rsid w:val="004D100A"/>
    <w:rsid w:val="004D11ED"/>
    <w:rsid w:val="004E3004"/>
    <w:rsid w:val="004E3CE4"/>
    <w:rsid w:val="004F3291"/>
    <w:rsid w:val="004F6D2F"/>
    <w:rsid w:val="00501D39"/>
    <w:rsid w:val="00502516"/>
    <w:rsid w:val="00503F72"/>
    <w:rsid w:val="00504812"/>
    <w:rsid w:val="00506FE7"/>
    <w:rsid w:val="0051021D"/>
    <w:rsid w:val="00511095"/>
    <w:rsid w:val="00512FCA"/>
    <w:rsid w:val="005259EB"/>
    <w:rsid w:val="00530C74"/>
    <w:rsid w:val="00531C7D"/>
    <w:rsid w:val="00536B0A"/>
    <w:rsid w:val="005379EA"/>
    <w:rsid w:val="00550A64"/>
    <w:rsid w:val="00552487"/>
    <w:rsid w:val="00554863"/>
    <w:rsid w:val="00555D8D"/>
    <w:rsid w:val="00557657"/>
    <w:rsid w:val="00562A6F"/>
    <w:rsid w:val="005674BA"/>
    <w:rsid w:val="00576351"/>
    <w:rsid w:val="00577D05"/>
    <w:rsid w:val="00580BB9"/>
    <w:rsid w:val="00590905"/>
    <w:rsid w:val="00596963"/>
    <w:rsid w:val="005A44AF"/>
    <w:rsid w:val="005B0DF3"/>
    <w:rsid w:val="005B4700"/>
    <w:rsid w:val="005D50E8"/>
    <w:rsid w:val="005F0DA5"/>
    <w:rsid w:val="005F1ED5"/>
    <w:rsid w:val="005F2546"/>
    <w:rsid w:val="005F78BA"/>
    <w:rsid w:val="00605715"/>
    <w:rsid w:val="00614557"/>
    <w:rsid w:val="00615619"/>
    <w:rsid w:val="00631806"/>
    <w:rsid w:val="00631A5B"/>
    <w:rsid w:val="00643145"/>
    <w:rsid w:val="0064470F"/>
    <w:rsid w:val="00645A87"/>
    <w:rsid w:val="00646B74"/>
    <w:rsid w:val="0065425D"/>
    <w:rsid w:val="00656F97"/>
    <w:rsid w:val="006572F5"/>
    <w:rsid w:val="0066534F"/>
    <w:rsid w:val="00666A72"/>
    <w:rsid w:val="006670B5"/>
    <w:rsid w:val="00667293"/>
    <w:rsid w:val="0067014F"/>
    <w:rsid w:val="00670C5A"/>
    <w:rsid w:val="0067743A"/>
    <w:rsid w:val="00686FA1"/>
    <w:rsid w:val="00692AAF"/>
    <w:rsid w:val="00696CA9"/>
    <w:rsid w:val="006B0E00"/>
    <w:rsid w:val="006B6FE9"/>
    <w:rsid w:val="006C7A55"/>
    <w:rsid w:val="006D3555"/>
    <w:rsid w:val="006E2613"/>
    <w:rsid w:val="006E6F63"/>
    <w:rsid w:val="006F1BA9"/>
    <w:rsid w:val="006F6FDC"/>
    <w:rsid w:val="0070132A"/>
    <w:rsid w:val="007056A2"/>
    <w:rsid w:val="00706EC0"/>
    <w:rsid w:val="00712AFC"/>
    <w:rsid w:val="00712E92"/>
    <w:rsid w:val="007220E0"/>
    <w:rsid w:val="0072590A"/>
    <w:rsid w:val="00726AF0"/>
    <w:rsid w:val="00732806"/>
    <w:rsid w:val="00740656"/>
    <w:rsid w:val="00745ED6"/>
    <w:rsid w:val="00747576"/>
    <w:rsid w:val="007475A5"/>
    <w:rsid w:val="00747F78"/>
    <w:rsid w:val="00750026"/>
    <w:rsid w:val="00763766"/>
    <w:rsid w:val="0076567E"/>
    <w:rsid w:val="0076663B"/>
    <w:rsid w:val="00781F2E"/>
    <w:rsid w:val="0078573B"/>
    <w:rsid w:val="0078686F"/>
    <w:rsid w:val="00786C58"/>
    <w:rsid w:val="007877CA"/>
    <w:rsid w:val="007C1C1A"/>
    <w:rsid w:val="007C5D18"/>
    <w:rsid w:val="007D0C48"/>
    <w:rsid w:val="007E0F2D"/>
    <w:rsid w:val="007E5BD4"/>
    <w:rsid w:val="00800FB9"/>
    <w:rsid w:val="0080431F"/>
    <w:rsid w:val="008070E0"/>
    <w:rsid w:val="00810752"/>
    <w:rsid w:val="00817636"/>
    <w:rsid w:val="00820274"/>
    <w:rsid w:val="008262CA"/>
    <w:rsid w:val="00831630"/>
    <w:rsid w:val="0083519F"/>
    <w:rsid w:val="00840198"/>
    <w:rsid w:val="00842BBE"/>
    <w:rsid w:val="00843C2A"/>
    <w:rsid w:val="00852D5E"/>
    <w:rsid w:val="00855D36"/>
    <w:rsid w:val="0085724F"/>
    <w:rsid w:val="00864B8E"/>
    <w:rsid w:val="008660F6"/>
    <w:rsid w:val="00874A3A"/>
    <w:rsid w:val="00875538"/>
    <w:rsid w:val="00877EB1"/>
    <w:rsid w:val="00881371"/>
    <w:rsid w:val="00882D40"/>
    <w:rsid w:val="00884F94"/>
    <w:rsid w:val="008869AD"/>
    <w:rsid w:val="0089214E"/>
    <w:rsid w:val="008942D1"/>
    <w:rsid w:val="00896B14"/>
    <w:rsid w:val="008A69FA"/>
    <w:rsid w:val="008C52D2"/>
    <w:rsid w:val="008C72C8"/>
    <w:rsid w:val="008D3EDB"/>
    <w:rsid w:val="008E54C8"/>
    <w:rsid w:val="008E57AA"/>
    <w:rsid w:val="008E6A02"/>
    <w:rsid w:val="008E7D1E"/>
    <w:rsid w:val="008F4CFA"/>
    <w:rsid w:val="008F69B8"/>
    <w:rsid w:val="00900202"/>
    <w:rsid w:val="00901725"/>
    <w:rsid w:val="00904D07"/>
    <w:rsid w:val="00905DF1"/>
    <w:rsid w:val="00911882"/>
    <w:rsid w:val="009121E8"/>
    <w:rsid w:val="00916CA9"/>
    <w:rsid w:val="00924F4A"/>
    <w:rsid w:val="00926455"/>
    <w:rsid w:val="00926832"/>
    <w:rsid w:val="0092763F"/>
    <w:rsid w:val="0093591C"/>
    <w:rsid w:val="0094013E"/>
    <w:rsid w:val="00941D37"/>
    <w:rsid w:val="00943861"/>
    <w:rsid w:val="00950312"/>
    <w:rsid w:val="00955E0F"/>
    <w:rsid w:val="009571F4"/>
    <w:rsid w:val="009667F0"/>
    <w:rsid w:val="0096708A"/>
    <w:rsid w:val="00972A88"/>
    <w:rsid w:val="00975C50"/>
    <w:rsid w:val="00977BEA"/>
    <w:rsid w:val="009843E9"/>
    <w:rsid w:val="00993162"/>
    <w:rsid w:val="009A00EE"/>
    <w:rsid w:val="009A4CB8"/>
    <w:rsid w:val="009B1CE8"/>
    <w:rsid w:val="009B2110"/>
    <w:rsid w:val="009B34AC"/>
    <w:rsid w:val="009B671C"/>
    <w:rsid w:val="009C269B"/>
    <w:rsid w:val="009C3236"/>
    <w:rsid w:val="009D4BC8"/>
    <w:rsid w:val="009D5443"/>
    <w:rsid w:val="009D673F"/>
    <w:rsid w:val="009D69D0"/>
    <w:rsid w:val="009E0230"/>
    <w:rsid w:val="009E62D6"/>
    <w:rsid w:val="009E6BBF"/>
    <w:rsid w:val="009F0573"/>
    <w:rsid w:val="009F0CD5"/>
    <w:rsid w:val="009F4AC6"/>
    <w:rsid w:val="009F5CEF"/>
    <w:rsid w:val="00A015E2"/>
    <w:rsid w:val="00A018BE"/>
    <w:rsid w:val="00A0257A"/>
    <w:rsid w:val="00A06367"/>
    <w:rsid w:val="00A21DCF"/>
    <w:rsid w:val="00A26356"/>
    <w:rsid w:val="00A34E25"/>
    <w:rsid w:val="00A36F0A"/>
    <w:rsid w:val="00A422D3"/>
    <w:rsid w:val="00A44493"/>
    <w:rsid w:val="00A4590A"/>
    <w:rsid w:val="00A50862"/>
    <w:rsid w:val="00A55BC1"/>
    <w:rsid w:val="00A60BA9"/>
    <w:rsid w:val="00A64F13"/>
    <w:rsid w:val="00A663E2"/>
    <w:rsid w:val="00A66BD4"/>
    <w:rsid w:val="00A73377"/>
    <w:rsid w:val="00A73F32"/>
    <w:rsid w:val="00A80172"/>
    <w:rsid w:val="00A86D5A"/>
    <w:rsid w:val="00A87FE2"/>
    <w:rsid w:val="00A91E9B"/>
    <w:rsid w:val="00A93B6E"/>
    <w:rsid w:val="00A9730C"/>
    <w:rsid w:val="00AA1047"/>
    <w:rsid w:val="00AA36BC"/>
    <w:rsid w:val="00AB2711"/>
    <w:rsid w:val="00AB5260"/>
    <w:rsid w:val="00AB6131"/>
    <w:rsid w:val="00AC1660"/>
    <w:rsid w:val="00AC46D2"/>
    <w:rsid w:val="00AC7B6D"/>
    <w:rsid w:val="00AD3D02"/>
    <w:rsid w:val="00AD4AAB"/>
    <w:rsid w:val="00AD704C"/>
    <w:rsid w:val="00AF60D6"/>
    <w:rsid w:val="00B00B9B"/>
    <w:rsid w:val="00B106E4"/>
    <w:rsid w:val="00B1581B"/>
    <w:rsid w:val="00B2199A"/>
    <w:rsid w:val="00B2425F"/>
    <w:rsid w:val="00B2630F"/>
    <w:rsid w:val="00B27731"/>
    <w:rsid w:val="00B30280"/>
    <w:rsid w:val="00B3053C"/>
    <w:rsid w:val="00B331CF"/>
    <w:rsid w:val="00B3398F"/>
    <w:rsid w:val="00B40940"/>
    <w:rsid w:val="00B52439"/>
    <w:rsid w:val="00B60AB1"/>
    <w:rsid w:val="00B72EC1"/>
    <w:rsid w:val="00B738D4"/>
    <w:rsid w:val="00B81574"/>
    <w:rsid w:val="00B8282B"/>
    <w:rsid w:val="00B84B35"/>
    <w:rsid w:val="00B87B30"/>
    <w:rsid w:val="00B90BAD"/>
    <w:rsid w:val="00B928E2"/>
    <w:rsid w:val="00B9496E"/>
    <w:rsid w:val="00B9662F"/>
    <w:rsid w:val="00BA26A4"/>
    <w:rsid w:val="00BA2B7B"/>
    <w:rsid w:val="00BA3AAE"/>
    <w:rsid w:val="00BA5B58"/>
    <w:rsid w:val="00BA7697"/>
    <w:rsid w:val="00BB167F"/>
    <w:rsid w:val="00BB1BBF"/>
    <w:rsid w:val="00BB7BAA"/>
    <w:rsid w:val="00BD101B"/>
    <w:rsid w:val="00BD3F3C"/>
    <w:rsid w:val="00BD587E"/>
    <w:rsid w:val="00BD74F9"/>
    <w:rsid w:val="00BE2B30"/>
    <w:rsid w:val="00BE44DD"/>
    <w:rsid w:val="00BF171A"/>
    <w:rsid w:val="00BF277A"/>
    <w:rsid w:val="00C0229E"/>
    <w:rsid w:val="00C04FF7"/>
    <w:rsid w:val="00C07E54"/>
    <w:rsid w:val="00C13D9E"/>
    <w:rsid w:val="00C23DCD"/>
    <w:rsid w:val="00C24641"/>
    <w:rsid w:val="00C261EB"/>
    <w:rsid w:val="00C3007F"/>
    <w:rsid w:val="00C37563"/>
    <w:rsid w:val="00C4066A"/>
    <w:rsid w:val="00C53F18"/>
    <w:rsid w:val="00C5631F"/>
    <w:rsid w:val="00C60CD2"/>
    <w:rsid w:val="00C63A28"/>
    <w:rsid w:val="00C63DE7"/>
    <w:rsid w:val="00C72F37"/>
    <w:rsid w:val="00C76D53"/>
    <w:rsid w:val="00C76F24"/>
    <w:rsid w:val="00C82FA7"/>
    <w:rsid w:val="00C96724"/>
    <w:rsid w:val="00CA1087"/>
    <w:rsid w:val="00CA7378"/>
    <w:rsid w:val="00CA7793"/>
    <w:rsid w:val="00CA7F5D"/>
    <w:rsid w:val="00CB1C26"/>
    <w:rsid w:val="00CB325D"/>
    <w:rsid w:val="00CB67B7"/>
    <w:rsid w:val="00CC5F45"/>
    <w:rsid w:val="00CD1857"/>
    <w:rsid w:val="00CD320B"/>
    <w:rsid w:val="00CD58F4"/>
    <w:rsid w:val="00CD6421"/>
    <w:rsid w:val="00CE609C"/>
    <w:rsid w:val="00CE6727"/>
    <w:rsid w:val="00CF0ECF"/>
    <w:rsid w:val="00CF1DFB"/>
    <w:rsid w:val="00CF5153"/>
    <w:rsid w:val="00D07CF2"/>
    <w:rsid w:val="00D157E8"/>
    <w:rsid w:val="00D2143D"/>
    <w:rsid w:val="00D22A8C"/>
    <w:rsid w:val="00D40E8E"/>
    <w:rsid w:val="00D44080"/>
    <w:rsid w:val="00D462EB"/>
    <w:rsid w:val="00D6160C"/>
    <w:rsid w:val="00D6357E"/>
    <w:rsid w:val="00D63A91"/>
    <w:rsid w:val="00D70535"/>
    <w:rsid w:val="00D73304"/>
    <w:rsid w:val="00D75359"/>
    <w:rsid w:val="00D760B4"/>
    <w:rsid w:val="00D7686E"/>
    <w:rsid w:val="00D81774"/>
    <w:rsid w:val="00D96A3E"/>
    <w:rsid w:val="00DA08FC"/>
    <w:rsid w:val="00DA3946"/>
    <w:rsid w:val="00DA6C62"/>
    <w:rsid w:val="00DA6FF8"/>
    <w:rsid w:val="00DB2D14"/>
    <w:rsid w:val="00DC5288"/>
    <w:rsid w:val="00DC6212"/>
    <w:rsid w:val="00DC768A"/>
    <w:rsid w:val="00DD4B3B"/>
    <w:rsid w:val="00DE2D09"/>
    <w:rsid w:val="00DE4C42"/>
    <w:rsid w:val="00DE7D55"/>
    <w:rsid w:val="00DE7E72"/>
    <w:rsid w:val="00DF055F"/>
    <w:rsid w:val="00DF5207"/>
    <w:rsid w:val="00DF61C8"/>
    <w:rsid w:val="00E01CC5"/>
    <w:rsid w:val="00E02E0A"/>
    <w:rsid w:val="00E05424"/>
    <w:rsid w:val="00E17E88"/>
    <w:rsid w:val="00E21EEF"/>
    <w:rsid w:val="00E224F9"/>
    <w:rsid w:val="00E25F4F"/>
    <w:rsid w:val="00E268D8"/>
    <w:rsid w:val="00E3089E"/>
    <w:rsid w:val="00E33344"/>
    <w:rsid w:val="00E40031"/>
    <w:rsid w:val="00E40F74"/>
    <w:rsid w:val="00E44410"/>
    <w:rsid w:val="00E44B50"/>
    <w:rsid w:val="00E50CA0"/>
    <w:rsid w:val="00E537C4"/>
    <w:rsid w:val="00E53CC5"/>
    <w:rsid w:val="00E55260"/>
    <w:rsid w:val="00E55623"/>
    <w:rsid w:val="00E65822"/>
    <w:rsid w:val="00E746FC"/>
    <w:rsid w:val="00E75C5C"/>
    <w:rsid w:val="00E76109"/>
    <w:rsid w:val="00E823AD"/>
    <w:rsid w:val="00E84778"/>
    <w:rsid w:val="00E9289B"/>
    <w:rsid w:val="00E92C10"/>
    <w:rsid w:val="00E9455A"/>
    <w:rsid w:val="00EA1E8C"/>
    <w:rsid w:val="00EA245F"/>
    <w:rsid w:val="00EA66D2"/>
    <w:rsid w:val="00EA7ACF"/>
    <w:rsid w:val="00EB2C9A"/>
    <w:rsid w:val="00EB3F83"/>
    <w:rsid w:val="00EB5B81"/>
    <w:rsid w:val="00EB6788"/>
    <w:rsid w:val="00EB6914"/>
    <w:rsid w:val="00EC17F2"/>
    <w:rsid w:val="00EC2FE2"/>
    <w:rsid w:val="00EC6BE0"/>
    <w:rsid w:val="00EC798C"/>
    <w:rsid w:val="00ED479D"/>
    <w:rsid w:val="00ED797F"/>
    <w:rsid w:val="00EE2422"/>
    <w:rsid w:val="00EE4AAA"/>
    <w:rsid w:val="00EE4BAB"/>
    <w:rsid w:val="00EE70B1"/>
    <w:rsid w:val="00EF05AF"/>
    <w:rsid w:val="00EF6C7E"/>
    <w:rsid w:val="00EF7453"/>
    <w:rsid w:val="00F02F55"/>
    <w:rsid w:val="00F04E2A"/>
    <w:rsid w:val="00F11BF3"/>
    <w:rsid w:val="00F22745"/>
    <w:rsid w:val="00F31781"/>
    <w:rsid w:val="00F34C71"/>
    <w:rsid w:val="00F457EC"/>
    <w:rsid w:val="00F45EEB"/>
    <w:rsid w:val="00F47E6B"/>
    <w:rsid w:val="00F5043E"/>
    <w:rsid w:val="00F5074D"/>
    <w:rsid w:val="00F51382"/>
    <w:rsid w:val="00F5334D"/>
    <w:rsid w:val="00F616F4"/>
    <w:rsid w:val="00F64BAB"/>
    <w:rsid w:val="00F70BB8"/>
    <w:rsid w:val="00F82416"/>
    <w:rsid w:val="00F83A58"/>
    <w:rsid w:val="00F846DB"/>
    <w:rsid w:val="00F85853"/>
    <w:rsid w:val="00F8670F"/>
    <w:rsid w:val="00F95928"/>
    <w:rsid w:val="00F979A9"/>
    <w:rsid w:val="00FA1A7B"/>
    <w:rsid w:val="00FA3D0F"/>
    <w:rsid w:val="00FA40F7"/>
    <w:rsid w:val="00FB3C0E"/>
    <w:rsid w:val="00FB5756"/>
    <w:rsid w:val="00FB63A6"/>
    <w:rsid w:val="00FB6EDE"/>
    <w:rsid w:val="00FC6ABD"/>
    <w:rsid w:val="00FC7A8E"/>
    <w:rsid w:val="00FD7042"/>
    <w:rsid w:val="00FD7DA9"/>
    <w:rsid w:val="00FE35FE"/>
    <w:rsid w:val="00FE435F"/>
    <w:rsid w:val="00FE543D"/>
    <w:rsid w:val="00FE7922"/>
    <w:rsid w:val="00FF0007"/>
    <w:rsid w:val="00FF39A9"/>
    <w:rsid w:val="02FF047A"/>
    <w:rsid w:val="04BE0AF8"/>
    <w:rsid w:val="0ABA31BC"/>
    <w:rsid w:val="1293112F"/>
    <w:rsid w:val="16014D96"/>
    <w:rsid w:val="165C466C"/>
    <w:rsid w:val="18193F65"/>
    <w:rsid w:val="1A674892"/>
    <w:rsid w:val="1F2A5202"/>
    <w:rsid w:val="1FC1258D"/>
    <w:rsid w:val="260C70FC"/>
    <w:rsid w:val="28BE4325"/>
    <w:rsid w:val="2AAC07A6"/>
    <w:rsid w:val="2E8E614B"/>
    <w:rsid w:val="31861BA2"/>
    <w:rsid w:val="33DD702F"/>
    <w:rsid w:val="34D01320"/>
    <w:rsid w:val="357051E8"/>
    <w:rsid w:val="39064559"/>
    <w:rsid w:val="3B931C3B"/>
    <w:rsid w:val="3CDE63E5"/>
    <w:rsid w:val="3FC523B0"/>
    <w:rsid w:val="41CC519A"/>
    <w:rsid w:val="44227DB6"/>
    <w:rsid w:val="445A0596"/>
    <w:rsid w:val="45881030"/>
    <w:rsid w:val="4E8F2B43"/>
    <w:rsid w:val="52B65AAF"/>
    <w:rsid w:val="53E61BFD"/>
    <w:rsid w:val="55391E52"/>
    <w:rsid w:val="58717952"/>
    <w:rsid w:val="58F076F2"/>
    <w:rsid w:val="5B262456"/>
    <w:rsid w:val="5B700D22"/>
    <w:rsid w:val="5BA61F62"/>
    <w:rsid w:val="5D234623"/>
    <w:rsid w:val="62695C63"/>
    <w:rsid w:val="64755F56"/>
    <w:rsid w:val="6C5439E0"/>
    <w:rsid w:val="6E1458E3"/>
    <w:rsid w:val="700D7555"/>
    <w:rsid w:val="73AE6FBF"/>
    <w:rsid w:val="749F484B"/>
    <w:rsid w:val="772E67A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ascii="Calibri" w:hAnsi="Calibri" w:eastAsia="宋体"/>
    </w:rPr>
  </w:style>
  <w:style w:type="paragraph" w:styleId="3">
    <w:name w:val="Body Text Indent"/>
    <w:basedOn w:val="1"/>
    <w:unhideWhenUsed/>
    <w:qFormat/>
    <w:uiPriority w:val="99"/>
    <w:pPr>
      <w:spacing w:after="120"/>
      <w:ind w:left="420" w:leftChars="200"/>
    </w:pPr>
  </w:style>
  <w:style w:type="paragraph" w:styleId="4">
    <w:name w:val="Balloon Text"/>
    <w:basedOn w:val="1"/>
    <w:link w:val="14"/>
    <w:semiHidden/>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rFonts w:eastAsia="黑体"/>
      <w:kern w:val="0"/>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7"/>
    <w:qFormat/>
    <w:uiPriority w:val="99"/>
    <w:pPr>
      <w:pBdr>
        <w:top w:val="single" w:color="auto" w:sz="12" w:space="1"/>
        <w:bottom w:val="single" w:color="auto" w:sz="12" w:space="1"/>
      </w:pBdr>
      <w:spacing w:line="600" w:lineRule="exact"/>
      <w:ind w:left="1280" w:hanging="1280" w:hangingChars="400"/>
    </w:pPr>
    <w:rPr>
      <w:rFonts w:eastAsia="仿宋_GB2312"/>
      <w:sz w:val="32"/>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99"/>
    <w:rPr>
      <w:rFonts w:cs="Times New Roman"/>
      <w:b/>
    </w:rPr>
  </w:style>
  <w:style w:type="character" w:styleId="13">
    <w:name w:val="page number"/>
    <w:basedOn w:val="11"/>
    <w:qFormat/>
    <w:uiPriority w:val="99"/>
    <w:rPr>
      <w:rFonts w:cs="Times New Roman"/>
    </w:rPr>
  </w:style>
  <w:style w:type="character" w:customStyle="1" w:styleId="14">
    <w:name w:val="批注框文本 Char"/>
    <w:basedOn w:val="11"/>
    <w:link w:val="4"/>
    <w:semiHidden/>
    <w:qFormat/>
    <w:locked/>
    <w:uiPriority w:val="99"/>
    <w:rPr>
      <w:rFonts w:ascii="Times New Roman" w:hAnsi="Times New Roman" w:eastAsia="宋体" w:cs="Times New Roman"/>
      <w:sz w:val="18"/>
      <w:szCs w:val="18"/>
    </w:rPr>
  </w:style>
  <w:style w:type="character" w:customStyle="1" w:styleId="15">
    <w:name w:val="页脚 Char"/>
    <w:basedOn w:val="11"/>
    <w:link w:val="5"/>
    <w:qFormat/>
    <w:locked/>
    <w:uiPriority w:val="99"/>
    <w:rPr>
      <w:rFonts w:ascii="Times New Roman" w:hAnsi="Times New Roman" w:eastAsia="黑体" w:cs="Times New Roman"/>
      <w:snapToGrid w:val="0"/>
      <w:kern w:val="0"/>
      <w:sz w:val="18"/>
      <w:szCs w:val="18"/>
    </w:rPr>
  </w:style>
  <w:style w:type="character" w:customStyle="1" w:styleId="16">
    <w:name w:val="页眉 Char"/>
    <w:basedOn w:val="11"/>
    <w:link w:val="6"/>
    <w:qFormat/>
    <w:locked/>
    <w:uiPriority w:val="99"/>
    <w:rPr>
      <w:rFonts w:ascii="Times New Roman" w:hAnsi="Times New Roman" w:eastAsia="宋体" w:cs="Times New Roman"/>
      <w:sz w:val="18"/>
      <w:szCs w:val="18"/>
    </w:rPr>
  </w:style>
  <w:style w:type="character" w:customStyle="1" w:styleId="17">
    <w:name w:val="正文文本缩进 3 Char"/>
    <w:basedOn w:val="11"/>
    <w:link w:val="7"/>
    <w:qFormat/>
    <w:locked/>
    <w:uiPriority w:val="99"/>
    <w:rPr>
      <w:rFonts w:ascii="Times New Roman" w:hAnsi="Times New Roman" w:eastAsia="仿宋_GB2312" w:cs="Times New Roman"/>
      <w:sz w:val="24"/>
      <w:szCs w:val="24"/>
    </w:rPr>
  </w:style>
  <w:style w:type="paragraph" w:customStyle="1" w:styleId="18">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19">
    <w:name w:val="List Paragraph"/>
    <w:basedOn w:val="1"/>
    <w:qFormat/>
    <w:uiPriority w:val="99"/>
    <w:pPr>
      <w:ind w:firstLine="420" w:firstLineChars="200"/>
    </w:pPr>
    <w:rPr>
      <w:rFonts w:ascii="Calibri" w:hAnsi="Calibri"/>
      <w:szCs w:val="22"/>
    </w:rPr>
  </w:style>
  <w:style w:type="paragraph" w:customStyle="1" w:styleId="20">
    <w:name w:val="普通(网站)1"/>
    <w:basedOn w:val="1"/>
    <w:qFormat/>
    <w:uiPriority w:val="99"/>
    <w:rPr>
      <w:rFonts w:ascii="Calibri" w:hAnsi="Calibri" w:cs="黑体"/>
      <w:sz w:val="24"/>
    </w:rPr>
  </w:style>
  <w:style w:type="paragraph" w:customStyle="1" w:styleId="21">
    <w:name w:val="普通(网站)2"/>
    <w:basedOn w:val="1"/>
    <w:qFormat/>
    <w:uiPriority w:val="99"/>
    <w:rPr>
      <w:rFonts w:ascii="Calibri" w:hAnsi="Calibri" w:cs="黑体"/>
      <w:sz w:val="24"/>
    </w:rPr>
  </w:style>
  <w:style w:type="paragraph" w:customStyle="1" w:styleId="22">
    <w:name w:val="普通(网站)3"/>
    <w:basedOn w:val="1"/>
    <w:qFormat/>
    <w:uiPriority w:val="99"/>
    <w:rPr>
      <w:rFonts w:ascii="Calibri" w:hAnsi="Calibri" w:cs="黑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8613</Words>
  <Characters>10096</Characters>
  <Lines>94</Lines>
  <Paragraphs>26</Paragraphs>
  <TotalTime>390</TotalTime>
  <ScaleCrop>false</ScaleCrop>
  <LinksUpToDate>false</LinksUpToDate>
  <CharactersWithSpaces>11206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2019-01-28T07:39:00Z</dcterms:created>
  <dc:creator>王怡</dc:creator>
  <cp:lastModifiedBy>꧁虚数空间꧂</cp:lastModifiedBy>
  <dcterms:modified xsi:type="dcterms:W3CDTF">2022-10-22T11:51:33Z</dcterms:modified>
  <cp:revision>777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148975F82C184AB684628545914444C4</vt:lpwstr>
  </property>
</Properties>
</file>