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540" w:lineRule="exact"/>
        <w:rPr>
          <w:rFonts w:ascii="方正小标宋_GBK" w:hAnsi="宋体" w:eastAsia="方正小标宋_GBK"/>
          <w:sz w:val="44"/>
          <w:szCs w:val="44"/>
        </w:rPr>
      </w:pPr>
    </w:p>
    <w:p>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2018年度乌鲁木齐县统计局部门决算</w:t>
      </w:r>
    </w:p>
    <w:p>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pPr>
        <w:spacing w:line="540" w:lineRule="exact"/>
        <w:rPr>
          <w:rFonts w:ascii="仿宋_GB2312" w:hAnsi="宋体" w:eastAsia="仿宋_GB2312"/>
          <w:sz w:val="32"/>
          <w:szCs w:val="32"/>
        </w:rPr>
      </w:pPr>
    </w:p>
    <w:p>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pPr>
        <w:spacing w:line="540" w:lineRule="exact"/>
        <w:rPr>
          <w:rFonts w:ascii="仿宋_GB2312" w:hAnsi="宋体" w:eastAsia="仿宋_GB2312"/>
          <w:b/>
          <w:kern w:val="0"/>
          <w:sz w:val="32"/>
          <w:szCs w:val="32"/>
        </w:rPr>
      </w:pP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w:t>
      </w:r>
    </w:p>
    <w:p>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机构设置情况</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（二）一般公共预算收支决算情况说明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pPr>
        <w:spacing w:line="540" w:lineRule="exact"/>
        <w:ind w:firstLine="640" w:firstLineChars="200"/>
        <w:rPr>
          <w:rFonts w:ascii="黑体" w:hAnsi="黑体" w:eastAsia="黑体"/>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第一部分 部门单位概况</w:t>
      </w:r>
    </w:p>
    <w:p>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spacing w:line="540" w:lineRule="exact"/>
        <w:ind w:firstLine="640" w:firstLineChars="200"/>
        <w:rPr>
          <w:rFonts w:ascii="仿宋_GB2312" w:eastAsia="仿宋_GB2312"/>
          <w:sz w:val="32"/>
          <w:szCs w:val="32"/>
        </w:rPr>
      </w:pPr>
      <w:r>
        <w:rPr>
          <w:rFonts w:ascii="仿宋_GB2312" w:eastAsia="仿宋_GB2312"/>
          <w:sz w:val="32"/>
          <w:szCs w:val="32"/>
        </w:rPr>
        <w:t>（一）贯彻执行国家、自治区和乌鲁木齐市有关统计工作的 方针、政策和法律、法规；编制统计工作中长期规划和年度计划， 并组织实施。 （二）承担组织、领导和协调全县统计工作、确保统计数据 真实、准确、及时的责任。 （三）建立健全全县国民经济核算体系，组织实施国民经济 核算制度；核算全县地区生产总值，整理提供国民经济核算资料， 开展相关分析研究；组织实施全县投入产出调查。 （四）负责全县农林牧渔业、工业、交通运输、邮电、固定 资产投资、建筑业、房地产业、批发和零售业、住宿和餐饮业、 金融业的统计调查；收集、汇总、整理和提供有关调查的统计数 据并审核确认。 （五）负责能源、投资、人口、劳动力、社会发展基本情况、 环境基本状况的统计调查；收集、汇总、整理和提供有关调查的 统计数据并审核确认。 （六）负责社会保障、教育、科技、文化、卫生、旅游及城 乡建设、对外经济、服务业的统计调查；收集、汇总、整理提供 有关调查的统计数据并审核确认。 （七）组织实施人口、经济、农业等国情国力普查和重大专 项调查，汇总、整理和提供有关统计数据并审核确认。 （八）建立健全全县统计数据质量审核、监控和评估制度， 并组织实施；基本单位名录库的审核确认和最终维护；组织、指 导专业统计基础工作、统计基层业务基础建设；组织开展统计交 5 流与合作。 （九）对国民经济、社会发展、科技进步和资源环境等情况 进行统计分析和预测，向县委、县人民政府及有关部门提供统计 信息和咨询建议；向社会公众提供统计信息服务。 （十）监督检查统计法律、法规的实施，依法查处本行政区 域内发生的统计违法行为。 （十一）指导全县统计专业人才队伍建设。 （十二）承办县委、县人民政府交办的其他事项</w:t>
      </w:r>
      <w:r>
        <w:rPr>
          <w:rFonts w:hint="eastAsia" w:ascii="仿宋_GB2312" w:eastAsia="仿宋_GB2312"/>
          <w:sz w:val="32"/>
          <w:szCs w:val="32"/>
        </w:rPr>
        <w:t xml:space="preserve">。 </w:t>
      </w:r>
    </w:p>
    <w:p>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二、机构设置情况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从决算单位构成看，新疆乌鲁木齐县统计局部门决算包括：新疆乌鲁木齐县统计局部门本级决算，无下属单位决算。</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新疆乌鲁木齐县统计局编制数9个，包括行政编制4个，事业编制5个。年末实有人数8人，其中：行政在职4人，事业在职4人。</w:t>
      </w:r>
    </w:p>
    <w:p>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纳入新疆乌鲁木齐县统计局2018年部门决算编制范围的单位名单见下表</w:t>
      </w:r>
      <w:r>
        <w:rPr>
          <w:rFonts w:hint="eastAsia" w:ascii="仿宋_GB2312" w:eastAsia="仿宋_GB2312"/>
          <w:spacing w:val="-6"/>
          <w:sz w:val="32"/>
          <w:szCs w:val="32"/>
        </w:rPr>
        <w:t>：</w:t>
      </w:r>
    </w:p>
    <w:p>
      <w:pPr>
        <w:spacing w:line="500" w:lineRule="exact"/>
        <w:ind w:firstLine="616" w:firstLineChars="200"/>
        <w:rPr>
          <w:rFonts w:ascii="仿宋_GB2312" w:eastAsia="仿宋_GB2312"/>
          <w:spacing w:val="-6"/>
          <w:sz w:val="32"/>
          <w:szCs w:val="32"/>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51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rPr>
                <w:rFonts w:ascii="仿宋_GB2312" w:eastAsia="仿宋_GB2312"/>
                <w:sz w:val="32"/>
                <w:szCs w:val="32"/>
              </w:rPr>
            </w:pPr>
            <w:r>
              <w:rPr>
                <w:rFonts w:hint="eastAsia" w:ascii="仿宋_GB2312" w:eastAsia="仿宋_GB2312"/>
                <w:sz w:val="32"/>
                <w:szCs w:val="32"/>
              </w:rPr>
              <w:t>序号</w:t>
            </w:r>
          </w:p>
        </w:tc>
        <w:tc>
          <w:tcPr>
            <w:tcW w:w="7512"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单位名称</w:t>
            </w:r>
          </w:p>
        </w:tc>
        <w:tc>
          <w:tcPr>
            <w:tcW w:w="964" w:type="dxa"/>
            <w:vAlign w:val="center"/>
          </w:tcPr>
          <w:p>
            <w:pPr>
              <w:spacing w:line="500" w:lineRule="exact"/>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rPr>
                <w:rFonts w:ascii="仿宋_GB2312" w:eastAsia="仿宋_GB2312"/>
                <w:sz w:val="32"/>
                <w:szCs w:val="32"/>
              </w:rPr>
            </w:pPr>
            <w:r>
              <w:rPr>
                <w:rFonts w:hint="eastAsia" w:ascii="仿宋_GB2312" w:eastAsia="仿宋_GB2312"/>
                <w:sz w:val="32"/>
                <w:szCs w:val="32"/>
              </w:rPr>
              <w:t xml:space="preserve">  1</w:t>
            </w:r>
          </w:p>
        </w:tc>
        <w:tc>
          <w:tcPr>
            <w:tcW w:w="7512" w:type="dxa"/>
            <w:vAlign w:val="center"/>
          </w:tcPr>
          <w:p>
            <w:pPr>
              <w:spacing w:line="500" w:lineRule="exact"/>
              <w:rPr>
                <w:rFonts w:ascii="仿宋_GB2312" w:eastAsia="仿宋_GB2312"/>
                <w:sz w:val="32"/>
                <w:szCs w:val="32"/>
              </w:rPr>
            </w:pPr>
            <w:r>
              <w:rPr>
                <w:rFonts w:hint="eastAsia" w:ascii="仿宋_GB2312" w:eastAsia="仿宋_GB2312"/>
                <w:sz w:val="32"/>
                <w:szCs w:val="32"/>
              </w:rPr>
              <w:t>新疆乌鲁木齐县统计局</w:t>
            </w:r>
            <w:r>
              <w:rPr>
                <w:rFonts w:ascii="仿宋_GB2312" w:eastAsia="仿宋_GB2312"/>
                <w:sz w:val="32"/>
                <w:szCs w:val="32"/>
              </w:rPr>
              <w:t xml:space="preserve"> </w:t>
            </w:r>
          </w:p>
        </w:tc>
        <w:tc>
          <w:tcPr>
            <w:tcW w:w="964" w:type="dxa"/>
            <w:vAlign w:val="center"/>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rPr>
                <w:rFonts w:ascii="仿宋_GB2312" w:eastAsia="仿宋_GB2312"/>
                <w:sz w:val="32"/>
                <w:szCs w:val="32"/>
              </w:rPr>
            </w:pPr>
            <w:r>
              <w:rPr>
                <w:rFonts w:hint="eastAsia" w:ascii="仿宋_GB2312" w:eastAsia="仿宋_GB2312"/>
                <w:sz w:val="32"/>
                <w:szCs w:val="32"/>
              </w:rPr>
              <w:t xml:space="preserve">  2</w:t>
            </w:r>
          </w:p>
        </w:tc>
        <w:tc>
          <w:tcPr>
            <w:tcW w:w="7512" w:type="dxa"/>
            <w:vAlign w:val="center"/>
          </w:tcPr>
          <w:p>
            <w:pPr>
              <w:spacing w:line="500" w:lineRule="exact"/>
              <w:rPr>
                <w:rFonts w:ascii="仿宋_GB2312" w:eastAsia="仿宋_GB2312"/>
                <w:sz w:val="32"/>
                <w:szCs w:val="32"/>
              </w:rPr>
            </w:pPr>
          </w:p>
        </w:tc>
        <w:tc>
          <w:tcPr>
            <w:tcW w:w="964" w:type="dxa"/>
            <w:vAlign w:val="center"/>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pPr>
              <w:spacing w:line="500" w:lineRule="exact"/>
              <w:ind w:firstLine="640" w:firstLineChars="200"/>
              <w:rPr>
                <w:rFonts w:ascii="仿宋_GB2312" w:eastAsia="仿宋_GB2312"/>
                <w:sz w:val="32"/>
                <w:szCs w:val="32"/>
              </w:rPr>
            </w:pPr>
          </w:p>
        </w:tc>
        <w:tc>
          <w:tcPr>
            <w:tcW w:w="964" w:type="dxa"/>
            <w:vAlign w:val="center"/>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pPr>
              <w:spacing w:line="500" w:lineRule="exact"/>
              <w:ind w:firstLine="640" w:firstLineChars="200"/>
              <w:rPr>
                <w:rFonts w:ascii="仿宋_GB2312" w:eastAsia="仿宋_GB2312"/>
                <w:sz w:val="32"/>
                <w:szCs w:val="32"/>
              </w:rPr>
            </w:pPr>
          </w:p>
        </w:tc>
        <w:tc>
          <w:tcPr>
            <w:tcW w:w="7512" w:type="dxa"/>
            <w:vAlign w:val="center"/>
          </w:tcPr>
          <w:p>
            <w:pPr>
              <w:spacing w:line="500" w:lineRule="exact"/>
              <w:ind w:firstLine="640" w:firstLineChars="200"/>
              <w:rPr>
                <w:rFonts w:ascii="仿宋_GB2312" w:eastAsia="仿宋_GB2312"/>
                <w:sz w:val="32"/>
                <w:szCs w:val="32"/>
              </w:rPr>
            </w:pPr>
          </w:p>
        </w:tc>
        <w:tc>
          <w:tcPr>
            <w:tcW w:w="964" w:type="dxa"/>
            <w:vAlign w:val="center"/>
          </w:tcPr>
          <w:p>
            <w:pPr>
              <w:spacing w:line="500" w:lineRule="exact"/>
              <w:rPr>
                <w:rFonts w:ascii="仿宋_GB2312" w:eastAsia="仿宋_GB2312"/>
                <w:sz w:val="32"/>
                <w:szCs w:val="32"/>
              </w:rPr>
            </w:pPr>
          </w:p>
        </w:tc>
      </w:tr>
    </w:tbl>
    <w:p>
      <w:pPr>
        <w:spacing w:line="500" w:lineRule="exact"/>
        <w:ind w:firstLine="627"/>
        <w:jc w:val="center"/>
        <w:rPr>
          <w:rFonts w:ascii="仿宋_GB2312" w:hAnsi="宋体" w:eastAsia="仿宋_GB2312" w:cs="宋体"/>
          <w:kern w:val="0"/>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第二部分 部门决算情况说明</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一、部门收支总体情况</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（一）部门收入支出决算总体情况说明</w:t>
      </w:r>
    </w:p>
    <w:p>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2018年度收入271.68万元,与上年相比，增加35.75万元，增长15.15%，增减变化主要原因是：专项普查经费拨款增加；支出214.13万元,与上年相比，减少99.45万元，降低31.71%，增减变化主要原因是：事业运行经费拨款减少；结余69.73万元，与上年相比，增加57.55万元，增长472.5%。增减变化主要原因是：专项普查经费拨款增加。</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（二）部门收入总体情况说明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年收入合计271.68万元，其中：财政拨款收入257.25万元，占94.69%；上级补助收入0.00万元，占0.00%；事业收入0.00万元，占0.00%；经营收入0.00万元，占0.00%；附属单位缴款0.00万元，占0.00%；其他收入14.43万元，占5.31%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与年初预算数相比情况：本年收入年初预算数200.69万元，决算数271.68万元，预决算差异率35.37%，差异主要原因</w:t>
      </w:r>
      <w:r>
        <w:rPr>
          <w:rFonts w:ascii="仿宋_GB2312" w:eastAsia="仿宋_GB2312"/>
          <w:sz w:val="32"/>
          <w:szCs w:val="32"/>
        </w:rPr>
        <w:t>年中追加</w:t>
      </w:r>
      <w:r>
        <w:rPr>
          <w:rFonts w:hint="eastAsia" w:ascii="仿宋_GB2312" w:eastAsia="仿宋_GB2312"/>
          <w:sz w:val="32"/>
          <w:szCs w:val="32"/>
        </w:rPr>
        <w:t>人员经费及</w:t>
      </w:r>
      <w:r>
        <w:rPr>
          <w:rFonts w:ascii="仿宋_GB2312" w:eastAsia="仿宋_GB2312"/>
          <w:sz w:val="32"/>
          <w:szCs w:val="32"/>
        </w:rPr>
        <w:t>项目经费</w:t>
      </w:r>
      <w:r>
        <w:rPr>
          <w:rFonts w:hint="eastAsia" w:ascii="仿宋_GB2312" w:eastAsia="仿宋_GB2312"/>
          <w:sz w:val="32"/>
          <w:szCs w:val="32"/>
        </w:rPr>
        <w:t>，预决算存在差异。</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（三）部门支出总体情况说明</w:t>
      </w:r>
    </w:p>
    <w:p>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本年支出合计214.13万元，其中：基本支出203.36万元，占94.97%；项目支出10.77万元，占5.03%；上缴上级支出0.00万元，占0.00%；</w:t>
      </w:r>
      <w:r>
        <w:rPr>
          <w:rFonts w:hint="eastAsia" w:ascii="仿宋_GB2312" w:eastAsia="仿宋_GB2312"/>
          <w:spacing w:val="-6"/>
          <w:sz w:val="32"/>
          <w:szCs w:val="32"/>
        </w:rPr>
        <w:t>经营支出0.00万元，占0.00%；对附属单位补助支出0.00万元，占0.00%。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与年初预算数相比情况：本年支出年初预算数200.69万元，决算数214.13万元，预决算差异率6.70%，差异主要原因人员工资津贴小幅调增，预决算存在差异。</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二、部门财政拨款收支情况</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（一）财政拨款收支总体情况说明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财政拨款收入257.25万元，与上年相比，增加55.76万元，增长27.67%。增减变化的主要原因是：专项普查经费拨款增加。财政拨款支出209.81万元，与上年相比，减少34.27万元，降低14.04%，增减变化的主要原因是：事业运行经费拨款减少。其中：基本支出199.04万元，项目支出10.77万元。财政拨款结转结余59.62万元，与上年相比，增加47.44万元，增长389.5%。增减变化的主要原因是：专项普查经费拨款增加。</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与年初预算数相比情况：财政拨款收入年初预算数200.69万元，决算数257.25万元，预决算差异率28.18%，差异主要原因</w:t>
      </w:r>
      <w:r>
        <w:rPr>
          <w:rFonts w:ascii="仿宋_GB2312" w:eastAsia="仿宋_GB2312"/>
          <w:sz w:val="32"/>
          <w:szCs w:val="32"/>
        </w:rPr>
        <w:t>年中追加</w:t>
      </w:r>
      <w:r>
        <w:rPr>
          <w:rFonts w:hint="eastAsia" w:ascii="仿宋_GB2312" w:eastAsia="仿宋_GB2312"/>
          <w:sz w:val="32"/>
          <w:szCs w:val="32"/>
        </w:rPr>
        <w:t>人员经费及</w:t>
      </w:r>
      <w:r>
        <w:rPr>
          <w:rFonts w:ascii="仿宋_GB2312" w:eastAsia="仿宋_GB2312"/>
          <w:sz w:val="32"/>
          <w:szCs w:val="32"/>
        </w:rPr>
        <w:t>项目经费</w:t>
      </w:r>
      <w:r>
        <w:rPr>
          <w:rFonts w:hint="eastAsia" w:ascii="仿宋_GB2312" w:eastAsia="仿宋_GB2312"/>
          <w:sz w:val="32"/>
          <w:szCs w:val="32"/>
        </w:rPr>
        <w:t>，预决算存在差异。财政拨款支出年初预算数200.69万元，决算数209.81万元，预决算差异率4.54%，差异主要原因人员工资津贴小幅调增，预决算存在差异。</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（二）一般公共预算收支决算情况说明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收入257.25万元。与上年相比，增加55.76万元，增长27.67%。增减变化的主要原因是：专项普查经费拨款增加。一般公共预算财政拨款支出209.81万元。与上年相比，减少34.27万元，降低14.04%。增减变化的主要原因是：事业运行经费拨款减少，一人调出。其中：按功能分类科目（按类级科目公开），一般公共服务支出</w:t>
      </w:r>
      <w:r>
        <w:rPr>
          <w:rFonts w:ascii="仿宋_GB2312" w:eastAsia="仿宋_GB2312"/>
          <w:sz w:val="32"/>
          <w:szCs w:val="32"/>
        </w:rPr>
        <w:t>193.20</w:t>
      </w:r>
      <w:r>
        <w:rPr>
          <w:rFonts w:hint="eastAsia" w:ascii="仿宋_GB2312" w:eastAsia="仿宋_GB2312"/>
          <w:sz w:val="32"/>
          <w:szCs w:val="32"/>
        </w:rPr>
        <w:t>万元，社会保障和就业支出</w:t>
      </w:r>
      <w:r>
        <w:rPr>
          <w:rFonts w:ascii="仿宋_GB2312" w:eastAsia="仿宋_GB2312"/>
          <w:sz w:val="32"/>
          <w:szCs w:val="32"/>
        </w:rPr>
        <w:t>16.61</w:t>
      </w:r>
      <w:r>
        <w:rPr>
          <w:rFonts w:hint="eastAsia" w:ascii="仿宋_GB2312" w:eastAsia="仿宋_GB2312"/>
          <w:sz w:val="32"/>
          <w:szCs w:val="32"/>
        </w:rPr>
        <w:t>万元。按经济分类科目（按类级科目公开），工资福利支出156.39万元，商品和服务支出17.66万元，对个人和家庭的支出30.20万元，资本性支出5.56万元。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与年初预算数相比情况：一般公共预算财政拨款收入年初预算数200.69万元，决算数257.25万元，预决算差异率28.18%，差异主要原因</w:t>
      </w:r>
      <w:r>
        <w:rPr>
          <w:rFonts w:ascii="仿宋_GB2312" w:eastAsia="仿宋_GB2312"/>
          <w:sz w:val="32"/>
          <w:szCs w:val="32"/>
        </w:rPr>
        <w:t>年中追加</w:t>
      </w:r>
      <w:r>
        <w:rPr>
          <w:rFonts w:hint="eastAsia" w:ascii="仿宋_GB2312" w:eastAsia="仿宋_GB2312"/>
          <w:sz w:val="32"/>
          <w:szCs w:val="32"/>
        </w:rPr>
        <w:t>人员经费及</w:t>
      </w:r>
      <w:r>
        <w:rPr>
          <w:rFonts w:ascii="仿宋_GB2312" w:eastAsia="仿宋_GB2312"/>
          <w:sz w:val="32"/>
          <w:szCs w:val="32"/>
        </w:rPr>
        <w:t>项目经费</w:t>
      </w:r>
      <w:r>
        <w:rPr>
          <w:rFonts w:hint="eastAsia" w:ascii="仿宋_GB2312" w:eastAsia="仿宋_GB2312"/>
          <w:sz w:val="32"/>
          <w:szCs w:val="32"/>
        </w:rPr>
        <w:t>，预决算存在差异。一般公共预算财政拨款支出年初预算数200.69万元，决算数209.81万元，预决算差异率4.54%，差异主要原因人员工资津贴小幅调增，预决算存在差异。</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（三）政府性基金预算收支决算情况说明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收入0.00万元，与上年相比，增加0.0万元，增加0%。增减变化的主要原因是：本单位无政府性基金预算收入。政府性基金预算支出0.00万元。与上年相比，减少0万元，降低0%。增减变化的主要原因是：本单位无政府性基金预算支出。其中：按功能分类科目（按类级科目公开），0支出0万元。按经济分类科目（按类级科目公开），0支出0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政府性基金预算财政拨款收入年初预算数0.00万元，决算数0.00万元，预决算差异率0.00%，差异主要原因本单位无政府性基金预算收入。政府性基金预算财政拨款支出年初预算数0.00万元，决算数0.00万元，预决算差异率0.00%，差异主要原因本单位无政府性基金预算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三、部门结转结余情况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年末结转结余69.73万元。与上年相比，增加57.55万元，增长472.5%。</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其中财政拨款结转结余59.62万元。与上年相比，增加47.44万元，增长389.5%。</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四、一般公共预算“三公”经费支出情况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2018年度一般公共预算“三公”经费支出决算7.90万元，比上年减少0万元，降低0%，减少原因是</w:t>
      </w:r>
      <w:r>
        <w:rPr>
          <w:rFonts w:hint="eastAsia" w:ascii="仿宋_GB2312" w:eastAsia="仿宋_GB2312"/>
          <w:sz w:val="32"/>
          <w:szCs w:val="32"/>
          <w:lang w:eastAsia="zh-CN"/>
        </w:rPr>
        <w:t>与上年一致，无变化</w:t>
      </w:r>
      <w:r>
        <w:rPr>
          <w:rFonts w:hint="eastAsia" w:ascii="仿宋_GB2312" w:eastAsia="仿宋_GB2312"/>
          <w:sz w:val="32"/>
          <w:szCs w:val="32"/>
        </w:rPr>
        <w:t>。其中，因公出国（境）费支出0.00万元，占0.00%，比上年增加0.0万元，增加0%，增加原因是本单位无“三公”经费支出；公务用车购置及运行维护费支出</w:t>
      </w:r>
      <w:r>
        <w:rPr>
          <w:rFonts w:hint="eastAsia" w:ascii="仿宋_GB2312" w:eastAsia="仿宋_GB2312"/>
          <w:sz w:val="32"/>
          <w:szCs w:val="32"/>
          <w:lang w:val="en-US" w:eastAsia="zh-CN"/>
        </w:rPr>
        <w:t>7.9</w:t>
      </w:r>
      <w:r>
        <w:rPr>
          <w:rFonts w:hint="eastAsia" w:ascii="仿宋_GB2312" w:eastAsia="仿宋_GB2312"/>
          <w:sz w:val="32"/>
          <w:szCs w:val="32"/>
        </w:rPr>
        <w:t>万元，占</w:t>
      </w:r>
      <w:r>
        <w:rPr>
          <w:rFonts w:hint="eastAsia" w:ascii="仿宋_GB2312" w:eastAsia="仿宋_GB2312"/>
          <w:sz w:val="32"/>
          <w:szCs w:val="32"/>
          <w:lang w:val="en-US" w:eastAsia="zh-CN"/>
        </w:rPr>
        <w:t>10</w:t>
      </w:r>
      <w:r>
        <w:rPr>
          <w:rFonts w:hint="eastAsia" w:ascii="仿宋_GB2312" w:eastAsia="仿宋_GB2312"/>
          <w:sz w:val="32"/>
          <w:szCs w:val="32"/>
        </w:rPr>
        <w:t>0.00%，比上年减少0万元，降低0%，减少原因是</w:t>
      </w:r>
      <w:r>
        <w:rPr>
          <w:rFonts w:hint="eastAsia" w:ascii="仿宋_GB2312" w:eastAsia="仿宋_GB2312"/>
          <w:sz w:val="32"/>
          <w:szCs w:val="32"/>
          <w:lang w:eastAsia="zh-CN"/>
        </w:rPr>
        <w:t>与上年一致，无变化</w:t>
      </w:r>
      <w:r>
        <w:rPr>
          <w:rFonts w:hint="eastAsia" w:ascii="仿宋_GB2312" w:eastAsia="仿宋_GB2312"/>
          <w:sz w:val="32"/>
          <w:szCs w:val="32"/>
        </w:rPr>
        <w:t>；公务接待费支出0.00万元，占0.00%，比上年降低0.0万元，降低0%，减少原因是本单位无公务接待费支出。具体情况如下：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因公出国（境）费支出0.00万元。乌鲁木齐县统计局全年使用一般公共预算财政拨款安排的出国（境）团组0个，累计0人次。开支内容包括：本单位无因公出国（境）费。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公务用车购置及运行维护费7.90万元,其中，公务用车购置0.00万元，公务用车运行维护费7.90万元。主要用于车辆燃油费、维修费等。单位一般公共财政拨款安排的公务用车购置量0辆，保有量为2辆。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公务接待费0.00万元。具体是：国内公务接待支出0.00万元，主要是无公务接待费等。新疆乌鲁木齐县统计局国内公务接待0批次，0人次。</w:t>
      </w:r>
    </w:p>
    <w:p>
      <w:pPr>
        <w:spacing w:line="5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与年初预算数相比情况：一般公共预算“三公”经费支出年初预算数8.40万元，决算数7.90万元，预决算差异率-5.95%，差异主要原因厉行节约，压减支出。</w:t>
      </w:r>
      <w:r>
        <w:rPr>
          <w:rFonts w:hint="eastAsia" w:ascii="仿宋_GB2312" w:hAnsi="宋体" w:eastAsia="仿宋_GB2312" w:cs="宋体"/>
          <w:kern w:val="0"/>
          <w:sz w:val="32"/>
          <w:szCs w:val="32"/>
        </w:rPr>
        <w:t>其中：因公出国（境）费</w:t>
      </w:r>
      <w:r>
        <w:rPr>
          <w:rFonts w:hint="eastAsia" w:ascii="仿宋_GB2312" w:eastAsia="仿宋_GB2312"/>
          <w:sz w:val="32"/>
          <w:szCs w:val="32"/>
        </w:rPr>
        <w:t>预算数0.00万元，决算数0.00万元，预决算差异率0.00%，差异主要原因无</w:t>
      </w:r>
      <w:r>
        <w:rPr>
          <w:rFonts w:hint="eastAsia" w:ascii="仿宋_GB2312" w:hAnsi="宋体" w:eastAsia="仿宋_GB2312" w:cs="宋体"/>
          <w:kern w:val="0"/>
          <w:sz w:val="32"/>
          <w:szCs w:val="32"/>
        </w:rPr>
        <w:t>因公出国（境）费</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预算数0万元，决算数0.00万元，预决算差异率0.00%，差异主要原因无</w:t>
      </w:r>
      <w:r>
        <w:rPr>
          <w:rFonts w:hint="eastAsia" w:ascii="仿宋_GB2312" w:hAnsi="宋体" w:eastAsia="仿宋_GB2312" w:cs="宋体"/>
          <w:kern w:val="0"/>
          <w:sz w:val="32"/>
          <w:szCs w:val="32"/>
        </w:rPr>
        <w:t>公务用车购置</w:t>
      </w:r>
      <w:r>
        <w:rPr>
          <w:rFonts w:hint="eastAsia" w:ascii="仿宋_GB2312" w:eastAsia="仿宋_GB2312"/>
          <w:sz w:val="32"/>
          <w:szCs w:val="32"/>
        </w:rPr>
        <w:t>；</w:t>
      </w:r>
      <w:r>
        <w:rPr>
          <w:rFonts w:hint="eastAsia" w:ascii="仿宋_GB2312" w:hAnsi="宋体" w:eastAsia="仿宋_GB2312" w:cs="宋体"/>
          <w:kern w:val="0"/>
          <w:sz w:val="32"/>
          <w:szCs w:val="32"/>
        </w:rPr>
        <w:t>公务用车运行费</w:t>
      </w:r>
      <w:r>
        <w:rPr>
          <w:rFonts w:hint="eastAsia" w:ascii="仿宋_GB2312" w:eastAsia="仿宋_GB2312"/>
          <w:sz w:val="32"/>
          <w:szCs w:val="32"/>
        </w:rPr>
        <w:t>预算数7.90万元，决算数7.90万元，预决算差异率0.00%，差异主要原因预决算无差异；</w:t>
      </w:r>
      <w:r>
        <w:rPr>
          <w:rFonts w:hint="eastAsia" w:ascii="仿宋_GB2312" w:hAnsi="宋体" w:eastAsia="仿宋_GB2312" w:cs="宋体"/>
          <w:kern w:val="0"/>
          <w:sz w:val="32"/>
          <w:szCs w:val="32"/>
        </w:rPr>
        <w:t>公务接待费</w:t>
      </w:r>
      <w:r>
        <w:rPr>
          <w:rFonts w:hint="eastAsia" w:ascii="仿宋_GB2312" w:eastAsia="仿宋_GB2312"/>
          <w:sz w:val="32"/>
          <w:szCs w:val="32"/>
        </w:rPr>
        <w:t>预算数0.50万元，决算数0.00万元，预决算差异率-100.00%，差异主要原因厉行节约，压减支出。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五、机关运行经费支出情况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2018年度新疆乌鲁木齐县统计局（行政单位和参照公务员法管理事业单位）机关运行经费支出17.52万元，比上年减少32.59万元，降低65.03%，主要原因是事业运行拨款减少。</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六、政府采购情况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2018年度政府采购支出总额10.34万元，其中：政府采购货物支出9.56万元、政府采购工程支出0.00万元、政府采购服务支出0.78万元。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七、其他重要事项的情况</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（一）国有资产占用情况说明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截至2018年12月31日，单位共有车辆2辆，价值36.90万元，其中：副部（省）级及以上领导用车0辆、主要领导干部用车1辆、机要通信用车0辆、应急保障用车0辆、执法执勤用车0辆、特种专业技术用车0辆、离退休干部用车0辆、其他用车1辆，其他用车主要是：</w:t>
      </w:r>
      <w:r>
        <w:rPr>
          <w:rFonts w:hint="eastAsia" w:ascii="仿宋_GB2312" w:eastAsia="仿宋_GB2312"/>
          <w:sz w:val="32"/>
          <w:szCs w:val="32"/>
          <w:lang w:eastAsia="zh-CN"/>
        </w:rPr>
        <w:t>一般公务</w:t>
      </w:r>
      <w:r>
        <w:rPr>
          <w:rFonts w:hint="eastAsia" w:ascii="仿宋_GB2312" w:eastAsia="仿宋_GB2312"/>
          <w:sz w:val="32"/>
          <w:szCs w:val="32"/>
        </w:rPr>
        <w:t>用车；单位价值50万元以上通用设备0台（套）、单位价值100万元以上专用设备0台（套）。</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（二）预算绩效情况的说明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2018年度，本部门单位预算绩效自评情况：自述有关预算绩效管理和绩效自评开展情况。</w:t>
      </w:r>
    </w:p>
    <w:p>
      <w:pPr>
        <w:widowControl/>
        <w:jc w:val="left"/>
        <w:rPr>
          <w:rFonts w:ascii="仿宋_GB2312" w:eastAsia="仿宋_GB2312"/>
          <w:sz w:val="32"/>
          <w:szCs w:val="32"/>
        </w:rPr>
      </w:pPr>
      <w:r>
        <w:rPr>
          <w:rFonts w:hint="eastAsia" w:ascii="仿宋_GB2312" w:eastAsia="仿宋_GB2312"/>
          <w:sz w:val="32"/>
          <w:szCs w:val="32"/>
        </w:rPr>
        <w:t>专业统计报表铅印项目绩效自评综述：根据年初设定的绩效目标，专业统计报表铅印项目绩效自评得分为91分。项目全年预算数为3万元，执行数为0.14万元，完成预算的4.66%。主要产出和效果：因为统计年报都是在本年度年底和次年年初组织培训，需要印制统计各专业报表和制度分发给需要上报的部门和统计员，所以年报工作还没有完全进行完毕，所以印制报表最终一致支出经费。现的问题及原因：每年专业统计报表铅印都是按照政府采购、财政审核、统计验收的过程进行铅印和支付，从资金安排、使用过程中的经验、做法等方面统计局均参照上级的规定操作进行统计报表和制度的铅印。下一步改进措施：根据全年统计年报和各类统计报表上报工作的完成情况，及时办理政府采购并支付专业统计报表铅印项目资金。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1038"/>
        <w:gridCol w:w="1902"/>
        <w:gridCol w:w="1780"/>
      </w:tblGrid>
      <w:tr>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1038" w:type="dxa"/>
            <w:tcBorders>
              <w:top w:val="nil"/>
              <w:left w:val="nil"/>
              <w:bottom w:val="nil"/>
              <w:right w:val="nil"/>
            </w:tcBorders>
            <w:vAlign w:val="center"/>
          </w:tcPr>
          <w:p>
            <w:pPr>
              <w:widowControl/>
              <w:jc w:val="center"/>
              <w:rPr>
                <w:rFonts w:ascii="宋体" w:cs="宋体"/>
                <w:kern w:val="0"/>
                <w:sz w:val="24"/>
              </w:rPr>
            </w:pPr>
          </w:p>
        </w:tc>
        <w:tc>
          <w:tcPr>
            <w:tcW w:w="1902"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专业统计报表铅印费　</w:t>
            </w:r>
          </w:p>
        </w:tc>
      </w:tr>
      <w:tr>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乌鲁木齐县统计局　</w:t>
            </w:r>
          </w:p>
        </w:tc>
      </w:tr>
      <w:tr>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2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3　</w:t>
            </w:r>
          </w:p>
        </w:tc>
        <w:tc>
          <w:tcPr>
            <w:tcW w:w="190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0.14　</w:t>
            </w:r>
          </w:p>
        </w:tc>
      </w:tr>
      <w:tr>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2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3</w:t>
            </w:r>
          </w:p>
        </w:tc>
        <w:tc>
          <w:tcPr>
            <w:tcW w:w="1902"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0.14　</w:t>
            </w:r>
          </w:p>
        </w:tc>
      </w:tr>
      <w:tr>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2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902"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61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68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618" w:type="dxa"/>
            <w:gridSpan w:val="4"/>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hAnsi="宋体" w:cs="宋体"/>
                <w:kern w:val="0"/>
                <w:sz w:val="15"/>
                <w:szCs w:val="15"/>
              </w:rPr>
              <w:t>　</w:t>
            </w:r>
            <w:r>
              <w:rPr>
                <w:rFonts w:hint="eastAsia" w:ascii="宋体" w:hAnsi="宋体" w:cs="宋体"/>
                <w:kern w:val="0"/>
                <w:sz w:val="16"/>
                <w:szCs w:val="16"/>
              </w:rPr>
              <w:t xml:space="preserve"> 全年统计各专业的各类培训，尤其是年报培训期间，由各专业负责的干部根据培训人数等情况，上报统计局需要印制多少份、表样儿、是否需要翻译的专业统计报表和制度进行编辑、加工，使其符合出版规范，并进行排版、铅印。年报时间一般在当年十二月和次年第一季度进行。完成时间1-12月</w:t>
            </w:r>
          </w:p>
        </w:tc>
        <w:tc>
          <w:tcPr>
            <w:tcW w:w="3682" w:type="dxa"/>
            <w:gridSpan w:val="2"/>
            <w:tcBorders>
              <w:top w:val="single" w:color="auto" w:sz="4" w:space="0"/>
              <w:left w:val="nil"/>
              <w:bottom w:val="single" w:color="auto" w:sz="4" w:space="0"/>
              <w:right w:val="single" w:color="000000" w:sz="4" w:space="0"/>
            </w:tcBorders>
          </w:tcPr>
          <w:p>
            <w:pPr>
              <w:widowControl/>
              <w:jc w:val="left"/>
              <w:rPr>
                <w:rFonts w:ascii="宋体" w:hAnsi="宋体" w:cs="宋体"/>
                <w:kern w:val="0"/>
                <w:sz w:val="15"/>
                <w:szCs w:val="15"/>
              </w:rPr>
            </w:pPr>
            <w:r>
              <w:rPr>
                <w:rFonts w:hint="eastAsia" w:ascii="宋体" w:hAnsi="宋体" w:cs="宋体"/>
                <w:kern w:val="0"/>
                <w:sz w:val="15"/>
                <w:szCs w:val="15"/>
              </w:rPr>
              <w:t>因为统计年报都是在本年度年底和次年年初组织培训，需要印制统计各专业报表和制度分发给需要上报的部门和统计员，所以年报工作还没有完全进行完毕，所以印制报表最终一致支出经费。</w:t>
            </w:r>
          </w:p>
          <w:p>
            <w:pPr>
              <w:widowControl/>
              <w:jc w:val="left"/>
              <w:rPr>
                <w:rFonts w:ascii="宋体" w:cs="宋体"/>
                <w:kern w:val="0"/>
                <w:sz w:val="20"/>
                <w:szCs w:val="20"/>
              </w:rPr>
            </w:pPr>
          </w:p>
        </w:tc>
      </w:tr>
      <w:tr>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211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1902"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数量指标</w:t>
            </w:r>
          </w:p>
        </w:tc>
        <w:tc>
          <w:tcPr>
            <w:tcW w:w="211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：统计报表制度</w:t>
            </w:r>
          </w:p>
        </w:tc>
        <w:tc>
          <w:tcPr>
            <w:tcW w:w="190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500册</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因为统计年报在年底和次年年初，所以还没有印制</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11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：年报专业报表和培训资料</w:t>
            </w:r>
          </w:p>
        </w:tc>
        <w:tc>
          <w:tcPr>
            <w:tcW w:w="190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5000份</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因为统计报表在年底和次年年初，所以没有印制</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211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：发放率</w:t>
            </w:r>
          </w:p>
        </w:tc>
        <w:tc>
          <w:tcPr>
            <w:tcW w:w="190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≥99%</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待印制完毕全部发放到位</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211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：项目完成时间</w:t>
            </w:r>
          </w:p>
        </w:tc>
        <w:tc>
          <w:tcPr>
            <w:tcW w:w="190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年报完成工作</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2019年上半年前印制、付款完毕</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成本指标</w:t>
            </w:r>
          </w:p>
        </w:tc>
        <w:tc>
          <w:tcPr>
            <w:tcW w:w="211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：统计专业报表制度（带翻译）</w:t>
            </w:r>
          </w:p>
        </w:tc>
        <w:tc>
          <w:tcPr>
            <w:tcW w:w="190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每本40元</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采购印制完毕确定金额</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11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：年报培训和专业报表（带翻译）</w:t>
            </w:r>
          </w:p>
        </w:tc>
        <w:tc>
          <w:tcPr>
            <w:tcW w:w="190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每份2元</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采购印制完毕确定金额</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11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：保证各统计专业上报人员学习用书</w:t>
            </w:r>
          </w:p>
        </w:tc>
        <w:tc>
          <w:tcPr>
            <w:tcW w:w="190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≥99%</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待报表上报、年报时间确定</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211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：统计员和上报统计数据人员</w:t>
            </w:r>
          </w:p>
        </w:tc>
        <w:tc>
          <w:tcPr>
            <w:tcW w:w="1902"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≥99%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统计员学习后确定结果</w:t>
            </w:r>
          </w:p>
        </w:tc>
      </w:tr>
    </w:tbl>
    <w:p>
      <w:pPr>
        <w:widowControl/>
        <w:jc w:val="lef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四次全国经济普查项目经费项目绩效自评综述：根据年初设定的绩效目标，第四次全国经济普查项目经费项目绩效自评得分为91分。项目全年预算数为53万元，执行数为10.6346万元，完成预算的20.06%。主要产出和效果：2018.12.30顺利完成的清查摸底阶段并通过上级部门验收。发现的问题及原因：我县第四次经济普查开展过程中，</w:t>
      </w:r>
      <w:r>
        <w:rPr>
          <w:rFonts w:hint="eastAsia" w:ascii="仿宋_GB2312" w:eastAsia="仿宋_GB2312"/>
          <w:sz w:val="32"/>
          <w:szCs w:val="32"/>
          <w:lang w:eastAsia="zh-CN"/>
        </w:rPr>
        <w:t>截至目前</w:t>
      </w:r>
      <w:r>
        <w:rPr>
          <w:rFonts w:hint="eastAsia" w:ascii="仿宋_GB2312" w:eastAsia="仿宋_GB2312"/>
          <w:sz w:val="32"/>
          <w:szCs w:val="32"/>
        </w:rPr>
        <w:t>就是希望在“两员”补助上希望上级或本级能够出一个发放依据的文件，便于在此项工作结束前可以将补助资金按照要求发放给普查指导员、普查员。在普查经费的使用上我们严格按照自治区、市上对普查工作经费支出的标准进行支出。下一步改进措施：项目资金按照项目的开展进度进行支付，主要支出范围是第四次经济普查工作需要购置的设备、日常普查摸底开展的车辆经费、每次组织乡镇、管委会前来参会、培训的就餐等。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第四次全国经济普查项目　</w:t>
            </w:r>
          </w:p>
        </w:tc>
      </w:tr>
      <w:tr>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乌鲁木齐县统计局　</w:t>
            </w:r>
          </w:p>
        </w:tc>
      </w:tr>
      <w:tr>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53　</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10．6346　</w:t>
            </w:r>
          </w:p>
        </w:tc>
      </w:tr>
      <w:tr>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53　</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10．6346　</w:t>
            </w:r>
          </w:p>
        </w:tc>
      </w:tr>
      <w:tr>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0　</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　</w:t>
            </w:r>
          </w:p>
        </w:tc>
      </w:tr>
      <w:tr>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3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cs="宋体"/>
                <w:kern w:val="0"/>
                <w:sz w:val="20"/>
                <w:szCs w:val="20"/>
              </w:rPr>
              <w:t>2018.12.30需要完成的目标是清查摸底阶段顺利通过上级部门验收</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cs="宋体"/>
                <w:kern w:val="0"/>
                <w:sz w:val="20"/>
                <w:szCs w:val="20"/>
              </w:rPr>
              <w:t>2018.12.30顺利完成的清查摸底阶段并通过上级部门验收</w:t>
            </w:r>
          </w:p>
        </w:tc>
      </w:tr>
      <w:tr>
        <w:tblPrEx>
          <w:tblCellMar>
            <w:top w:w="0" w:type="dxa"/>
            <w:left w:w="108" w:type="dxa"/>
            <w:bottom w:w="0" w:type="dxa"/>
            <w:right w:w="108" w:type="dxa"/>
          </w:tblCellMar>
        </w:tblPrEx>
        <w:trPr>
          <w:trHeight w:val="781"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：所有2、3产业</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摸底登记所有2、3产业</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全部完成摸底登记</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：清查率</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完成100%</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实际完成100%</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：清查摸底完成时间</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预期完成时间2018.12.30</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实际完成时间2018.12.25</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：摸底阶段</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完成宣传、摸底、数据处理是整个过程的四分之一</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实际按照进度支付经费</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：2、3产业发展规模和布局</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完成清查摸底阶段的任务</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已经完成清查摸底全过程</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：五年一次经济普查</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取数精准、100%摸底</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100%摸底，通过数据验收</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：上级部门验收满意</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达到满意度100%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完成满意度百分率</w:t>
            </w:r>
          </w:p>
        </w:tc>
      </w:tr>
    </w:tbl>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县级领导订阅统计资料项目绩效自评综述：根据年初设定的绩效目标，县级领导订阅统计资料项目绩效自评得分为88分。项目全年预算数为1.5万元，执行数为0万元，完成预算的0%。主要产出和效果：未收到上级统计部门安排部署，未做征订。发现的问题及原因：如果此项专项工作需要执行，请上级或者本级领导下达相关文件我们遵照执行。下一步改进措施：如果上级没有文件下达任务和标准，我单位不会做明确执行此项工作。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县级领导订阅统计资料项目　</w:t>
            </w:r>
          </w:p>
        </w:tc>
      </w:tr>
      <w:tr>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乌鲁木齐县统计局　</w:t>
            </w:r>
          </w:p>
        </w:tc>
      </w:tr>
      <w:tr>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1.5　</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　</w:t>
            </w:r>
          </w:p>
        </w:tc>
      </w:tr>
      <w:tr>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1.5</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　</w:t>
            </w:r>
          </w:p>
        </w:tc>
      </w:tr>
      <w:tr>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2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hAnsi="宋体" w:cs="宋体"/>
                <w:kern w:val="0"/>
                <w:sz w:val="20"/>
                <w:szCs w:val="20"/>
              </w:rPr>
              <w:t>　按照上级统计要求完成资料订阅</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cs="宋体"/>
                <w:kern w:val="0"/>
                <w:sz w:val="20"/>
                <w:szCs w:val="20"/>
              </w:rPr>
              <w:t>未收到上级统计部门安排部署，未做征订</w:t>
            </w:r>
          </w:p>
        </w:tc>
      </w:tr>
      <w:tr>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：按照上级要求征订</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上级下发文件时间执行</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本年度未征订</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：根据当年征订文件</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当年征订文件要求</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本年度未征订</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：领导参考数据指标</w:t>
            </w:r>
          </w:p>
        </w:tc>
        <w:tc>
          <w:tcPr>
            <w:tcW w:w="2060" w:type="dxa"/>
            <w:tcBorders>
              <w:top w:val="nil"/>
              <w:left w:val="nil"/>
              <w:bottom w:val="single" w:color="auto" w:sz="4" w:space="0"/>
              <w:right w:val="single" w:color="auto" w:sz="4" w:space="0"/>
            </w:tcBorders>
            <w:vAlign w:val="center"/>
          </w:tcPr>
          <w:p>
            <w:pPr>
              <w:widowControl/>
              <w:tabs>
                <w:tab w:val="left" w:pos="545"/>
              </w:tabs>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rPr>
              <w:tab/>
            </w:r>
            <w:r>
              <w:rPr>
                <w:rFonts w:hint="eastAsia" w:ascii="宋体" w:hAnsi="宋体" w:cs="宋体"/>
                <w:kern w:val="0"/>
                <w:sz w:val="20"/>
                <w:szCs w:val="20"/>
              </w:rPr>
              <w:t>县级领导可以参考数据指标了解我县经济状况</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本年度未征订</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：发挥统计资料查阅作用，使县级领导掌握权自治区各区县经济发展情况</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达到满意度98%</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本年度未征订</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本年度未征订</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：县级领导</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达到满意度100%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本年度未征订</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：统计局领导</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达到满意度100%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本年度未征订</w:t>
            </w:r>
          </w:p>
        </w:tc>
      </w:tr>
    </w:tbl>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网络服务费项目绩效自评综述：根据年初设定的绩效目标，网络服务费项目绩效自评得分为93分。项目全年预算数为1.5万元，执行数为0万元，完成预算的0%。主要产出和效果：统计专网正常，确保了全年各类统计月报、季报、年报、县卡按时如期上报上级部门。发现的问题及原因：根据市级对统计专网维护的要求进行签订维护公司保障统计专网正常运行.下一步改进措施：根据2018年网络维护公司对统计专网的维护登记记录实际情况，后续经采购办审核后方支付经费。。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网络服务费项目　</w:t>
            </w:r>
          </w:p>
        </w:tc>
      </w:tr>
      <w:tr>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乌鲁木齐县统计局　</w:t>
            </w:r>
          </w:p>
        </w:tc>
      </w:tr>
      <w:tr>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1.5</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　</w:t>
            </w:r>
          </w:p>
        </w:tc>
      </w:tr>
      <w:tr>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1.5　</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　</w:t>
            </w:r>
          </w:p>
        </w:tc>
      </w:tr>
      <w:tr>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0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hAnsi="宋体" w:cs="宋体"/>
                <w:kern w:val="0"/>
                <w:sz w:val="20"/>
                <w:szCs w:val="20"/>
              </w:rPr>
              <w:t>　保证统计专网畅通，确保全年各类统计月报、季报、年报、县卡按时如期上报上级部门</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cs="宋体"/>
                <w:kern w:val="0"/>
                <w:sz w:val="20"/>
                <w:szCs w:val="20"/>
              </w:rPr>
              <w:t>统计专网正常，确保了</w:t>
            </w:r>
            <w:r>
              <w:rPr>
                <w:rFonts w:hint="eastAsia" w:ascii="宋体" w:hAnsi="宋体" w:cs="宋体"/>
                <w:kern w:val="0"/>
                <w:sz w:val="20"/>
                <w:szCs w:val="20"/>
              </w:rPr>
              <w:t>全年各类统计月报、季报、年报、县卡按时如期上报上级部门</w:t>
            </w:r>
          </w:p>
        </w:tc>
      </w:tr>
      <w:tr>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：专网运行正常</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不断网、不影响统计报表上报</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网未断、未影响统计报表上报</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：项目完成时间</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2018.12.31</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项目在执行，款项未付</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：保证统计数据上报上级</w:t>
            </w:r>
          </w:p>
        </w:tc>
        <w:tc>
          <w:tcPr>
            <w:tcW w:w="206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　≥100%</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日常专网网络畅通，未影响报表进度</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：保证全市统计数据如期汇总</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≥100%</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日常专网网络畅通，未影响报表进度</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：月报、季报、年报、县卡数据常年提取</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≥100%</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日常专网网络畅通，提取历年数据正常</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：市级统计部门</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≥99%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日常专网网络畅通，上级部门满意</w:t>
            </w:r>
          </w:p>
        </w:tc>
      </w:tr>
    </w:tbl>
    <w:p>
      <w:pPr>
        <w:spacing w:line="540" w:lineRule="exact"/>
        <w:ind w:firstLine="640" w:firstLineChars="200"/>
        <w:rPr>
          <w:rFonts w:ascii="仿宋_GB2312" w:eastAsia="仿宋_GB2312"/>
          <w:sz w:val="32"/>
          <w:szCs w:val="32"/>
        </w:rPr>
      </w:pPr>
    </w:p>
    <w:p>
      <w:pPr>
        <w:spacing w:line="540" w:lineRule="exact"/>
        <w:ind w:firstLine="579" w:firstLineChars="181"/>
        <w:rPr>
          <w:rFonts w:ascii="仿宋_GB2312" w:eastAsia="仿宋_GB2312"/>
          <w:sz w:val="32"/>
          <w:szCs w:val="32"/>
        </w:rPr>
      </w:pPr>
      <w:r>
        <w:rPr>
          <w:rFonts w:hint="eastAsia" w:ascii="仿宋_GB2312" w:eastAsia="仿宋_GB2312"/>
          <w:sz w:val="32"/>
          <w:szCs w:val="32"/>
        </w:rPr>
        <w:t>统计年鉴领导干部手册铅印费项目绩效自评综述：根据年初设定的绩效目标，统计年鉴领导干部手册铅印费项目绩效自评得分为92分。项目全年预算数为4万元，执行数为0万元，完成预算的0%。主要产出和效果：因为上级部门要对近十年农业数据做调整，所以一直未核定下发2017年农业数据导致缺少2017年农业年报数据，所以未能印制2017年统计年鉴，待上级部门一经核定，迅速安排印制工作。发现的问题及原因：每年印制统计年鉴都是按照大本、小本两种排版印制，大本存档、查阅方便，小本适合随身携带，更方便查阅数据。从资金安排、使用过程中的经验、做法等方面我们均参照市统计局的规范进行年鉴印制，希望在上级部门核定历年数据能够及时，这样就不会因为印制较晚而耽误数据查阅的实效性。下一步改进措施：根据市统计局认定后的数据反馈及时进行政府采购申请并经审核后迅速展开印制统计年鉴工作。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657"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spacing w:line="700" w:lineRule="exact"/>
              <w:jc w:val="left"/>
              <w:rPr>
                <w:rFonts w:ascii="宋体" w:hAnsi="宋体" w:cs="宋体"/>
                <w:kern w:val="0"/>
                <w:sz w:val="20"/>
                <w:szCs w:val="20"/>
              </w:rPr>
            </w:pPr>
            <w:r>
              <w:rPr>
                <w:rFonts w:hint="eastAsia" w:ascii="宋体" w:hAnsi="宋体" w:cs="宋体"/>
                <w:kern w:val="0"/>
                <w:sz w:val="20"/>
                <w:szCs w:val="20"/>
              </w:rPr>
              <w:t>统计年鉴领导干部手册铅印项目</w:t>
            </w:r>
          </w:p>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乌鲁木齐县统计局　</w:t>
            </w:r>
          </w:p>
        </w:tc>
      </w:tr>
      <w:tr>
        <w:tblPrEx>
          <w:tblCellMar>
            <w:top w:w="0" w:type="dxa"/>
            <w:left w:w="108" w:type="dxa"/>
            <w:bottom w:w="0" w:type="dxa"/>
            <w:right w:w="108" w:type="dxa"/>
          </w:tblCellMar>
        </w:tblPrEx>
        <w:trPr>
          <w:trHeight w:val="34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4</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　</w:t>
            </w:r>
          </w:p>
        </w:tc>
      </w:tr>
      <w:tr>
        <w:tblPrEx>
          <w:tblCellMar>
            <w:top w:w="0" w:type="dxa"/>
            <w:left w:w="108" w:type="dxa"/>
            <w:bottom w:w="0" w:type="dxa"/>
            <w:right w:w="108" w:type="dxa"/>
          </w:tblCellMar>
        </w:tblPrEx>
        <w:trPr>
          <w:trHeight w:val="36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4　</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0　</w:t>
            </w:r>
          </w:p>
        </w:tc>
      </w:tr>
      <w:tr>
        <w:tblPrEx>
          <w:tblCellMar>
            <w:top w:w="0" w:type="dxa"/>
            <w:left w:w="108" w:type="dxa"/>
            <w:bottom w:w="0" w:type="dxa"/>
            <w:right w:w="108" w:type="dxa"/>
          </w:tblCellMar>
        </w:tblPrEx>
        <w:trPr>
          <w:trHeight w:val="481"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hAnsi="宋体" w:cs="宋体"/>
                <w:kern w:val="0"/>
                <w:sz w:val="20"/>
                <w:szCs w:val="20"/>
              </w:rPr>
              <w:t>　统计年鉴排版铅印项目主要是为满足各级领导和有关部门了解分析乌鲁木齐县2018年各个专业数据的需要。稿件收集完成后由统计局各责任编辑对稿件进行编辑、加工，使其符合出版规范，并进行排版。数据收集完成时间9月前。之后报上级业务主管部门审核。12月前报出版社进行三审三校，12月前印刷。</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hAnsi="宋体" w:cs="宋体"/>
                <w:kern w:val="0"/>
                <w:sz w:val="20"/>
                <w:szCs w:val="20"/>
              </w:rPr>
            </w:pPr>
            <w:r>
              <w:rPr>
                <w:rFonts w:hint="eastAsia" w:ascii="宋体" w:hAnsi="宋体" w:cs="宋体"/>
                <w:kern w:val="0"/>
                <w:sz w:val="20"/>
                <w:szCs w:val="20"/>
              </w:rPr>
              <w:t>因为上级部门要对近十年农业数据做调整，所以一直未核定下发2017年农业数据导致缺少2017年农业年报数据，所以未能印制2017年统计年鉴，待上级部门一经核定，迅速安排印制工作。</w:t>
            </w:r>
          </w:p>
          <w:p>
            <w:pPr>
              <w:widowControl/>
              <w:jc w:val="left"/>
              <w:rPr>
                <w:rFonts w:ascii="宋体" w:cs="宋体"/>
                <w:kern w:val="0"/>
                <w:sz w:val="20"/>
                <w:szCs w:val="20"/>
              </w:rPr>
            </w:pPr>
          </w:p>
        </w:tc>
      </w:tr>
      <w:tr>
        <w:tblPrEx>
          <w:tblCellMar>
            <w:top w:w="0" w:type="dxa"/>
            <w:left w:w="108" w:type="dxa"/>
            <w:bottom w:w="0" w:type="dxa"/>
            <w:right w:w="108" w:type="dxa"/>
          </w:tblCellMar>
        </w:tblPrEx>
        <w:trPr>
          <w:trHeight w:val="826"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561"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：册数</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260本（大小本）</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农业数据未经上级核定，未能印制</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：出版规范、清晰、准确</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≥97%</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农业数据未经上级核定，未能印制</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pPr>
              <w:widowControl/>
              <w:tabs>
                <w:tab w:val="center" w:pos="872"/>
              </w:tabs>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rPr>
              <w:tab/>
            </w:r>
            <w:r>
              <w:rPr>
                <w:rFonts w:hint="eastAsia" w:ascii="宋体" w:hAnsi="宋体" w:cs="宋体"/>
                <w:kern w:val="0"/>
                <w:sz w:val="20"/>
                <w:szCs w:val="20"/>
              </w:rPr>
              <w:t>统计年鉴大本140</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大本每本200元</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农业数据未经上级核定，未能印制</w:t>
            </w:r>
          </w:p>
        </w:tc>
      </w:tr>
      <w:tr>
        <w:tblPrEx>
          <w:tblCellMar>
            <w:top w:w="0" w:type="dxa"/>
            <w:left w:w="108" w:type="dxa"/>
            <w:bottom w:w="0" w:type="dxa"/>
            <w:right w:w="108" w:type="dxa"/>
          </w:tblCellMar>
        </w:tblPrEx>
        <w:trPr>
          <w:trHeight w:val="876"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：统计年鉴小本120</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小本每本100元</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农业数据未经上级核定，未能印制</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：统计年鉴排版铅印项目主要是为满足各级领导和有关部门了解分析乌鲁木齐县2017年各个专业数据的需要</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≥95%</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农业数据未经上级核定，未能印制</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：发挥《统计年鉴》存档、查阅等作用，使更多的人了解乌鲁木齐县人文、社会、经济发展情况</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≥98%</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农业数据未经上级核定，未能印制</w:t>
            </w:r>
          </w:p>
        </w:tc>
      </w:tr>
      <w:tr>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：领用、使用单位、部门满意度</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≥98%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18"/>
                <w:szCs w:val="18"/>
              </w:rPr>
              <w:t>　　农业数据未经上级核定，未能印制</w:t>
            </w:r>
          </w:p>
        </w:tc>
      </w:tr>
    </w:tbl>
    <w:p>
      <w:pPr>
        <w:spacing w:line="540" w:lineRule="exact"/>
        <w:ind w:firstLine="579" w:firstLineChars="181"/>
        <w:rPr>
          <w:rFonts w:ascii="仿宋_GB2312" w:eastAsia="仿宋_GB2312"/>
          <w:sz w:val="32"/>
          <w:szCs w:val="32"/>
        </w:rPr>
      </w:pPr>
    </w:p>
    <w:p>
      <w:pPr>
        <w:spacing w:line="540" w:lineRule="exact"/>
        <w:jc w:val="center"/>
        <w:rPr>
          <w:rFonts w:ascii="黑体" w:hAnsi="黑体" w:eastAsia="黑体"/>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第三部分 专业名词解释</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2010501指行政运行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2010507指专项普查活动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2010550指事业运行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2010599指其他统计信息事务支出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2080505指机关事业单位基本养老保险缴费支出</w:t>
      </w:r>
    </w:p>
    <w:p>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hAnsi="Calibri" w:eastAsia="仿宋_GB2312"/>
          <w:sz w:val="32"/>
          <w:szCs w:val="32"/>
          <w:lang w:val="en-GB"/>
        </w:rPr>
        <w:t>。</w:t>
      </w:r>
    </w:p>
    <w:p>
      <w:pPr>
        <w:spacing w:line="540" w:lineRule="exact"/>
        <w:ind w:firstLine="643" w:firstLineChars="200"/>
        <w:rPr>
          <w:rFonts w:ascii="仿宋_GB2312" w:eastAsia="仿宋_GB2312"/>
          <w:b/>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mZDUxZDQwNTk3YWM2ZmY4YmE4ZDEyYjMyMzc0MmEifQ=="/>
  </w:docVars>
  <w:rsids>
    <w:rsidRoot w:val="0058643C"/>
    <w:rsid w:val="000F34D5"/>
    <w:rsid w:val="000F3F5F"/>
    <w:rsid w:val="001500E6"/>
    <w:rsid w:val="001A2B4A"/>
    <w:rsid w:val="00417058"/>
    <w:rsid w:val="00422811"/>
    <w:rsid w:val="004642B9"/>
    <w:rsid w:val="004763B2"/>
    <w:rsid w:val="004A2F26"/>
    <w:rsid w:val="0058643C"/>
    <w:rsid w:val="006059F7"/>
    <w:rsid w:val="00642051"/>
    <w:rsid w:val="009A4996"/>
    <w:rsid w:val="00A72AD5"/>
    <w:rsid w:val="00B816C5"/>
    <w:rsid w:val="00BE7FE7"/>
    <w:rsid w:val="00C50335"/>
    <w:rsid w:val="00CE0C1D"/>
    <w:rsid w:val="00CF769E"/>
    <w:rsid w:val="00D923F6"/>
    <w:rsid w:val="00F21610"/>
    <w:rsid w:val="337A07E9"/>
    <w:rsid w:val="4572647A"/>
    <w:rsid w:val="46C614F4"/>
    <w:rsid w:val="57F07883"/>
    <w:rsid w:val="5F833914"/>
    <w:rsid w:val="7FE3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annotation reference"/>
    <w:basedOn w:val="7"/>
    <w:semiHidden/>
    <w:unhideWhenUsed/>
    <w:qFormat/>
    <w:uiPriority w:val="99"/>
    <w:rPr>
      <w:sz w:val="21"/>
      <w:szCs w:val="21"/>
    </w:rPr>
  </w:style>
  <w:style w:type="character" w:customStyle="1" w:styleId="10">
    <w:name w:val="批注文字 Char"/>
    <w:basedOn w:val="7"/>
    <w:link w:val="2"/>
    <w:qFormat/>
    <w:uiPriority w:val="0"/>
    <w:rPr>
      <w:rFonts w:ascii="Times New Roman" w:hAnsi="Times New Roman" w:eastAsia="宋体" w:cs="Times New Roman"/>
      <w:szCs w:val="24"/>
    </w:rPr>
  </w:style>
  <w:style w:type="character" w:customStyle="1" w:styleId="11">
    <w:name w:val="批注框文本 Char"/>
    <w:basedOn w:val="7"/>
    <w:link w:val="3"/>
    <w:semiHidden/>
    <w:qFormat/>
    <w:uiPriority w:val="99"/>
    <w:rPr>
      <w:sz w:val="18"/>
      <w:szCs w:val="18"/>
    </w:rPr>
  </w:style>
  <w:style w:type="character" w:customStyle="1" w:styleId="12">
    <w:name w:val="页眉 Char"/>
    <w:basedOn w:val="7"/>
    <w:link w:val="5"/>
    <w:uiPriority w:val="99"/>
    <w:rPr>
      <w:rFonts w:asciiTheme="minorHAnsi" w:hAnsiTheme="minorHAnsi" w:eastAsiaTheme="minorEastAsia" w:cstheme="minorBidi"/>
      <w:kern w:val="2"/>
      <w:sz w:val="18"/>
      <w:szCs w:val="18"/>
    </w:rPr>
  </w:style>
  <w:style w:type="character" w:customStyle="1" w:styleId="13">
    <w:name w:val="页脚 Char"/>
    <w:basedOn w:val="7"/>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9414</Words>
  <Characters>10219</Characters>
  <Lines>79</Lines>
  <Paragraphs>22</Paragraphs>
  <TotalTime>1</TotalTime>
  <ScaleCrop>false</ScaleCrop>
  <LinksUpToDate>false</LinksUpToDate>
  <CharactersWithSpaces>10473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2019-07-23T11:27:00Z</dcterms:created>
  <dc:creator>admin</dc:creator>
  <cp:lastModifiedBy>꧁虚数空间꧂</cp:lastModifiedBy>
  <dcterms:modified xsi:type="dcterms:W3CDTF">2023-04-13T03:00:52Z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53E5600F6DBE47F5BC2D52D23C00148B_12</vt:lpwstr>
  </property>
</Properties>
</file>