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6D932">
      <w:pPr>
        <w:snapToGrid w:val="0"/>
        <w:jc w:val="center"/>
        <w:rPr>
          <w:rFonts w:ascii="方正小标宋_GBK" w:hAnsi="黑体" w:eastAsia="方正小标宋_GBK" w:cs="Times New Roman"/>
          <w:sz w:val="44"/>
          <w:szCs w:val="44"/>
        </w:rPr>
      </w:pPr>
      <w:bookmarkStart w:id="4" w:name="_GoBack"/>
      <w:bookmarkEnd w:id="4"/>
      <w:r>
        <w:rPr>
          <w:rFonts w:hint="eastAsia" w:ascii="方正小标宋_GBK" w:hAnsi="黑体" w:eastAsia="方正小标宋_GBK" w:cs="Times New Roman"/>
          <w:sz w:val="44"/>
          <w:szCs w:val="44"/>
        </w:rPr>
        <w:t>乌鲁木齐县房屋征收与补偿管理办公室</w:t>
      </w:r>
    </w:p>
    <w:p w14:paraId="7C795D33">
      <w:pPr>
        <w:snapToGrid w:val="0"/>
        <w:jc w:val="center"/>
        <w:rPr>
          <w:rFonts w:ascii="方正小标宋_GBK" w:hAnsi="黑体" w:eastAsia="方正小标宋_GBK" w:cs="Times New Roman"/>
          <w:bCs/>
          <w:sz w:val="44"/>
          <w:szCs w:val="44"/>
        </w:rPr>
      </w:pPr>
      <w:r>
        <w:rPr>
          <w:rFonts w:hint="eastAsia" w:ascii="方正小标宋_GBK" w:hAnsi="黑体" w:eastAsia="方正小标宋_GBK" w:cs="Times New Roman"/>
          <w:bCs/>
          <w:sz w:val="44"/>
          <w:szCs w:val="44"/>
        </w:rPr>
        <w:t>决算分析报告</w:t>
      </w:r>
    </w:p>
    <w:p w14:paraId="52E0125D">
      <w:pPr>
        <w:snapToGrid w:val="0"/>
        <w:ind w:firstLine="883" w:firstLineChars="200"/>
        <w:rPr>
          <w:rFonts w:ascii="仿宋" w:hAnsi="仿宋" w:eastAsia="仿宋" w:cs="Times New Roman"/>
          <w:b/>
          <w:bCs/>
          <w:sz w:val="44"/>
          <w:szCs w:val="44"/>
        </w:rPr>
      </w:pPr>
    </w:p>
    <w:p w14:paraId="094BA3D8">
      <w:pPr>
        <w:snapToGrid w:val="0"/>
        <w:spacing w:line="660" w:lineRule="exact"/>
        <w:ind w:firstLine="640" w:firstLineChars="200"/>
        <w:rPr>
          <w:rFonts w:ascii="方正楷体_GBK" w:hAnsi="黑体" w:eastAsia="方正楷体_GBK" w:cs="Times New Roman"/>
          <w:bCs/>
          <w:sz w:val="32"/>
          <w:szCs w:val="32"/>
        </w:rPr>
      </w:pPr>
      <w:bookmarkStart w:id="0" w:name="一、部门（单位）情况"/>
      <w:bookmarkEnd w:id="0"/>
      <w:r>
        <w:rPr>
          <w:rFonts w:hint="eastAsia" w:ascii="方正楷体_GBK" w:hAnsi="黑体" w:eastAsia="方正楷体_GBK" w:cs="Times New Roman"/>
          <w:bCs/>
          <w:sz w:val="32"/>
          <w:szCs w:val="32"/>
        </w:rPr>
        <w:t>一、乌鲁木齐县房屋征收与补偿管理办公室情况</w:t>
      </w:r>
    </w:p>
    <w:p w14:paraId="51CFB8D4">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（一）基本情况</w:t>
      </w:r>
    </w:p>
    <w:p w14:paraId="394E5919">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1．主要职能</w:t>
      </w:r>
    </w:p>
    <w:p w14:paraId="062A6545">
      <w:pPr>
        <w:snapToGrid w:val="0"/>
        <w:spacing w:line="660" w:lineRule="exact"/>
        <w:ind w:left="1438" w:leftChars="456" w:hanging="480" w:hangingChars="150"/>
        <w:rPr>
          <w:rFonts w:ascii="方正仿宋_GBK" w:hAnsi="仿宋" w:eastAsia="方正仿宋_GBK" w:cs="Times New Roman"/>
          <w:sz w:val="32"/>
          <w:szCs w:val="32"/>
        </w:rPr>
      </w:pPr>
      <w:r>
        <w:rPr>
          <w:rFonts w:hint="eastAsia" w:ascii="方正仿宋_GBK" w:hAnsi="仿宋" w:eastAsia="方正仿宋_GBK" w:cs="Times New Roman"/>
          <w:sz w:val="32"/>
          <w:szCs w:val="32"/>
        </w:rPr>
        <w:t>1）宣传和贯彻执行国家关于土地征收、房屋征收与补偿方面的政策和法律、法规；</w:t>
      </w:r>
    </w:p>
    <w:p w14:paraId="5852486B">
      <w:pPr>
        <w:snapToGrid w:val="0"/>
        <w:spacing w:line="660" w:lineRule="exact"/>
        <w:ind w:left="1438" w:leftChars="456" w:hanging="480" w:hangingChars="150"/>
        <w:rPr>
          <w:rFonts w:ascii="方正仿宋_GBK" w:hAnsi="仿宋" w:eastAsia="方正仿宋_GBK" w:cs="Times New Roman"/>
          <w:sz w:val="32"/>
          <w:szCs w:val="32"/>
        </w:rPr>
      </w:pPr>
      <w:r>
        <w:rPr>
          <w:rFonts w:hint="eastAsia" w:ascii="方正仿宋_GBK" w:hAnsi="仿宋" w:eastAsia="方正仿宋_GBK" w:cs="Times New Roman"/>
          <w:sz w:val="32"/>
          <w:szCs w:val="32"/>
        </w:rPr>
        <w:t>2）依据《国有土地上房屋征收与补偿条例》组织实施行政区域内的房屋征收与补偿工作。</w:t>
      </w:r>
    </w:p>
    <w:p w14:paraId="74E89A15">
      <w:pPr>
        <w:snapToGrid w:val="0"/>
        <w:spacing w:line="660" w:lineRule="exact"/>
        <w:ind w:left="1438" w:leftChars="456" w:hanging="480" w:hangingChars="150"/>
        <w:rPr>
          <w:rFonts w:ascii="方正仿宋_GBK" w:hAnsi="仿宋" w:eastAsia="方正仿宋_GBK" w:cs="Times New Roman"/>
          <w:sz w:val="32"/>
          <w:szCs w:val="32"/>
        </w:rPr>
      </w:pPr>
      <w:r>
        <w:rPr>
          <w:rFonts w:hint="eastAsia" w:ascii="方正仿宋_GBK" w:hAnsi="仿宋" w:eastAsia="方正仿宋_GBK" w:cs="Times New Roman"/>
          <w:sz w:val="32"/>
          <w:szCs w:val="32"/>
        </w:rPr>
        <w:t>3）负责行政区域内储备土地的征收管理工作。</w:t>
      </w:r>
    </w:p>
    <w:p w14:paraId="63B072D3">
      <w:pPr>
        <w:snapToGrid w:val="0"/>
        <w:spacing w:line="660" w:lineRule="exact"/>
        <w:ind w:left="1438" w:leftChars="456" w:hanging="480" w:hangingChars="150"/>
        <w:rPr>
          <w:rFonts w:ascii="方正仿宋_GBK" w:hAnsi="仿宋" w:eastAsia="方正仿宋_GBK" w:cs="Times New Roman"/>
          <w:sz w:val="32"/>
          <w:szCs w:val="32"/>
        </w:rPr>
      </w:pPr>
      <w:r>
        <w:rPr>
          <w:rFonts w:hint="eastAsia" w:ascii="方正仿宋_GBK" w:hAnsi="仿宋" w:eastAsia="方正仿宋_GBK" w:cs="Times New Roman"/>
          <w:sz w:val="32"/>
          <w:szCs w:val="32"/>
        </w:rPr>
        <w:t>4）承办县委、县人民政府交办的其他事项。</w:t>
      </w:r>
    </w:p>
    <w:p w14:paraId="31AEFD21">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2．机构情况。</w:t>
      </w:r>
    </w:p>
    <w:p w14:paraId="3D7FB5EB">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全额事业独立核算单位。</w:t>
      </w:r>
    </w:p>
    <w:p w14:paraId="387375DF">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3．人员情况。</w:t>
      </w:r>
    </w:p>
    <w:p w14:paraId="5187DEB7">
      <w:pPr>
        <w:snapToGrid w:val="0"/>
        <w:spacing w:line="660" w:lineRule="exact"/>
        <w:ind w:firstLine="800" w:firstLineChars="25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2016年决算时，编制人数8人，实有财政供养人数6人，其中调入1人，新进2人。</w:t>
      </w:r>
    </w:p>
    <w:p w14:paraId="75574301">
      <w:pPr>
        <w:snapToGrid w:val="0"/>
        <w:spacing w:line="660" w:lineRule="exact"/>
        <w:ind w:firstLine="800" w:firstLineChars="250"/>
        <w:rPr>
          <w:rFonts w:ascii="方正仿宋_GBK" w:hAnsi="宋体" w:eastAsia="方正仿宋_GBK" w:cs="宋体"/>
          <w:color w:val="000000"/>
          <w:kern w:val="0"/>
          <w:sz w:val="32"/>
          <w:szCs w:val="32"/>
        </w:rPr>
      </w:pPr>
      <w:r>
        <w:rPr>
          <w:rFonts w:ascii="方正仿宋_GBK" w:hAnsi="宋体" w:eastAsia="方正仿宋_GBK" w:cs="宋体"/>
          <w:color w:val="000000"/>
          <w:kern w:val="0"/>
          <w:sz w:val="32"/>
          <w:szCs w:val="32"/>
        </w:rPr>
        <w:t>（二）当年取得的主要事业成效</w:t>
      </w:r>
    </w:p>
    <w:p w14:paraId="7E5EC160">
      <w:pPr>
        <w:pStyle w:val="4"/>
        <w:spacing w:before="20" w:beforeAutospacing="0" w:after="20" w:afterAutospacing="0"/>
        <w:ind w:firstLine="640" w:firstLineChars="200"/>
        <w:rPr>
          <w:rFonts w:ascii="方正仿宋_GBK" w:eastAsia="方正仿宋_GBK"/>
          <w:color w:val="000000" w:themeColor="text1"/>
          <w:sz w:val="32"/>
          <w:szCs w:val="32"/>
        </w:rPr>
      </w:pPr>
      <w:r>
        <w:rPr>
          <w:rFonts w:hint="eastAsia" w:ascii="方正仿宋_GBK" w:eastAsia="方正仿宋_GBK"/>
          <w:color w:val="000000" w:themeColor="text1"/>
          <w:sz w:val="32"/>
          <w:szCs w:val="32"/>
        </w:rPr>
        <w:t>1、2016年我县纳入全市棚户区改造重点项目一项，包括2个片区：板房沟乡镇灯草沟三队片区和水西沟镇东梁村片区。项目实有人口数1671人，均为常住人口，共385户。新建安置房占地面积：582.2亩，新建安置房套数385户，总建筑面积：52755.8㎡，计划投资额：31999.34万元，计划征收：385户。</w:t>
      </w:r>
    </w:p>
    <w:p w14:paraId="36120E48">
      <w:pPr>
        <w:pStyle w:val="4"/>
        <w:spacing w:before="20" w:beforeAutospacing="0" w:after="20" w:afterAutospacing="0"/>
        <w:ind w:firstLine="640" w:firstLineChars="200"/>
        <w:rPr>
          <w:rFonts w:ascii="方正仿宋_GBK" w:eastAsia="方正仿宋_GBK"/>
          <w:color w:val="000000" w:themeColor="text1"/>
          <w:sz w:val="32"/>
          <w:szCs w:val="32"/>
        </w:rPr>
      </w:pPr>
      <w:r>
        <w:rPr>
          <w:rFonts w:hint="eastAsia" w:ascii="方正仿宋_GBK" w:eastAsia="方正仿宋_GBK"/>
          <w:color w:val="000000" w:themeColor="text1"/>
          <w:sz w:val="32"/>
          <w:szCs w:val="32"/>
        </w:rPr>
        <w:t>截至目前，征收安置工作已完成。已征收385户，完成年度计划征收任务的100%。房屋建设已基本完成，水西沟镇东梁村片区已安置243户，2户未签订安置协议；板房沟乡灯草沟三队片区安置工作正有序开展。</w:t>
      </w:r>
    </w:p>
    <w:p w14:paraId="532AA360">
      <w:pPr>
        <w:pStyle w:val="4"/>
        <w:numPr>
          <w:ilvl w:val="0"/>
          <w:numId w:val="1"/>
        </w:numPr>
        <w:spacing w:before="20" w:beforeAutospacing="0" w:after="20" w:afterAutospacing="0"/>
        <w:ind w:firstLine="640" w:firstLineChars="200"/>
        <w:rPr>
          <w:rFonts w:ascii="方正仿宋_GBK" w:eastAsia="方正仿宋_GBK"/>
          <w:color w:val="000000" w:themeColor="text1"/>
          <w:sz w:val="32"/>
          <w:szCs w:val="32"/>
        </w:rPr>
      </w:pPr>
      <w:r>
        <w:rPr>
          <w:rFonts w:hint="eastAsia" w:ascii="方正仿宋_GBK" w:eastAsia="方正仿宋_GBK"/>
          <w:color w:val="000000" w:themeColor="text1"/>
          <w:sz w:val="32"/>
          <w:szCs w:val="32"/>
        </w:rPr>
        <w:t>一年来，县征收办“访惠聚”工作组坚持贴近群众，走访入户，了解民情。通过走访、入户、摸底排查，掌握社情民意，了解群众实际困难，发现突出问题，并以迅速行动化解矛盾。为了更好的开展“访惠聚”活动的各项工作，与居民交朋友，工作组成员积极组织参与到社区各项活动中，组织开展多种文娱活动、党的群众路线教育实践活动等。真正做到了融入社区生活。</w:t>
      </w:r>
    </w:p>
    <w:p w14:paraId="74F03CFC">
      <w:pPr>
        <w:widowControl/>
        <w:jc w:val="left"/>
      </w:pPr>
      <w:r>
        <w:rPr>
          <w:rFonts w:hint="eastAsia" w:ascii="方正仿宋_GBK" w:eastAsia="方正仿宋_GBK"/>
          <w:color w:val="000000" w:themeColor="text1"/>
          <w:sz w:val="32"/>
          <w:szCs w:val="32"/>
        </w:rPr>
        <w:t xml:space="preserve">  3、日常工作中，全体干部职工各执其职，高效有序地完成县委县政府下达的各项工作任务。积极会同县国土局、县草原站、县林业局、县交通局等各相关部门与市交通局就连霍高速G30线征收补偿面积等具体事项进行实地确认等工作。开展乌鲁木齐县环山公路托里乡-水西沟-板房沟公路的实地勘察测量工作。</w:t>
      </w:r>
    </w:p>
    <w:p w14:paraId="015DB383">
      <w:pPr>
        <w:widowControl/>
        <w:jc w:val="left"/>
      </w:pPr>
    </w:p>
    <w:p w14:paraId="19B86C2C">
      <w:pPr>
        <w:pStyle w:val="4"/>
        <w:spacing w:before="20" w:beforeAutospacing="0" w:after="20" w:afterAutospacing="0"/>
        <w:rPr>
          <w:rFonts w:ascii="方正仿宋_GBK" w:eastAsia="方正仿宋_GBK"/>
          <w:color w:val="000000" w:themeColor="text1"/>
          <w:sz w:val="32"/>
          <w:szCs w:val="32"/>
        </w:rPr>
      </w:pPr>
    </w:p>
    <w:p w14:paraId="72D8F567">
      <w:pPr>
        <w:snapToGrid w:val="0"/>
        <w:spacing w:line="660" w:lineRule="exact"/>
        <w:rPr>
          <w:rFonts w:ascii="方正楷体_GBK" w:hAnsi="黑体" w:eastAsia="方正楷体_GBK" w:cs="Times New Roman"/>
          <w:bCs/>
          <w:sz w:val="32"/>
          <w:szCs w:val="32"/>
        </w:rPr>
      </w:pPr>
      <w:bookmarkStart w:id="1" w:name="二、收入支出预算执行情况分析"/>
      <w:bookmarkEnd w:id="1"/>
      <w:r>
        <w:rPr>
          <w:rFonts w:hint="eastAsia" w:ascii="方正楷体_GBK" w:hAnsi="黑体" w:eastAsia="方正楷体_GBK" w:cs="Times New Roman"/>
          <w:bCs/>
          <w:sz w:val="32"/>
          <w:szCs w:val="32"/>
        </w:rPr>
        <w:t>二、收入支出预算执行情况分析</w:t>
      </w:r>
    </w:p>
    <w:p w14:paraId="3F55A4D4">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（一）收入支出预算安排情况</w:t>
      </w:r>
    </w:p>
    <w:p w14:paraId="0D442E79">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本部门年初申请预算资金情况为:收入预算（财政拨款）52.66万元。支出预算52.66万元；其中基本支出42.66万元；项目支出10万元。另由于本年度新增人员3名，申请追加人员经费18.6万元；申请支付2016年度棚户区改造项目资金贷款利息452.91万元；完成机关事业单位养老保险清算14.87万元； “访汇聚”活动工作经费及生活补助4万元。</w:t>
      </w:r>
    </w:p>
    <w:p w14:paraId="4F414276">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（二）</w:t>
      </w:r>
      <w:r>
        <w:rPr>
          <w:rFonts w:hint="eastAsia" w:ascii="方正仿宋_GBK" w:hAnsi="仿宋" w:eastAsia="方正仿宋_GBK" w:cs="Times New Roman"/>
          <w:sz w:val="32"/>
          <w:szCs w:val="32"/>
          <w:lang w:eastAsia="zh-CN"/>
        </w:rPr>
        <w:t>决算</w:t>
      </w:r>
      <w:r>
        <w:rPr>
          <w:rFonts w:hint="eastAsia" w:ascii="方正仿宋_GBK" w:hAnsi="仿宋" w:eastAsia="方正仿宋_GBK" w:cs="Times New Roman"/>
          <w:sz w:val="32"/>
          <w:szCs w:val="32"/>
        </w:rPr>
        <w:t>收入支出</w:t>
      </w:r>
      <w:r>
        <w:rPr>
          <w:rFonts w:hint="eastAsia" w:ascii="方正仿宋_GBK" w:hAnsi="仿宋" w:eastAsia="方正仿宋_GBK" w:cs="Times New Roman"/>
          <w:sz w:val="32"/>
          <w:szCs w:val="32"/>
          <w:lang w:eastAsia="zh-CN"/>
        </w:rPr>
        <w:t>增减变化</w:t>
      </w:r>
      <w:r>
        <w:rPr>
          <w:rFonts w:hint="eastAsia" w:ascii="方正仿宋_GBK" w:hAnsi="仿宋" w:eastAsia="方正仿宋_GBK" w:cs="Times New Roman"/>
          <w:sz w:val="32"/>
          <w:szCs w:val="32"/>
        </w:rPr>
        <w:t>情况</w:t>
      </w:r>
      <w:r>
        <w:rPr>
          <w:rFonts w:hint="eastAsia" w:ascii="方正仿宋_GBK" w:hAnsi="仿宋" w:eastAsia="方正仿宋_GBK" w:cs="Times New Roman"/>
          <w:sz w:val="32"/>
          <w:szCs w:val="32"/>
          <w:lang w:eastAsia="zh-CN"/>
        </w:rPr>
        <w:t>说明</w:t>
      </w:r>
    </w:p>
    <w:p w14:paraId="560E707C">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当年收入支出预算执行基本情况：财政补助收入共计554.62万元;其他收入（利息收入)30.21万元，比上年增加545.04万元，增幅为1369.75%；增加原因为人员增加及支付2016年度棚户区改造项目资金贷款利息452.91万元。事业支出共计550.23万元;其中人员经费70.42万元；比上年增加48.65万元；增幅223.51%，原因为新增人员3名。日常公用经费支出479.82万元；比上年增加467.08万元；增幅3668.17%，原因为启动2016年度棚户区改造项目并支付国开行贷款资金利息452.91万元。</w:t>
      </w:r>
    </w:p>
    <w:p w14:paraId="4F14BC8A">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1．收入支出与预算对比分析</w:t>
      </w:r>
    </w:p>
    <w:p w14:paraId="7E741B45">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(1)事业运行(政府办事务)[5012010350]874115.8元;支出:782304.7元;</w:t>
      </w:r>
    </w:p>
    <w:p w14:paraId="0E22C60D">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(2)事业运行[5012010399]100000元;支出:56366.5元;</w:t>
      </w:r>
    </w:p>
    <w:p w14:paraId="6BC7D263">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(3)组织事务[5012013299]40000元;支出28442.17元;</w:t>
      </w:r>
    </w:p>
    <w:p w14:paraId="3CF6AB10">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(4)社会保障和就业支出[5012080505]1067174.96元；支出106174.96元；</w:t>
      </w:r>
    </w:p>
    <w:p w14:paraId="74740E4A">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(5)农村基础设施建设支出[5012120804]4529052.5元；支出4529052.5元；</w:t>
      </w:r>
    </w:p>
    <w:p w14:paraId="42D5272E">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(6)其他收入(银行利息收入)302102.64元;支出302102.64元；</w:t>
      </w:r>
    </w:p>
    <w:p w14:paraId="2A712DB9">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本年收入合计:5848270.94元,本年支出合计5502340.83元;</w:t>
      </w:r>
    </w:p>
    <w:p w14:paraId="02FD2F71">
      <w:pPr>
        <w:numPr>
          <w:ilvl w:val="0"/>
          <w:numId w:val="2"/>
        </w:num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收入支出结构分析</w:t>
      </w:r>
    </w:p>
    <w:p w14:paraId="624A5E65">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1)事业运行(政府办事务)[5012010350]1073043.48元;占总收入18.35%;支出:943064.92元;占总支出17.14%;</w:t>
      </w:r>
    </w:p>
    <w:p w14:paraId="660C6950">
      <w:pPr>
        <w:snapToGrid w:val="0"/>
        <w:spacing w:line="660" w:lineRule="exact"/>
        <w:rPr>
          <w:rFonts w:ascii="方正仿宋_GBK" w:hAnsi="仿宋" w:eastAsia="方正仿宋_GBK" w:cs="Times New Roman"/>
          <w:sz w:val="32"/>
          <w:szCs w:val="32"/>
        </w:rPr>
      </w:pPr>
    </w:p>
    <w:p w14:paraId="6152122E">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(2)事业运行[5012010399]100000元;占总收入1.7%;支出:56366.5元;占总支出1.02%;</w:t>
      </w:r>
    </w:p>
    <w:p w14:paraId="76B97A5D">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(3)组织事务[5012013299]40000元;占总收入0.7%;支出28442.17元;占总支出0.52%;</w:t>
      </w:r>
    </w:p>
    <w:p w14:paraId="6477EB0F">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(4)社会保障和就业支出[5012080505]106174.96元；占总收入1.82%;支出106174.96元；占总支出1.93%;</w:t>
      </w:r>
    </w:p>
    <w:p w14:paraId="04AF5FAC">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(4)农村基础设施建设支出[5012120804]4529052.5元；占总收入77.44%;支出4529052.5元；占总支出82.31%;</w:t>
      </w:r>
    </w:p>
    <w:p w14:paraId="40BFE216">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(5)基他收入(银行利息收入)302102.64元;占总收入0.52%;支出301439.38元；占总支出5.5%;</w:t>
      </w:r>
    </w:p>
    <w:p w14:paraId="56BAA84E">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3.支出按经济分类科目分析</w:t>
      </w:r>
    </w:p>
    <w:p w14:paraId="7E6DAA25">
      <w:pPr>
        <w:snapToGrid w:val="0"/>
        <w:spacing w:line="660" w:lineRule="exact"/>
        <w:rPr>
          <w:rFonts w:hint="eastAsia" w:ascii="宋体" w:hAnsi="宋体" w:cs="宋体"/>
          <w:sz w:val="32"/>
          <w:szCs w:val="32"/>
          <w:lang w:val="en-US" w:eastAsia="zh-CN"/>
        </w:rPr>
      </w:pPr>
      <w:r>
        <w:rPr>
          <w:rFonts w:hint="eastAsia" w:ascii="方正仿宋_GBK" w:hAnsi="仿宋" w:eastAsia="方正仿宋_GBK" w:cs="Times New Roman"/>
          <w:sz w:val="32"/>
          <w:szCs w:val="32"/>
        </w:rPr>
        <w:t>(1)</w:t>
      </w:r>
      <w:r>
        <w:rPr>
          <w:rFonts w:hint="eastAsia" w:ascii="方正仿宋_GBK" w:hAnsi="仿宋" w:eastAsia="方正仿宋_GBK" w:cs="Times New Roman"/>
          <w:sz w:val="32"/>
          <w:szCs w:val="32"/>
          <w:lang w:eastAsia="zh-CN"/>
        </w:rPr>
        <w:t>“三公”经费</w:t>
      </w:r>
      <w:r>
        <w:rPr>
          <w:rFonts w:hint="eastAsia" w:ascii="方正仿宋_GBK" w:hAnsi="仿宋" w:eastAsia="方正仿宋_GBK" w:cs="Times New Roman"/>
          <w:sz w:val="32"/>
          <w:szCs w:val="32"/>
        </w:rPr>
        <w:t>支出情况，</w:t>
      </w:r>
      <w:r>
        <w:rPr>
          <w:rFonts w:hint="eastAsia" w:ascii="宋体" w:hAnsi="宋体" w:cs="宋体"/>
          <w:sz w:val="32"/>
          <w:szCs w:val="32"/>
          <w:lang w:val="en-US" w:eastAsia="zh-CN"/>
        </w:rPr>
        <w:t>2016年“三公”经费支出情况如下：公务接待费0元，因公出国（境）费0元，2015年度公务接待费列支2190元，减少原因是2016年度没有因公出国（境）团组数及人数）。公务用车购置和运行费0元，因我办2016年度没有购买和配置公务用车，未发生相关公务用车购置和运行费；</w:t>
      </w:r>
    </w:p>
    <w:p w14:paraId="0350AD07">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(2)培训费支出2445元，主要为项目业务人员的培训；</w:t>
      </w:r>
    </w:p>
    <w:p w14:paraId="4C2B7F26">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(3)贷款利息支出4669731.55元，支付2016年度棚户区改造项目资金贷款利息；</w:t>
      </w:r>
    </w:p>
    <w:p w14:paraId="26FF337F">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4.财政拨款收入、支出分析</w:t>
      </w:r>
    </w:p>
    <w:p w14:paraId="2754ACA3">
      <w:pPr>
        <w:snapToGrid w:val="0"/>
        <w:spacing w:line="660" w:lineRule="exact"/>
        <w:rPr>
          <w:rFonts w:hint="eastAsia" w:ascii="方正仿宋_GBK" w:hAnsi="仿宋" w:eastAsia="方正仿宋_GBK" w:cs="Times New Roman"/>
          <w:sz w:val="32"/>
          <w:szCs w:val="32"/>
        </w:rPr>
      </w:pPr>
      <w:r>
        <w:rPr>
          <w:rFonts w:hint="eastAsia" w:ascii="方正仿宋_GBK" w:hAnsi="仿宋" w:eastAsia="方正仿宋_GBK" w:cs="Times New Roman"/>
          <w:sz w:val="32"/>
          <w:szCs w:val="32"/>
        </w:rPr>
        <w:t xml:space="preserve">  财政拨款收入5546168.3元支出5502340.83元，其中：一般公共服务支出943064.92元；农村基础设施建设支出4529052.5元；社会保障和就业支出106174.96元</w:t>
      </w:r>
    </w:p>
    <w:p w14:paraId="6C1C522A">
      <w:pPr>
        <w:numPr>
          <w:ilvl w:val="0"/>
          <w:numId w:val="3"/>
        </w:numPr>
        <w:snapToGrid w:val="0"/>
        <w:spacing w:line="660" w:lineRule="exact"/>
        <w:rPr>
          <w:rFonts w:hint="eastAsia" w:ascii="方正仿宋_GBK" w:hAnsi="仿宋" w:eastAsia="方正仿宋_GBK" w:cs="Times New Roman"/>
          <w:sz w:val="32"/>
          <w:szCs w:val="32"/>
          <w:lang w:val="en-US" w:eastAsia="zh-CN"/>
        </w:rPr>
      </w:pPr>
      <w:r>
        <w:rPr>
          <w:rFonts w:hint="eastAsia" w:ascii="方正仿宋_GBK" w:hAnsi="仿宋" w:eastAsia="方正仿宋_GBK" w:cs="Times New Roman"/>
          <w:sz w:val="32"/>
          <w:szCs w:val="32"/>
          <w:lang w:val="en-US" w:eastAsia="zh-CN"/>
        </w:rPr>
        <w:t>政府采购情况分析</w:t>
      </w:r>
    </w:p>
    <w:p w14:paraId="0B8D2E48">
      <w:pPr>
        <w:numPr>
          <w:ilvl w:val="0"/>
          <w:numId w:val="0"/>
        </w:num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lang w:val="en-US" w:eastAsia="zh-CN"/>
        </w:rPr>
        <w:t xml:space="preserve">  政府采购预算计划金额（一般公共预算）货物类2.19万元，实际采购金额（一般公共预算）货物类1.721万元。</w:t>
      </w:r>
    </w:p>
    <w:p w14:paraId="55241AE1">
      <w:pPr>
        <w:numPr>
          <w:ilvl w:val="0"/>
          <w:numId w:val="4"/>
        </w:num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年末结转和结余情况</w:t>
      </w:r>
    </w:p>
    <w:p w14:paraId="63620CCA">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(1)事业运行(政府办事务)[5012010350]年末结转181916.98元;</w:t>
      </w:r>
    </w:p>
    <w:p w14:paraId="25D67B20">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(2)事业运行[5012010399]年末结转4363.5元;</w:t>
      </w:r>
    </w:p>
    <w:p w14:paraId="4E70FEC0">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(3)组织事务[5012013299]年末结转11557.83元;</w:t>
      </w:r>
    </w:p>
    <w:p w14:paraId="7EE459CB">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(4)社会保障和就业支出[5012080505]年末无结转;</w:t>
      </w:r>
    </w:p>
    <w:p w14:paraId="6CD45686">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(4)农村基础设施建设支出[5012120804]年末结转160760.22元;</w:t>
      </w:r>
    </w:p>
    <w:p w14:paraId="00D48B46">
      <w:pPr>
        <w:snapToGrid w:val="0"/>
        <w:spacing w:line="660" w:lineRule="exact"/>
        <w:rPr>
          <w:rFonts w:ascii="方正仿宋_GBK" w:hAnsi="仿宋" w:eastAsia="方正仿宋_GBK" w:cs="Times New Roman"/>
          <w:sz w:val="32"/>
          <w:szCs w:val="32"/>
        </w:rPr>
      </w:pPr>
      <w:r>
        <w:rPr>
          <w:rFonts w:hint="eastAsia" w:ascii="方正仿宋_GBK" w:hAnsi="仿宋" w:eastAsia="方正仿宋_GBK" w:cs="Times New Roman"/>
          <w:sz w:val="32"/>
          <w:szCs w:val="32"/>
        </w:rPr>
        <w:t>(5)基他收入(银行利息收入)年末转入事业基金663.26元;</w:t>
      </w:r>
    </w:p>
    <w:p w14:paraId="7D56A8E3">
      <w:pPr>
        <w:snapToGrid w:val="0"/>
        <w:spacing w:line="660" w:lineRule="exact"/>
        <w:rPr>
          <w:rFonts w:ascii="方正楷体_GBK" w:hAnsi="黑体" w:eastAsia="方正楷体_GBK" w:cs="Times New Roman"/>
          <w:bCs/>
          <w:sz w:val="32"/>
          <w:szCs w:val="32"/>
        </w:rPr>
      </w:pPr>
      <w:bookmarkStart w:id="2" w:name="三、资产负债情况分析"/>
      <w:bookmarkEnd w:id="2"/>
      <w:r>
        <w:rPr>
          <w:rFonts w:hint="eastAsia" w:ascii="方正楷体_GBK" w:hAnsi="黑体" w:eastAsia="方正楷体_GBK" w:cs="Times New Roman"/>
          <w:bCs/>
          <w:sz w:val="32"/>
          <w:szCs w:val="32"/>
        </w:rPr>
        <w:t>三、资产负债情况分析</w:t>
      </w:r>
    </w:p>
    <w:p w14:paraId="797C7B9B">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（一）资产负债结构情况</w:t>
      </w:r>
    </w:p>
    <w:p w14:paraId="6185C77D">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至本年度末,本部门流动资产合计:385293.63元,其中:库存现金2138.99元,银行存款383154.64元固定资产98830元;其他应付款:-13546.52元;净资产合计:497670.15元,其中:事业基金663.26元,非流动资产基金98830元,财政补助结转398531.79元;</w:t>
      </w:r>
    </w:p>
    <w:p w14:paraId="43E361E8">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（二）资产负债对比分析</w:t>
      </w:r>
    </w:p>
    <w:p w14:paraId="563A6927">
      <w:pPr>
        <w:snapToGrid w:val="0"/>
        <w:spacing w:line="660" w:lineRule="exact"/>
        <w:ind w:firstLine="640" w:firstLineChars="200"/>
        <w:rPr>
          <w:rFonts w:ascii="方正仿宋_GBK" w:hAnsi="仿宋" w:eastAsia="方正仿宋_GBK" w:cs="Times New Roman"/>
          <w:sz w:val="32"/>
          <w:szCs w:val="32"/>
        </w:rPr>
      </w:pPr>
      <w:r>
        <w:rPr>
          <w:rFonts w:hint="eastAsia" w:ascii="方正仿宋_GBK" w:hAnsi="仿宋" w:eastAsia="方正仿宋_GBK" w:cs="Times New Roman"/>
          <w:sz w:val="32"/>
          <w:szCs w:val="32"/>
        </w:rPr>
        <w:t>本年度资产负债率-13546.52/484123.63=-2.8%，此项主要为机关事业养老保险代扣个人部分；我办在日常财务核算工作中严格遵守财政核算制度，控制好本部门资产负债管理中存在的问题，加强资产效益管水平，及时发现和处理潜在的资产负债风险。</w:t>
      </w:r>
    </w:p>
    <w:p w14:paraId="206C5CAA">
      <w:pPr>
        <w:snapToGrid w:val="0"/>
        <w:spacing w:line="660" w:lineRule="exact"/>
        <w:rPr>
          <w:rFonts w:ascii="方正楷体_GBK" w:hAnsi="黑体" w:eastAsia="方正楷体_GBK" w:cs="Times New Roman"/>
          <w:bCs/>
          <w:sz w:val="32"/>
          <w:szCs w:val="32"/>
        </w:rPr>
      </w:pPr>
      <w:bookmarkStart w:id="3" w:name="四、本年度部门决算等财务工作开展情况"/>
      <w:bookmarkEnd w:id="3"/>
      <w:r>
        <w:rPr>
          <w:rFonts w:hint="eastAsia" w:ascii="方正楷体_GBK" w:hAnsi="黑体" w:eastAsia="方正楷体_GBK" w:cs="Times New Roman"/>
          <w:bCs/>
          <w:sz w:val="32"/>
          <w:szCs w:val="32"/>
        </w:rPr>
        <w:t>四、本年度部门</w:t>
      </w:r>
      <w:r>
        <w:rPr>
          <w:rFonts w:hint="eastAsia" w:ascii="方正楷体_GBK" w:hAnsi="黑体" w:eastAsia="方正楷体_GBK" w:cs="Times New Roman"/>
          <w:bCs/>
          <w:sz w:val="32"/>
          <w:szCs w:val="32"/>
          <w:lang w:eastAsia="zh-CN"/>
        </w:rPr>
        <w:t>机关运行费费执行情况说明如下：</w:t>
      </w:r>
    </w:p>
    <w:p w14:paraId="313C4E02">
      <w:pPr>
        <w:spacing w:line="588" w:lineRule="exact"/>
        <w:ind w:firstLine="640" w:firstLineChars="200"/>
        <w:rPr>
          <w:rFonts w:ascii="方正仿宋_GBK" w:hAnsi="宋体" w:eastAsia="方正仿宋_GBK" w:cs="宋体"/>
          <w:kern w:val="0"/>
          <w:sz w:val="24"/>
          <w:szCs w:val="24"/>
        </w:rPr>
      </w:pPr>
      <w:r>
        <w:rPr>
          <w:rFonts w:hint="eastAsia" w:ascii="方正仿宋_GBK" w:hAnsi="宋体" w:eastAsia="方正仿宋_GBK" w:cs="宋体"/>
          <w:color w:val="333333"/>
          <w:kern w:val="0"/>
          <w:sz w:val="32"/>
          <w:szCs w:val="32"/>
          <w:shd w:val="clear" w:color="auto" w:fill="FFFFFF"/>
        </w:rPr>
        <w:t>2016年我办财务工作坚持以人为本，理顺机制，更新财务理念。这一年，在我办领导和财务工作人员的共同努力下，立足现状，努力提高有限经费的使用效率，本着厉行节约，反对铺张浪费的原则圆满完成了财务管理任务，实现了财政经费的收支平衡。</w:t>
      </w:r>
    </w:p>
    <w:p w14:paraId="0BDEFB60">
      <w:pPr>
        <w:ind w:firstLine="800" w:firstLineChars="250"/>
        <w:rPr>
          <w:rFonts w:ascii="方正仿宋_GBK" w:hAnsi="微软雅黑" w:eastAsia="方正仿宋_GBK" w:cs="宋体"/>
          <w:color w:val="333333"/>
          <w:kern w:val="0"/>
          <w:sz w:val="32"/>
          <w:szCs w:val="32"/>
          <w:shd w:val="clear" w:color="auto" w:fill="FFFFFF"/>
        </w:rPr>
      </w:pPr>
      <w:r>
        <w:rPr>
          <w:rFonts w:hint="eastAsia" w:ascii="方正仿宋_GBK" w:hAnsi="宋体" w:eastAsia="方正仿宋_GBK" w:cs="宋体"/>
          <w:color w:val="333333"/>
          <w:kern w:val="0"/>
          <w:sz w:val="32"/>
          <w:szCs w:val="32"/>
          <w:shd w:val="clear" w:color="auto" w:fill="FFFFFF"/>
        </w:rPr>
        <w:t>1、严格按照要求完成2016年财务决算编报工作，为2017年财务工作的全面开展奠定了良好基础。</w:t>
      </w:r>
      <w:r>
        <w:rPr>
          <w:rFonts w:hint="eastAsia" w:ascii="微软雅黑" w:hAnsi="微软雅黑" w:eastAsia="方正仿宋_GBK" w:cs="宋体"/>
          <w:color w:val="333333"/>
          <w:kern w:val="0"/>
          <w:sz w:val="32"/>
          <w:szCs w:val="32"/>
          <w:shd w:val="clear" w:color="auto" w:fill="FFFFFF"/>
        </w:rPr>
        <w:t> </w:t>
      </w:r>
    </w:p>
    <w:p w14:paraId="020771B3">
      <w:pPr>
        <w:ind w:firstLine="800" w:firstLineChars="250"/>
        <w:rPr>
          <w:rFonts w:ascii="方正仿宋_GBK" w:hAnsi="微软雅黑" w:eastAsia="方正仿宋_GBK" w:cs="宋体"/>
          <w:color w:val="333333"/>
          <w:kern w:val="0"/>
          <w:sz w:val="32"/>
          <w:szCs w:val="32"/>
          <w:shd w:val="clear" w:color="auto" w:fill="FFFFFF"/>
        </w:rPr>
      </w:pPr>
      <w:r>
        <w:rPr>
          <w:rFonts w:hint="eastAsia" w:ascii="方正仿宋_GBK" w:hAnsi="宋体" w:eastAsia="方正仿宋_GBK" w:cs="宋体"/>
          <w:color w:val="333333"/>
          <w:kern w:val="0"/>
          <w:sz w:val="32"/>
          <w:szCs w:val="32"/>
          <w:shd w:val="clear" w:color="auto" w:fill="FFFFFF"/>
        </w:rPr>
        <w:t>2、在日常工作中，强化经费监督，做到收支平衡。对经费支出进行详细分析，按科目进行分类统计，以勤俭、节约、高效为原则，科学合理的对2016年财政经费计划进行详细分解，从整体上对经费做了合理，有效的统筹安排。在具体工作中依法合理高效的使用每一项资金，人员及公用经费实行“先批后支，计划先行”的报账程序，全过程监督预算执行，提高财务管理，保证了收支平衡。</w:t>
      </w:r>
      <w:r>
        <w:rPr>
          <w:rFonts w:hint="eastAsia" w:ascii="微软雅黑" w:hAnsi="微软雅黑" w:eastAsia="方正仿宋_GBK" w:cs="宋体"/>
          <w:color w:val="333333"/>
          <w:kern w:val="0"/>
          <w:sz w:val="32"/>
          <w:szCs w:val="32"/>
          <w:shd w:val="clear" w:color="auto" w:fill="FFFFFF"/>
        </w:rPr>
        <w:t> </w:t>
      </w:r>
    </w:p>
    <w:p w14:paraId="74C406FB">
      <w:pPr>
        <w:ind w:firstLine="800" w:firstLineChars="250"/>
        <w:rPr>
          <w:rFonts w:ascii="方正仿宋_GBK" w:hAnsi="宋体" w:eastAsia="方正仿宋_GBK" w:cs="宋体"/>
          <w:kern w:val="0"/>
          <w:sz w:val="24"/>
          <w:szCs w:val="24"/>
        </w:rPr>
      </w:pPr>
      <w:r>
        <w:rPr>
          <w:rFonts w:hint="eastAsia" w:ascii="方正仿宋_GBK" w:hAnsi="宋体" w:eastAsia="方正仿宋_GBK" w:cs="宋体"/>
          <w:color w:val="333333"/>
          <w:kern w:val="0"/>
          <w:sz w:val="32"/>
          <w:szCs w:val="32"/>
          <w:shd w:val="clear" w:color="auto" w:fill="FFFFFF"/>
        </w:rPr>
        <w:t>3、理顺机制，更新观念，打造财务监督与服务并重的工作理念。全面践行科学发展观，突破已经习惯的财务管理思维与模式，从源头上理顺财务机制，增强服务意识，以服务为宗旨，全力以赴为部门各项工作做好服务保障，在工作中严格遵守财务核算制度，以严谨细致，认真踏实的工作态度完成每一项核算工作。</w:t>
      </w:r>
      <w:r>
        <w:rPr>
          <w:rFonts w:hint="eastAsia" w:ascii="微软雅黑" w:hAnsi="微软雅黑" w:eastAsia="方正仿宋_GBK" w:cs="宋体"/>
          <w:color w:val="333333"/>
          <w:kern w:val="0"/>
          <w:sz w:val="32"/>
          <w:szCs w:val="32"/>
          <w:shd w:val="clear" w:color="auto" w:fill="FFFFFF"/>
        </w:rPr>
        <w:t> </w:t>
      </w:r>
    </w:p>
    <w:p w14:paraId="5DE7E655">
      <w:pPr>
        <w:spacing w:line="588" w:lineRule="exact"/>
        <w:ind w:firstLine="640" w:firstLineChars="200"/>
        <w:rPr>
          <w:rFonts w:hint="eastAsia" w:ascii="方正仿宋_GBK" w:hAnsi="宋体" w:eastAsia="方正仿宋_GBK" w:cs="宋体"/>
          <w:color w:val="333333"/>
          <w:kern w:val="0"/>
          <w:sz w:val="32"/>
          <w:szCs w:val="32"/>
          <w:shd w:val="clear" w:color="auto" w:fill="FFFFFF"/>
        </w:rPr>
      </w:pPr>
      <w:r>
        <w:rPr>
          <w:rFonts w:hint="eastAsia" w:ascii="方正仿宋_GBK" w:hAnsi="宋体" w:eastAsia="方正仿宋_GBK" w:cs="宋体"/>
          <w:color w:val="333333"/>
          <w:kern w:val="0"/>
          <w:sz w:val="32"/>
          <w:szCs w:val="32"/>
          <w:shd w:val="clear" w:color="auto" w:fill="FFFFFF"/>
        </w:rPr>
        <w:t>4、按时按要求完成决算公开工作。</w:t>
      </w:r>
    </w:p>
    <w:p w14:paraId="66B55A7F">
      <w:pPr>
        <w:spacing w:line="588" w:lineRule="exact"/>
        <w:rPr>
          <w:rFonts w:hint="eastAsia" w:ascii="方正仿宋_GBK" w:hAnsi="宋体" w:eastAsia="方正仿宋_GBK" w:cs="宋体"/>
          <w:color w:val="333333"/>
          <w:kern w:val="0"/>
          <w:sz w:val="32"/>
          <w:szCs w:val="32"/>
          <w:shd w:val="clear" w:color="auto" w:fill="FFFFFF"/>
          <w:lang w:eastAsia="zh-CN"/>
        </w:rPr>
      </w:pPr>
      <w:r>
        <w:rPr>
          <w:rFonts w:hint="eastAsia" w:ascii="方正仿宋_GBK" w:hAnsi="宋体" w:eastAsia="方正仿宋_GBK" w:cs="宋体"/>
          <w:color w:val="333333"/>
          <w:kern w:val="0"/>
          <w:sz w:val="32"/>
          <w:szCs w:val="32"/>
          <w:shd w:val="clear" w:color="auto" w:fill="FFFFFF"/>
          <w:lang w:eastAsia="zh-CN"/>
        </w:rPr>
        <w:t>注：名词解释</w:t>
      </w:r>
    </w:p>
    <w:p w14:paraId="0EAD3E21">
      <w:pPr>
        <w:ind w:firstLine="645"/>
        <w:jc w:val="left"/>
        <w:rPr>
          <w:rFonts w:hint="eastAsia" w:ascii="方正书宋_GBK" w:hAnsi="方正书宋_GBK" w:eastAsia="方正书宋_GBK" w:cs="方正书宋_GBK"/>
          <w:sz w:val="32"/>
          <w:szCs w:val="32"/>
        </w:rPr>
      </w:pPr>
      <w:r>
        <w:rPr>
          <w:rFonts w:hint="eastAsia" w:ascii="方正书宋_GBK" w:hAnsi="方正书宋_GBK" w:eastAsia="方正书宋_GBK" w:cs="方正书宋_GBK"/>
          <w:b/>
          <w:sz w:val="32"/>
          <w:szCs w:val="32"/>
        </w:rPr>
        <w:t>公共财政</w:t>
      </w:r>
      <w:r>
        <w:rPr>
          <w:rFonts w:hint="eastAsia" w:ascii="方正书宋_GBK" w:hAnsi="方正书宋_GBK" w:eastAsia="方正书宋_GBK" w:cs="方正书宋_GBK"/>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14:paraId="216F9244">
      <w:pPr>
        <w:ind w:firstLine="645"/>
        <w:jc w:val="left"/>
        <w:rPr>
          <w:rFonts w:hint="eastAsia" w:ascii="方正书宋_GBK" w:hAnsi="方正书宋_GBK" w:eastAsia="方正书宋_GBK" w:cs="方正书宋_GBK"/>
          <w:sz w:val="32"/>
          <w:szCs w:val="32"/>
        </w:rPr>
      </w:pPr>
      <w:r>
        <w:rPr>
          <w:rFonts w:hint="eastAsia" w:ascii="方正书宋_GBK" w:hAnsi="方正书宋_GBK" w:eastAsia="方正书宋_GBK" w:cs="方正书宋_GBK"/>
          <w:b/>
          <w:sz w:val="32"/>
          <w:szCs w:val="32"/>
        </w:rPr>
        <w:t>一般公共预算</w:t>
      </w:r>
      <w:r>
        <w:rPr>
          <w:rFonts w:hint="eastAsia" w:ascii="方正书宋_GBK" w:hAnsi="方正书宋_GBK" w:eastAsia="方正书宋_GBK" w:cs="方正书宋_GBK"/>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14:paraId="72EBDB34">
      <w:pPr>
        <w:ind w:firstLine="645"/>
        <w:jc w:val="left"/>
        <w:rPr>
          <w:rFonts w:hint="eastAsia" w:ascii="方正书宋_GBK" w:hAnsi="方正书宋_GBK" w:eastAsia="方正书宋_GBK" w:cs="方正书宋_GBK"/>
          <w:sz w:val="32"/>
          <w:szCs w:val="32"/>
        </w:rPr>
      </w:pPr>
      <w:r>
        <w:rPr>
          <w:rFonts w:hint="eastAsia" w:ascii="方正书宋_GBK" w:hAnsi="方正书宋_GBK" w:eastAsia="方正书宋_GBK" w:cs="方正书宋_GBK"/>
          <w:b/>
          <w:sz w:val="32"/>
          <w:szCs w:val="32"/>
        </w:rPr>
        <w:t>部门预算</w:t>
      </w:r>
      <w:r>
        <w:rPr>
          <w:rFonts w:hint="eastAsia" w:ascii="方正书宋_GBK" w:hAnsi="方正书宋_GBK" w:eastAsia="方正书宋_GBK" w:cs="方正书宋_GBK"/>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14:paraId="6F31DD98">
      <w:pPr>
        <w:ind w:firstLine="645"/>
        <w:jc w:val="left"/>
        <w:rPr>
          <w:rFonts w:hint="eastAsia" w:ascii="方正书宋_GBK" w:hAnsi="方正书宋_GBK" w:eastAsia="方正书宋_GBK" w:cs="方正书宋_GBK"/>
          <w:b/>
          <w:sz w:val="32"/>
          <w:szCs w:val="32"/>
        </w:rPr>
      </w:pPr>
      <w:r>
        <w:rPr>
          <w:rFonts w:hint="eastAsia" w:ascii="方正书宋_GBK" w:hAnsi="方正书宋_GBK" w:eastAsia="方正书宋_GBK" w:cs="方正书宋_GBK"/>
          <w:b/>
          <w:sz w:val="32"/>
          <w:szCs w:val="32"/>
        </w:rPr>
        <w:t>“三公”经费，</w:t>
      </w:r>
      <w:r>
        <w:rPr>
          <w:rFonts w:hint="eastAsia" w:ascii="方正书宋_GBK" w:hAnsi="方正书宋_GBK" w:eastAsia="方正书宋_GBK" w:cs="方正书宋_GBK"/>
          <w:sz w:val="32"/>
          <w:szCs w:val="32"/>
        </w:rPr>
        <w:t>指政府部门人员因公出国（境）经费、公务车购置及运行费、公务招待费产生的消费。</w:t>
      </w:r>
    </w:p>
    <w:p w14:paraId="651AB12A">
      <w:pPr>
        <w:spacing w:line="588" w:lineRule="exact"/>
        <w:ind w:firstLine="640" w:firstLineChars="200"/>
        <w:rPr>
          <w:rFonts w:hint="eastAsia" w:ascii="方正书宋_GBK" w:hAnsi="方正书宋_GBK" w:eastAsia="方正书宋_GBK" w:cs="方正书宋_GBK"/>
          <w:color w:val="333333"/>
          <w:kern w:val="0"/>
          <w:sz w:val="32"/>
          <w:szCs w:val="32"/>
          <w:shd w:val="clear" w:color="auto" w:fill="FFFFFF"/>
        </w:rPr>
      </w:pPr>
    </w:p>
    <w:p w14:paraId="0DBF70BE">
      <w:pPr>
        <w:widowControl/>
        <w:snapToGrid w:val="0"/>
        <w:spacing w:line="660" w:lineRule="exact"/>
        <w:jc w:val="right"/>
        <w:rPr>
          <w:rFonts w:hint="eastAsia" w:ascii="方正书宋_GBK" w:hAnsi="方正书宋_GBK" w:eastAsia="方正书宋_GBK" w:cs="方正书宋_GBK"/>
          <w:color w:val="000000"/>
          <w:kern w:val="0"/>
          <w:sz w:val="32"/>
          <w:szCs w:val="32"/>
        </w:rPr>
      </w:pPr>
    </w:p>
    <w:p w14:paraId="57B5DC72">
      <w:pPr>
        <w:widowControl/>
        <w:snapToGrid w:val="0"/>
        <w:spacing w:line="660" w:lineRule="exact"/>
        <w:jc w:val="right"/>
        <w:rPr>
          <w:rFonts w:hint="eastAsia" w:ascii="方正书宋_GBK" w:hAnsi="方正书宋_GBK" w:eastAsia="方正书宋_GBK" w:cs="方正书宋_GBK"/>
          <w:color w:val="000000"/>
          <w:kern w:val="0"/>
          <w:sz w:val="32"/>
          <w:szCs w:val="32"/>
        </w:rPr>
      </w:pPr>
    </w:p>
    <w:p w14:paraId="18E4B870">
      <w:pPr>
        <w:widowControl/>
        <w:snapToGrid w:val="0"/>
        <w:spacing w:line="660" w:lineRule="exact"/>
        <w:jc w:val="right"/>
        <w:rPr>
          <w:rFonts w:hint="eastAsia" w:ascii="方正书宋_GBK" w:hAnsi="方正书宋_GBK" w:eastAsia="方正书宋_GBK" w:cs="方正书宋_GBK"/>
          <w:color w:val="000000"/>
          <w:kern w:val="0"/>
          <w:sz w:val="32"/>
          <w:szCs w:val="32"/>
        </w:rPr>
      </w:pPr>
    </w:p>
    <w:p w14:paraId="5CDAEABC">
      <w:pPr>
        <w:widowControl/>
        <w:snapToGrid w:val="0"/>
        <w:spacing w:line="660" w:lineRule="exact"/>
        <w:jc w:val="right"/>
        <w:rPr>
          <w:rFonts w:hint="eastAsia" w:ascii="方正书宋_GBK" w:hAnsi="方正书宋_GBK" w:eastAsia="方正书宋_GBK" w:cs="方正书宋_GBK"/>
          <w:color w:val="000000"/>
          <w:kern w:val="0"/>
          <w:sz w:val="32"/>
          <w:szCs w:val="32"/>
        </w:rPr>
      </w:pPr>
      <w:r>
        <w:rPr>
          <w:rFonts w:hint="eastAsia" w:ascii="方正书宋_GBK" w:hAnsi="方正书宋_GBK" w:eastAsia="方正书宋_GBK" w:cs="方正书宋_GBK"/>
          <w:color w:val="000000"/>
          <w:kern w:val="0"/>
          <w:sz w:val="32"/>
          <w:szCs w:val="32"/>
        </w:rPr>
        <w:t>乌鲁木齐县房屋征收与补偿管理办公室</w:t>
      </w:r>
    </w:p>
    <w:p w14:paraId="77525557">
      <w:pPr>
        <w:widowControl/>
        <w:wordWrap w:val="0"/>
        <w:snapToGrid w:val="0"/>
        <w:spacing w:line="660" w:lineRule="exact"/>
        <w:jc w:val="right"/>
        <w:rPr>
          <w:rFonts w:ascii="仿宋_GB2312" w:hAnsi="黑体" w:eastAsia="宋体" w:cs="Times New Roman"/>
          <w:color w:val="000000"/>
          <w:kern w:val="0"/>
          <w:sz w:val="32"/>
          <w:szCs w:val="32"/>
        </w:rPr>
      </w:pPr>
      <w:r>
        <w:rPr>
          <w:rFonts w:hint="eastAsia" w:ascii="方正书宋_GBK" w:hAnsi="方正书宋_GBK" w:eastAsia="方正书宋_GBK" w:cs="方正书宋_GBK"/>
          <w:color w:val="000000"/>
          <w:kern w:val="0"/>
          <w:sz w:val="32"/>
          <w:szCs w:val="32"/>
        </w:rPr>
        <w:t xml:space="preserve">2017年1月9日     </w:t>
      </w:r>
      <w:r>
        <w:rPr>
          <w:rFonts w:hint="eastAsia" w:ascii="仿宋_GB2312" w:hAnsi="黑体" w:eastAsia="宋体" w:cs="Times New Roman"/>
          <w:color w:val="000000"/>
          <w:kern w:val="0"/>
          <w:sz w:val="32"/>
          <w:szCs w:val="32"/>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书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B0522">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746B7C"/>
    <w:multiLevelType w:val="singleLevel"/>
    <w:tmpl w:val="58746B7C"/>
    <w:lvl w:ilvl="0" w:tentative="0">
      <w:start w:val="2"/>
      <w:numFmt w:val="decimal"/>
      <w:suff w:val="nothing"/>
      <w:lvlText w:val="%1．"/>
      <w:lvlJc w:val="left"/>
    </w:lvl>
  </w:abstractNum>
  <w:abstractNum w:abstractNumId="1">
    <w:nsid w:val="587471E7"/>
    <w:multiLevelType w:val="singleLevel"/>
    <w:tmpl w:val="587471E7"/>
    <w:lvl w:ilvl="0" w:tentative="0">
      <w:start w:val="3"/>
      <w:numFmt w:val="chineseCounting"/>
      <w:suff w:val="nothing"/>
      <w:lvlText w:val="（%1）"/>
      <w:lvlJc w:val="left"/>
    </w:lvl>
  </w:abstractNum>
  <w:abstractNum w:abstractNumId="2">
    <w:nsid w:val="58748633"/>
    <w:multiLevelType w:val="singleLevel"/>
    <w:tmpl w:val="58748633"/>
    <w:lvl w:ilvl="0" w:tentative="0">
      <w:start w:val="2"/>
      <w:numFmt w:val="decimal"/>
      <w:suff w:val="nothing"/>
      <w:lvlText w:val="%1、"/>
      <w:lvlJc w:val="left"/>
    </w:lvl>
  </w:abstractNum>
  <w:abstractNum w:abstractNumId="3">
    <w:nsid w:val="59F02EFB"/>
    <w:multiLevelType w:val="singleLevel"/>
    <w:tmpl w:val="59F02EFB"/>
    <w:lvl w:ilvl="0" w:tentative="0">
      <w:start w:val="5"/>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E04B3"/>
    <w:rsid w:val="00091C30"/>
    <w:rsid w:val="000D4236"/>
    <w:rsid w:val="001044B8"/>
    <w:rsid w:val="0012209C"/>
    <w:rsid w:val="001557AB"/>
    <w:rsid w:val="001819A3"/>
    <w:rsid w:val="002E4388"/>
    <w:rsid w:val="003E4B9B"/>
    <w:rsid w:val="004230DC"/>
    <w:rsid w:val="004805AF"/>
    <w:rsid w:val="004B49D4"/>
    <w:rsid w:val="00515513"/>
    <w:rsid w:val="00556A3A"/>
    <w:rsid w:val="005644E1"/>
    <w:rsid w:val="00602CB6"/>
    <w:rsid w:val="006C1A8D"/>
    <w:rsid w:val="006D1DCE"/>
    <w:rsid w:val="00716D77"/>
    <w:rsid w:val="00794BE4"/>
    <w:rsid w:val="00795E31"/>
    <w:rsid w:val="007A19E1"/>
    <w:rsid w:val="007C720E"/>
    <w:rsid w:val="007D01AB"/>
    <w:rsid w:val="007D2136"/>
    <w:rsid w:val="008D0A0F"/>
    <w:rsid w:val="008F6EA8"/>
    <w:rsid w:val="00982125"/>
    <w:rsid w:val="009824E6"/>
    <w:rsid w:val="009A7655"/>
    <w:rsid w:val="00A06ADB"/>
    <w:rsid w:val="00A923FB"/>
    <w:rsid w:val="00AC793E"/>
    <w:rsid w:val="00BD75E7"/>
    <w:rsid w:val="00BF4CE3"/>
    <w:rsid w:val="00C00FD0"/>
    <w:rsid w:val="00CA3EA6"/>
    <w:rsid w:val="00CD571A"/>
    <w:rsid w:val="00D32D0D"/>
    <w:rsid w:val="00D858D2"/>
    <w:rsid w:val="00E1341A"/>
    <w:rsid w:val="00E26267"/>
    <w:rsid w:val="00E8123F"/>
    <w:rsid w:val="00EB38E7"/>
    <w:rsid w:val="00EE04B3"/>
    <w:rsid w:val="00F076A5"/>
    <w:rsid w:val="00F501CA"/>
    <w:rsid w:val="00F54ADC"/>
    <w:rsid w:val="00F56575"/>
    <w:rsid w:val="00FB511C"/>
    <w:rsid w:val="00FB74E8"/>
    <w:rsid w:val="00FC57F6"/>
    <w:rsid w:val="012E082D"/>
    <w:rsid w:val="035B62C6"/>
    <w:rsid w:val="03F31D08"/>
    <w:rsid w:val="04281E8D"/>
    <w:rsid w:val="04912DC4"/>
    <w:rsid w:val="049C4CD8"/>
    <w:rsid w:val="08113589"/>
    <w:rsid w:val="08143ECB"/>
    <w:rsid w:val="08CB1A89"/>
    <w:rsid w:val="0963684B"/>
    <w:rsid w:val="0967777E"/>
    <w:rsid w:val="0B1B39FE"/>
    <w:rsid w:val="0C035EEE"/>
    <w:rsid w:val="0DE51393"/>
    <w:rsid w:val="0E7A1117"/>
    <w:rsid w:val="0E8C72CC"/>
    <w:rsid w:val="10955D86"/>
    <w:rsid w:val="1153259F"/>
    <w:rsid w:val="12C93A09"/>
    <w:rsid w:val="143F3406"/>
    <w:rsid w:val="14A57E42"/>
    <w:rsid w:val="16BA30CD"/>
    <w:rsid w:val="17140F5D"/>
    <w:rsid w:val="17D33F3C"/>
    <w:rsid w:val="1969009C"/>
    <w:rsid w:val="1AB113D1"/>
    <w:rsid w:val="1BCD5EA1"/>
    <w:rsid w:val="1C9E5C5E"/>
    <w:rsid w:val="1CC14481"/>
    <w:rsid w:val="1EBC3484"/>
    <w:rsid w:val="1EDA424F"/>
    <w:rsid w:val="23D502C2"/>
    <w:rsid w:val="242A1174"/>
    <w:rsid w:val="24910C3C"/>
    <w:rsid w:val="25BD3FFC"/>
    <w:rsid w:val="27446718"/>
    <w:rsid w:val="28B76943"/>
    <w:rsid w:val="2C2830A0"/>
    <w:rsid w:val="2DAE588C"/>
    <w:rsid w:val="2E332C93"/>
    <w:rsid w:val="2EB47E1F"/>
    <w:rsid w:val="2F4D1E3B"/>
    <w:rsid w:val="2F7B2EA2"/>
    <w:rsid w:val="2FAC7436"/>
    <w:rsid w:val="352A6ADA"/>
    <w:rsid w:val="36CD0D88"/>
    <w:rsid w:val="37CE67A4"/>
    <w:rsid w:val="37D21B03"/>
    <w:rsid w:val="389A1A94"/>
    <w:rsid w:val="3AF52191"/>
    <w:rsid w:val="3C07719D"/>
    <w:rsid w:val="3C1808EF"/>
    <w:rsid w:val="3D5647DF"/>
    <w:rsid w:val="3D921534"/>
    <w:rsid w:val="3F4009B5"/>
    <w:rsid w:val="429E0FBC"/>
    <w:rsid w:val="48AD6ECB"/>
    <w:rsid w:val="4D395709"/>
    <w:rsid w:val="4D9E2E96"/>
    <w:rsid w:val="4E135D05"/>
    <w:rsid w:val="503E38DC"/>
    <w:rsid w:val="50D65AB4"/>
    <w:rsid w:val="55141F2A"/>
    <w:rsid w:val="5609324C"/>
    <w:rsid w:val="589B5668"/>
    <w:rsid w:val="58D06B49"/>
    <w:rsid w:val="5CB31E86"/>
    <w:rsid w:val="5CF57AAC"/>
    <w:rsid w:val="5DA72F90"/>
    <w:rsid w:val="5DE46BBC"/>
    <w:rsid w:val="63022885"/>
    <w:rsid w:val="63C71D5C"/>
    <w:rsid w:val="65A67AD3"/>
    <w:rsid w:val="668B4DD2"/>
    <w:rsid w:val="681C0479"/>
    <w:rsid w:val="683A06AF"/>
    <w:rsid w:val="69416FC3"/>
    <w:rsid w:val="6AA13AE1"/>
    <w:rsid w:val="707F67D6"/>
    <w:rsid w:val="714A09FA"/>
    <w:rsid w:val="718D51A3"/>
    <w:rsid w:val="74796C53"/>
    <w:rsid w:val="7528022D"/>
    <w:rsid w:val="7BD51BE1"/>
    <w:rsid w:val="7E4C75D2"/>
    <w:rsid w:val="7EA71679"/>
    <w:rsid w:val="7EF01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3149</Words>
  <Characters>3983</Characters>
  <Lines>23</Lines>
  <Paragraphs>6</Paragraphs>
  <TotalTime>0</TotalTime>
  <ScaleCrop>false</ScaleCrop>
  <LinksUpToDate>false</LinksUpToDate>
  <CharactersWithSpaces>4001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2016-01-05T04:20:00Z</dcterms:created>
  <dc:creator>Administrator</dc:creator>
  <cp:lastModifiedBy>Arhen</cp:lastModifiedBy>
  <dcterms:modified xsi:type="dcterms:W3CDTF">2025-01-06T04:42:15Z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eyJoZGlkIjoiYjBmZDUxZDQwNTk3YWM2ZmY4YmE4ZDEyYjMyMzc0MmEiLCJ1c2VySWQiOiI4NTc3MzI1NjQifQ==</vt:lpwstr>
  </property>
  <property fmtid="{D5CDD505-2E9C-101B-9397-08002B2CF9AE}" pid="4" name="ICV">
    <vt:lpwstr>65A105DF44464565B6B0FC94F3829190_12</vt:lpwstr>
  </property>
</Properties>
</file>