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47C9C0">
      <w:r>
        <w:rPr>
          <w:rFonts w:hint="eastAsia"/>
        </w:rPr>
        <w:t xml:space="preserve">            </w:t>
      </w:r>
    </w:p>
    <w:p w14:paraId="1CD2A6D0">
      <w:pPr>
        <w:ind w:firstLine="3092" w:firstLineChars="700"/>
        <w:rPr>
          <w:rFonts w:ascii="仿宋" w:hAnsi="仿宋" w:eastAsia="仿宋"/>
          <w:b/>
          <w:sz w:val="44"/>
          <w:szCs w:val="44"/>
        </w:rPr>
      </w:pPr>
      <w:r>
        <w:rPr>
          <w:rFonts w:hint="eastAsia" w:ascii="仿宋" w:hAnsi="仿宋" w:eastAsia="仿宋"/>
          <w:b/>
          <w:sz w:val="44"/>
          <w:szCs w:val="44"/>
        </w:rPr>
        <w:t>情况说明</w:t>
      </w:r>
    </w:p>
    <w:p w14:paraId="636E1C56">
      <w:pPr>
        <w:rPr>
          <w:rFonts w:ascii="仿宋" w:hAnsi="仿宋" w:eastAsia="仿宋"/>
          <w:b/>
          <w:sz w:val="32"/>
          <w:szCs w:val="32"/>
        </w:rPr>
      </w:pPr>
    </w:p>
    <w:p w14:paraId="5A120F50">
      <w:pPr>
        <w:ind w:firstLine="643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一、机关运行经费及“三公”经费预算安排情况：</w:t>
      </w:r>
      <w:r>
        <w:rPr>
          <w:rFonts w:hint="eastAsia" w:ascii="仿宋" w:hAnsi="仿宋" w:eastAsia="仿宋"/>
          <w:sz w:val="32"/>
          <w:szCs w:val="32"/>
        </w:rPr>
        <w:t>严格按照商品和服务支出定额标准及在编人数核定。同时按照逐年压缩“三公”经费</w:t>
      </w:r>
      <w:bookmarkStart w:id="1" w:name="_GoBack"/>
      <w:bookmarkEnd w:id="1"/>
      <w:r>
        <w:rPr>
          <w:rFonts w:hint="eastAsia" w:ascii="仿宋" w:hAnsi="仿宋" w:eastAsia="仿宋"/>
          <w:sz w:val="32"/>
          <w:szCs w:val="32"/>
        </w:rPr>
        <w:t xml:space="preserve">预算的要求，三公经费预算压缩15%，三公经费预算安排减少，其中公务用车运行维护费预算35.55万元；公务接待费预算0.55万元。 </w:t>
      </w:r>
    </w:p>
    <w:p w14:paraId="1352A7C0">
      <w:pPr>
        <w:ind w:firstLine="482" w:firstLineChars="150"/>
        <w:rPr>
          <w:rFonts w:ascii="仿宋" w:hAnsi="仿宋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sz w:val="32"/>
          <w:szCs w:val="32"/>
        </w:rPr>
        <w:t>二、预算收支增减变化情况：</w:t>
      </w:r>
      <w:r>
        <w:rPr>
          <w:rFonts w:hint="eastAsia" w:ascii="仿宋" w:hAnsi="仿宋" w:eastAsia="仿宋"/>
          <w:sz w:val="32"/>
          <w:szCs w:val="32"/>
        </w:rPr>
        <w:t>2017年部门预算合计1255.19万元，与2016年相比有所增加。增加内容包括：乡镇自聘人员和保洁人员工资、环卫车辆费用、食堂伙食补助等；在编人员正常增资，社保、公积金相应增加。</w:t>
      </w:r>
    </w:p>
    <w:p w14:paraId="64C61067">
      <w:pPr>
        <w:rPr>
          <w:rFonts w:ascii="仿宋" w:hAnsi="仿宋" w:eastAsia="仿宋"/>
          <w:b/>
          <w:sz w:val="32"/>
          <w:szCs w:val="32"/>
        </w:rPr>
      </w:pPr>
      <w:r>
        <w:rPr>
          <w:rFonts w:ascii="仿宋" w:hAnsi="仿宋" w:eastAsia="仿宋"/>
          <w:sz w:val="32"/>
          <w:szCs w:val="32"/>
        </w:rPr>
        <w:t xml:space="preserve">   </w:t>
      </w:r>
      <w:r>
        <w:rPr>
          <w:rFonts w:hint="eastAsia" w:ascii="仿宋" w:hAnsi="仿宋" w:eastAsia="仿宋"/>
          <w:sz w:val="32"/>
          <w:szCs w:val="32"/>
        </w:rPr>
        <w:t>三、</w:t>
      </w:r>
      <w:r>
        <w:rPr>
          <w:rFonts w:hint="eastAsia" w:ascii="仿宋" w:hAnsi="仿宋" w:eastAsia="仿宋"/>
          <w:b/>
          <w:sz w:val="32"/>
          <w:szCs w:val="32"/>
        </w:rPr>
        <w:t>政府采购安排情况说明：</w:t>
      </w:r>
      <w:r>
        <w:rPr>
          <w:rFonts w:hint="eastAsia" w:ascii="仿宋" w:hAnsi="仿宋" w:eastAsia="仿宋"/>
          <w:sz w:val="32"/>
          <w:szCs w:val="32"/>
        </w:rPr>
        <w:t>政府采购预算根据本年度单位采购计划申报，本年度预算10万元。主要考虑各村老年活动中心设备采购、镇政府基本运转内的办公用品、耗材、后勤用品等。</w:t>
      </w:r>
    </w:p>
    <w:p w14:paraId="55D6242F">
      <w:pPr>
        <w:ind w:firstLine="482" w:firstLineChars="150"/>
        <w:rPr>
          <w:rFonts w:ascii="仿宋" w:hAnsi="仿宋" w:eastAsia="仿宋"/>
          <w:sz w:val="32"/>
          <w:szCs w:val="32"/>
        </w:rPr>
      </w:pPr>
      <w:bookmarkStart w:id="0" w:name="部门决算分析报告撰写提纲（部门用）"/>
      <w:r>
        <w:rPr>
          <w:rFonts w:hint="eastAsia" w:ascii="仿宋" w:hAnsi="仿宋" w:eastAsia="仿宋"/>
          <w:b/>
          <w:sz w:val="32"/>
          <w:szCs w:val="32"/>
        </w:rPr>
        <w:t>四：</w:t>
      </w:r>
      <w:r>
        <w:rPr>
          <w:rFonts w:hint="eastAsia" w:ascii="仿宋" w:hAnsi="仿宋" w:eastAsia="仿宋" w:cs="Times New Roman"/>
          <w:b/>
          <w:sz w:val="32"/>
          <w:szCs w:val="32"/>
        </w:rPr>
        <w:t>部门主要职责和机构设置情况</w:t>
      </w:r>
      <w:bookmarkEnd w:id="0"/>
    </w:p>
    <w:p w14:paraId="604E90AA">
      <w:pPr>
        <w:ind w:firstLine="482" w:firstLineChars="15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（一）基本情况</w:t>
      </w:r>
    </w:p>
    <w:p w14:paraId="08308E10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位于乌鲁木齐市南郊，距离南湖广场约40千米，是乌鲁木齐县委、县政府所在地，是一个以农为主、农牧、旅游并重的乡。全乡南北长90千米，东西长12千米，下辖灯草沟村、八家户村、板房沟村、七工村、合胜村、东湾村、中梁村、白杨沟村8个行政村和天峡社区、琴苑社区2个社区，全乡行政区域面积1063.7平方千米，耕地总面积103418亩，草场总面积108.6万亩。截止2014年底，全乡常住总人口达到2.17万人（其中，农业户15730人，城镇户2017人，流动人口3994人），主体民族为汉族、回族、哈萨克族。</w:t>
      </w:r>
    </w:p>
    <w:p w14:paraId="09736CFA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历史沿革</w:t>
      </w:r>
    </w:p>
    <w:p w14:paraId="7446A768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在明国初期曾隶属于迪化县南区，民国23年（1934年）归迪化县六区管辖。1950年2月，中共迪化县委六区工作委员会成立，同时成立了迪化县委第六区公所，别称河东区，区党委、政府驻地板房沟，所辖黄草梁子、板房沟、水西沟、乌拉泊、柴窝堡五个乡。1956年9月六区撤销，更名为板房沟乡，由原六区（河东区）的黄草梁子、板房沟两乡合并而来，同时成立了板房沟乡党支部。1958年9月中共乌鲁木齐县批准成立了红旗人民公社，辖板房沟和水西沟两个乡一个牧场，1963年1月红旗公社改为板房沟公社，辖板房沟、水西沟，松树头、托里4个区。1963年4月板房沟公社直属郃阳渠大队，新建七工、中梁、东湾、橙槽沟、白杨沟和胜利六个大队，并成立了各生产大队党支部，1963年6月将板房沟公社划分两个公社，即红旗公社和红太阳公社。1966年5月，成立板房沟公社管理委员会。1967年中共板房沟公社委员会改为向阳公社委员会。1969年9月成立板房沟公社革命委员会。1973年7月向阳公社又更名为板房沟公社，1973年8月14日成立板房沟公社革命委员会。1975年10月向阳公社正式改名为板房沟公社。1984年7月中共板房沟公社委员会改为中共板房沟乡委员会，辖中梁、东湾、八家户、白杨沟、七工、胜利、团结、板房沟灯草沟九个行政村。</w:t>
      </w:r>
      <w:r>
        <w:rPr>
          <w:rFonts w:hint="eastAsia" w:ascii="仿宋" w:hAnsi="仿宋" w:eastAsia="仿宋" w:cs="Times New Roman"/>
          <w:sz w:val="32"/>
          <w:szCs w:val="32"/>
        </w:rPr>
        <w:t>2016年二月经自治区批准，撤乡换镇，正式改为板房沟镇。</w:t>
      </w:r>
    </w:p>
    <w:p w14:paraId="660D8BDB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经济状况</w:t>
      </w:r>
    </w:p>
    <w:p w14:paraId="412B411B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全乡种植业以土豆、温室蔬菜、露地蔬菜为主，保护地及露地蔬菜生产已成为全乡种植业结构调整的支柱和龙头；畜牧业以传统畜牧业为主，旅游业以草原生态资源观光游、休闲度假避暑游和现代农业观光游为主。截止</w:t>
      </w:r>
      <w:r>
        <w:rPr>
          <w:rFonts w:ascii="仿宋" w:hAnsi="仿宋" w:eastAsia="仿宋" w:cs="Times New Roman"/>
          <w:b/>
          <w:sz w:val="32"/>
          <w:szCs w:val="32"/>
        </w:rPr>
        <w:t>2014</w:t>
      </w:r>
      <w:r>
        <w:rPr>
          <w:rFonts w:ascii="仿宋" w:hAnsi="仿宋" w:eastAsia="仿宋" w:cs="Times New Roman"/>
          <w:sz w:val="32"/>
          <w:szCs w:val="32"/>
        </w:rPr>
        <w:t>年底，全乡实现农村经济总收入</w:t>
      </w:r>
      <w:r>
        <w:rPr>
          <w:rFonts w:ascii="仿宋" w:hAnsi="仿宋" w:eastAsia="仿宋" w:cs="Times New Roman"/>
          <w:b/>
          <w:sz w:val="32"/>
          <w:szCs w:val="32"/>
        </w:rPr>
        <w:t>51643</w:t>
      </w:r>
      <w:r>
        <w:rPr>
          <w:rFonts w:ascii="仿宋" w:hAnsi="仿宋" w:eastAsia="仿宋" w:cs="Times New Roman"/>
          <w:sz w:val="32"/>
          <w:szCs w:val="32"/>
        </w:rPr>
        <w:t>万元；农牧民人均纯收入达到</w:t>
      </w:r>
      <w:r>
        <w:rPr>
          <w:rFonts w:ascii="仿宋" w:hAnsi="仿宋" w:eastAsia="仿宋" w:cs="Times New Roman"/>
          <w:b/>
          <w:sz w:val="32"/>
          <w:szCs w:val="32"/>
        </w:rPr>
        <w:t>13652</w:t>
      </w:r>
      <w:r>
        <w:rPr>
          <w:rFonts w:ascii="仿宋" w:hAnsi="仿宋" w:eastAsia="仿宋" w:cs="Times New Roman"/>
          <w:sz w:val="32"/>
          <w:szCs w:val="32"/>
        </w:rPr>
        <w:t>元；实现旅游收入</w:t>
      </w:r>
      <w:r>
        <w:rPr>
          <w:rFonts w:ascii="仿宋" w:hAnsi="仿宋" w:eastAsia="仿宋" w:cs="Times New Roman"/>
          <w:b/>
          <w:sz w:val="32"/>
          <w:szCs w:val="32"/>
        </w:rPr>
        <w:t>5152</w:t>
      </w:r>
      <w:r>
        <w:rPr>
          <w:rFonts w:ascii="仿宋" w:hAnsi="仿宋" w:eastAsia="仿宋" w:cs="Times New Roman"/>
          <w:sz w:val="32"/>
          <w:szCs w:val="32"/>
        </w:rPr>
        <w:t>万元。建成 “设施农业示范园区”</w:t>
      </w:r>
      <w:r>
        <w:rPr>
          <w:rFonts w:hint="eastAsia" w:ascii="仿宋" w:hAnsi="仿宋" w:eastAsia="仿宋" w:cs="Times New Roman"/>
          <w:sz w:val="32"/>
          <w:szCs w:val="32"/>
        </w:rPr>
        <w:t>和</w:t>
      </w:r>
      <w:r>
        <w:rPr>
          <w:rFonts w:ascii="仿宋" w:hAnsi="仿宋" w:eastAsia="仿宋" w:cs="Times New Roman"/>
          <w:sz w:val="32"/>
          <w:szCs w:val="32"/>
        </w:rPr>
        <w:t>27家农民经济合作组织，全乡肉、奶、禽蛋产量大幅增长，种养结构调整和农牧民增收迈出新步伐。</w:t>
      </w:r>
    </w:p>
    <w:p w14:paraId="6BF2944D">
      <w:pPr>
        <w:numPr>
          <w:ilvl w:val="0"/>
          <w:numId w:val="1"/>
        </w:numPr>
        <w:spacing w:line="500" w:lineRule="exact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自然景观</w:t>
      </w:r>
    </w:p>
    <w:p w14:paraId="358D4B84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板房沟乡境内旅游资源丰富，辖区内有天山大峡谷景区、绿野山庄2个景区和沙沟、白杨沟、鹰沟、金子沟、翠鸟花谷5个景点，新华联农业观光园也坐落在板房沟乡境内。</w:t>
      </w:r>
      <w:r>
        <w:rPr>
          <w:rFonts w:hint="eastAsia" w:ascii="仿宋" w:hAnsi="仿宋" w:eastAsia="仿宋" w:cs="Times New Roman"/>
          <w:sz w:val="32"/>
          <w:szCs w:val="32"/>
        </w:rPr>
        <w:t>近年来</w:t>
      </w:r>
      <w:r>
        <w:rPr>
          <w:rFonts w:ascii="仿宋" w:hAnsi="仿宋" w:eastAsia="仿宋" w:cs="Times New Roman"/>
          <w:sz w:val="32"/>
          <w:szCs w:val="32"/>
        </w:rPr>
        <w:t>，板房沟乡还投资2000余万元先后建成“鱼翔水岸”游园、“紫云台”观景台、“中梁村民游园”、“风车广场”、“果蔬满园”雕塑游园等5个游园。其中，被称为乌鲁木齐“新十景”之一的“天山第一庄”--绿野山庄，平均海拔2050米，是古冰川U型谷的遗存；翠谷幽烟的天山大峡谷属国家5A景区，是休闲度假的好去处。风景优美、空气清新的鹰沟和沙沟，拥有巨大的开发潜力。</w:t>
      </w:r>
    </w:p>
    <w:p w14:paraId="5BBC993F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四、</w:t>
      </w:r>
      <w:r>
        <w:rPr>
          <w:rFonts w:ascii="仿宋" w:hAnsi="仿宋" w:eastAsia="仿宋" w:cs="Times New Roman"/>
          <w:sz w:val="32"/>
          <w:szCs w:val="32"/>
        </w:rPr>
        <w:t>基层队伍结构</w:t>
      </w:r>
    </w:p>
    <w:p w14:paraId="10AE9D86">
      <w:pPr>
        <w:spacing w:line="500" w:lineRule="exact"/>
        <w:ind w:firstLine="660"/>
        <w:rPr>
          <w:rFonts w:ascii="仿宋" w:hAnsi="仿宋" w:eastAsia="仿宋" w:cs="Times New Roman"/>
          <w:b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全乡共有12个党支部，382名党员。有老干部</w:t>
      </w:r>
      <w:r>
        <w:rPr>
          <w:rFonts w:hint="eastAsia" w:ascii="仿宋" w:hAnsi="仿宋" w:eastAsia="仿宋" w:cs="Times New Roman"/>
          <w:sz w:val="32"/>
          <w:szCs w:val="32"/>
        </w:rPr>
        <w:t>21</w:t>
      </w:r>
      <w:r>
        <w:rPr>
          <w:rFonts w:ascii="仿宋" w:hAnsi="仿宋" w:eastAsia="仿宋" w:cs="Times New Roman"/>
          <w:sz w:val="32"/>
          <w:szCs w:val="32"/>
        </w:rPr>
        <w:t>人，老党员</w:t>
      </w:r>
      <w:r>
        <w:rPr>
          <w:rFonts w:hint="eastAsia" w:ascii="仿宋" w:hAnsi="仿宋" w:eastAsia="仿宋" w:cs="Times New Roman"/>
          <w:sz w:val="32"/>
          <w:szCs w:val="32"/>
        </w:rPr>
        <w:t>87</w:t>
      </w:r>
      <w:r>
        <w:rPr>
          <w:rFonts w:ascii="仿宋" w:hAnsi="仿宋" w:eastAsia="仿宋" w:cs="Times New Roman"/>
          <w:sz w:val="32"/>
          <w:szCs w:val="32"/>
        </w:rPr>
        <w:t>人，老模范</w:t>
      </w:r>
      <w:r>
        <w:rPr>
          <w:rFonts w:hint="eastAsia" w:ascii="仿宋" w:hAnsi="仿宋" w:eastAsia="仿宋" w:cs="Times New Roman"/>
          <w:sz w:val="32"/>
          <w:szCs w:val="32"/>
        </w:rPr>
        <w:t>3</w:t>
      </w:r>
      <w:r>
        <w:rPr>
          <w:rFonts w:ascii="仿宋" w:hAnsi="仿宋" w:eastAsia="仿宋" w:cs="Times New Roman"/>
          <w:sz w:val="32"/>
          <w:szCs w:val="32"/>
        </w:rPr>
        <w:t>人。全乡共有低保户476户（593人）。全乡建立村级治保会、调委会19个，建立村（社区）级警务室10个， “十户治安联防”组织50个。全乡共有县级重点部位43处，有重点人员43名。</w:t>
      </w:r>
      <w:r>
        <w:rPr>
          <w:rFonts w:hint="eastAsia" w:ascii="仿宋" w:hAnsi="仿宋" w:eastAsia="仿宋" w:cs="Times New Roman"/>
          <w:sz w:val="32"/>
          <w:szCs w:val="32"/>
        </w:rPr>
        <w:t>全乡村“两委”干部共有56名，社区工作人员32名。</w:t>
      </w:r>
    </w:p>
    <w:p w14:paraId="6FF5A6E3">
      <w:pPr>
        <w:spacing w:line="500" w:lineRule="exact"/>
        <w:ind w:firstLine="482" w:firstLineChars="150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（二）、项目效益</w:t>
      </w:r>
    </w:p>
    <w:p w14:paraId="0C82CCF7">
      <w:pPr>
        <w:spacing w:line="500" w:lineRule="exact"/>
        <w:rPr>
          <w:rFonts w:ascii="仿宋" w:hAnsi="仿宋" w:eastAsia="仿宋" w:cs="Times New Roman"/>
          <w:b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1、</w:t>
      </w:r>
      <w:r>
        <w:rPr>
          <w:rFonts w:ascii="仿宋" w:hAnsi="仿宋" w:eastAsia="仿宋" w:cs="Times New Roman"/>
          <w:b/>
          <w:sz w:val="32"/>
          <w:szCs w:val="32"/>
        </w:rPr>
        <w:t>严格土地规划建设，大力推进“两居”工程</w:t>
      </w:r>
    </w:p>
    <w:p w14:paraId="0FC167D4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围绕2016年与首府在全疆率先全面建成小康社会的目标，全面落实市</w:t>
      </w:r>
      <w:r>
        <w:rPr>
          <w:rFonts w:hint="eastAsia" w:ascii="仿宋" w:hAnsi="仿宋" w:eastAsia="仿宋" w:cs="Times New Roman"/>
          <w:sz w:val="32"/>
          <w:szCs w:val="32"/>
        </w:rPr>
        <w:t>、县委县政府</w:t>
      </w:r>
      <w:r>
        <w:rPr>
          <w:rFonts w:ascii="仿宋" w:hAnsi="仿宋" w:eastAsia="仿宋" w:cs="Times New Roman"/>
          <w:sz w:val="32"/>
          <w:szCs w:val="32"/>
        </w:rPr>
        <w:t>文件精神，因地制宜，</w:t>
      </w:r>
      <w:r>
        <w:rPr>
          <w:rFonts w:hint="eastAsia" w:ascii="仿宋" w:hAnsi="仿宋" w:eastAsia="仿宋" w:cs="Times New Roman"/>
          <w:sz w:val="32"/>
          <w:szCs w:val="32"/>
        </w:rPr>
        <w:t>打造“两个世界级”、“四个国家级”奋斗目标，</w:t>
      </w:r>
      <w:r>
        <w:rPr>
          <w:rFonts w:ascii="仿宋" w:hAnsi="仿宋" w:eastAsia="仿宋" w:cs="Times New Roman"/>
          <w:sz w:val="32"/>
          <w:szCs w:val="32"/>
        </w:rPr>
        <w:t>全力抓好“两居”工程建设，开展入户摸底</w:t>
      </w:r>
      <w:r>
        <w:rPr>
          <w:rFonts w:hint="eastAsia" w:ascii="仿宋" w:hAnsi="仿宋" w:eastAsia="仿宋" w:cs="Times New Roman"/>
          <w:sz w:val="32"/>
          <w:szCs w:val="32"/>
        </w:rPr>
        <w:t>调查</w:t>
      </w:r>
      <w:r>
        <w:rPr>
          <w:rFonts w:ascii="仿宋" w:hAnsi="仿宋" w:eastAsia="仿宋" w:cs="Times New Roman"/>
          <w:sz w:val="32"/>
          <w:szCs w:val="32"/>
        </w:rPr>
        <w:t>活动，就农牧民两居改造户数及实名制名单进行了核实</w:t>
      </w:r>
      <w:r>
        <w:rPr>
          <w:rFonts w:hint="eastAsia" w:ascii="仿宋" w:hAnsi="仿宋" w:eastAsia="仿宋" w:cs="Times New Roman"/>
          <w:sz w:val="32"/>
          <w:szCs w:val="32"/>
        </w:rPr>
        <w:t>，</w:t>
      </w:r>
      <w:r>
        <w:rPr>
          <w:rFonts w:ascii="仿宋" w:hAnsi="仿宋" w:eastAsia="仿宋" w:cs="Times New Roman"/>
          <w:sz w:val="32"/>
          <w:szCs w:val="32"/>
        </w:rPr>
        <w:t>对“两居”工程98家施工单位</w:t>
      </w:r>
      <w:r>
        <w:rPr>
          <w:rFonts w:hint="eastAsia" w:ascii="仿宋" w:hAnsi="仿宋" w:eastAsia="仿宋" w:cs="Times New Roman"/>
          <w:sz w:val="32"/>
          <w:szCs w:val="32"/>
        </w:rPr>
        <w:t>进行</w:t>
      </w:r>
      <w:r>
        <w:rPr>
          <w:rFonts w:ascii="仿宋" w:hAnsi="仿宋" w:eastAsia="仿宋" w:cs="Times New Roman"/>
          <w:sz w:val="32"/>
          <w:szCs w:val="32"/>
        </w:rPr>
        <w:t>备案</w:t>
      </w:r>
      <w:r>
        <w:rPr>
          <w:rFonts w:hint="eastAsia" w:ascii="仿宋" w:hAnsi="仿宋" w:eastAsia="仿宋" w:cs="Times New Roman"/>
          <w:sz w:val="32"/>
          <w:szCs w:val="32"/>
        </w:rPr>
        <w:t>并缴纳一定比例的保证金。专门成立领导小组，按照分工负责、齐抓共管的方式，</w:t>
      </w:r>
      <w:r>
        <w:rPr>
          <w:rFonts w:ascii="仿宋" w:hAnsi="仿宋" w:eastAsia="仿宋" w:cs="Times New Roman"/>
          <w:sz w:val="32"/>
          <w:szCs w:val="32"/>
        </w:rPr>
        <w:t>加大对“两居”建房的监督力度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</w:p>
    <w:p w14:paraId="0E432D50">
      <w:pPr>
        <w:spacing w:line="500" w:lineRule="exact"/>
        <w:ind w:firstLine="640" w:firstLineChars="200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截止201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年10月，</w:t>
      </w:r>
      <w:r>
        <w:rPr>
          <w:rFonts w:hint="eastAsia" w:ascii="仿宋" w:hAnsi="仿宋" w:eastAsia="仿宋" w:cs="Times New Roman"/>
          <w:sz w:val="32"/>
          <w:szCs w:val="32"/>
        </w:rPr>
        <w:t>2015年至2016年全乡两居工程动工户数为2870户</w:t>
      </w:r>
      <w:r>
        <w:rPr>
          <w:rFonts w:ascii="仿宋" w:hAnsi="仿宋" w:eastAsia="仿宋" w:cs="Times New Roman"/>
          <w:sz w:val="32"/>
          <w:szCs w:val="32"/>
        </w:rPr>
        <w:t>，</w:t>
      </w:r>
      <w:r>
        <w:rPr>
          <w:rFonts w:hint="eastAsia" w:ascii="仿宋" w:hAnsi="仿宋" w:eastAsia="仿宋" w:cs="Times New Roman"/>
          <w:sz w:val="32"/>
          <w:szCs w:val="32"/>
        </w:rPr>
        <w:t>约为前几年全乡动工户数的28倍。</w:t>
      </w:r>
      <w:r>
        <w:rPr>
          <w:rFonts w:ascii="仿宋" w:hAnsi="仿宋" w:eastAsia="仿宋" w:cs="Times New Roman"/>
          <w:sz w:val="32"/>
          <w:szCs w:val="32"/>
        </w:rPr>
        <w:t>发放竣工补助</w:t>
      </w:r>
      <w:r>
        <w:rPr>
          <w:rFonts w:hint="eastAsia" w:ascii="仿宋" w:hAnsi="仿宋" w:eastAsia="仿宋" w:cs="Times New Roman"/>
          <w:sz w:val="32"/>
          <w:szCs w:val="32"/>
        </w:rPr>
        <w:t>987.6</w:t>
      </w:r>
      <w:r>
        <w:rPr>
          <w:rFonts w:ascii="仿宋" w:hAnsi="仿宋" w:eastAsia="仿宋" w:cs="Times New Roman"/>
          <w:sz w:val="32"/>
          <w:szCs w:val="32"/>
        </w:rPr>
        <w:t>万元</w:t>
      </w:r>
      <w:r>
        <w:rPr>
          <w:rFonts w:hint="eastAsia" w:ascii="仿宋" w:hAnsi="仿宋" w:eastAsia="仿宋" w:cs="Times New Roman"/>
          <w:sz w:val="32"/>
          <w:szCs w:val="32"/>
        </w:rPr>
        <w:t>。其中，灯草沟三队牧民定居工程项目征占用土地398.4亩，建房户数131户，户均占地面积为500平方米，建设方式为异地集中建设。目前，该项目的基础设施已基本配套完毕，现正在落实搬迁入住工作。</w:t>
      </w:r>
    </w:p>
    <w:p w14:paraId="2C3D1938">
      <w:pPr>
        <w:spacing w:line="500" w:lineRule="exact"/>
        <w:jc w:val="left"/>
        <w:rPr>
          <w:rFonts w:ascii="仿宋" w:hAnsi="仿宋" w:eastAsia="仿宋" w:cs="Times New Roman"/>
          <w:sz w:val="32"/>
          <w:szCs w:val="32"/>
        </w:rPr>
      </w:pPr>
      <w:r>
        <w:rPr>
          <w:rFonts w:hint="eastAsia" w:ascii="仿宋" w:hAnsi="仿宋" w:eastAsia="仿宋" w:cs="Times New Roman"/>
          <w:b/>
          <w:sz w:val="32"/>
          <w:szCs w:val="32"/>
        </w:rPr>
        <w:t>2</w:t>
      </w:r>
      <w:r>
        <w:rPr>
          <w:rFonts w:ascii="仿宋" w:hAnsi="仿宋" w:eastAsia="仿宋" w:cs="Times New Roman"/>
          <w:b/>
          <w:sz w:val="32"/>
          <w:szCs w:val="32"/>
        </w:rPr>
        <w:t>、加强基础设施建设，推进新农村发展</w:t>
      </w:r>
    </w:p>
    <w:p w14:paraId="7543D014">
      <w:pPr>
        <w:spacing w:line="500" w:lineRule="exact"/>
        <w:ind w:firstLine="63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年“两居”基础设施配套工程共涉及9个集中改造点，新建砂石道路42公里、</w:t>
      </w:r>
      <w:r>
        <w:rPr>
          <w:rFonts w:hint="eastAsia" w:ascii="仿宋" w:hAnsi="仿宋" w:eastAsia="仿宋" w:cs="Times New Roman"/>
          <w:sz w:val="32"/>
          <w:szCs w:val="32"/>
        </w:rPr>
        <w:t>“两居”工程内部管网</w:t>
      </w:r>
      <w:r>
        <w:rPr>
          <w:rFonts w:ascii="仿宋" w:hAnsi="仿宋" w:eastAsia="仿宋" w:cs="Times New Roman"/>
          <w:sz w:val="32"/>
          <w:szCs w:val="32"/>
        </w:rPr>
        <w:t>供水管线25公里、排水管线28公里。同时在灯草沟三队牧民定居点</w:t>
      </w:r>
      <w:r>
        <w:rPr>
          <w:rFonts w:hint="eastAsia" w:ascii="仿宋" w:hAnsi="仿宋" w:eastAsia="仿宋" w:cs="Times New Roman"/>
          <w:sz w:val="32"/>
          <w:szCs w:val="32"/>
        </w:rPr>
        <w:t>的水、电、路基础设施已配套完毕，</w:t>
      </w:r>
      <w:r>
        <w:rPr>
          <w:rFonts w:ascii="仿宋" w:hAnsi="仿宋" w:eastAsia="仿宋" w:cs="Times New Roman"/>
          <w:sz w:val="32"/>
          <w:szCs w:val="32"/>
        </w:rPr>
        <w:t>安装路灯94套。</w:t>
      </w:r>
    </w:p>
    <w:p w14:paraId="3F6EC12D">
      <w:pPr>
        <w:spacing w:line="50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201</w:t>
      </w:r>
      <w:r>
        <w:rPr>
          <w:rFonts w:hint="eastAsia" w:ascii="仿宋" w:hAnsi="仿宋" w:eastAsia="仿宋" w:cs="Times New Roman"/>
          <w:sz w:val="32"/>
          <w:szCs w:val="32"/>
        </w:rPr>
        <w:t>6</w:t>
      </w:r>
      <w:r>
        <w:rPr>
          <w:rFonts w:ascii="仿宋" w:hAnsi="仿宋" w:eastAsia="仿宋" w:cs="Times New Roman"/>
          <w:sz w:val="32"/>
          <w:szCs w:val="32"/>
        </w:rPr>
        <w:t>年，全乡已先后启动7个基础设施建设项目，其中，中梁、东湾5000亩农业综合开发渠道建设项目正在施工，已在中梁村和东湾村分别完成了1.2公里和8公里的U型渠建设；黄草梁子干渠建设已完工。总长18.1公里的板房沟乡自来水供水</w:t>
      </w:r>
      <w:r>
        <w:rPr>
          <w:rFonts w:hint="eastAsia" w:ascii="仿宋" w:hAnsi="仿宋" w:eastAsia="仿宋" w:cs="Times New Roman"/>
          <w:sz w:val="32"/>
          <w:szCs w:val="32"/>
        </w:rPr>
        <w:t>一期主</w:t>
      </w:r>
      <w:r>
        <w:rPr>
          <w:rFonts w:ascii="仿宋" w:hAnsi="仿宋" w:eastAsia="仿宋" w:cs="Times New Roman"/>
          <w:sz w:val="32"/>
          <w:szCs w:val="32"/>
        </w:rPr>
        <w:t>管网项目</w:t>
      </w:r>
      <w:r>
        <w:rPr>
          <w:rFonts w:hint="eastAsia" w:ascii="仿宋" w:hAnsi="仿宋" w:eastAsia="仿宋" w:cs="Times New Roman"/>
          <w:sz w:val="32"/>
          <w:szCs w:val="32"/>
        </w:rPr>
        <w:t>已</w:t>
      </w:r>
      <w:r>
        <w:rPr>
          <w:rFonts w:ascii="仿宋" w:hAnsi="仿宋" w:eastAsia="仿宋" w:cs="Times New Roman"/>
          <w:sz w:val="32"/>
          <w:szCs w:val="32"/>
        </w:rPr>
        <w:t>贯通，供排水管道二期</w:t>
      </w:r>
      <w:r>
        <w:rPr>
          <w:rFonts w:hint="eastAsia" w:ascii="仿宋" w:hAnsi="仿宋" w:eastAsia="仿宋" w:cs="Times New Roman"/>
          <w:sz w:val="32"/>
          <w:szCs w:val="32"/>
        </w:rPr>
        <w:t>支</w:t>
      </w:r>
      <w:r>
        <w:rPr>
          <w:rFonts w:ascii="仿宋" w:hAnsi="仿宋" w:eastAsia="仿宋" w:cs="Times New Roman"/>
          <w:sz w:val="32"/>
          <w:szCs w:val="32"/>
        </w:rPr>
        <w:t>管线39.7公里,目前正在施工当中；全乡11公里的排水管网建设工程已完成；同时建立供排水主管线配套建筑物310座；总长1.3公里的合胜村360片区供水管网铺设工程</w:t>
      </w:r>
      <w:r>
        <w:rPr>
          <w:rFonts w:hint="eastAsia" w:ascii="仿宋" w:hAnsi="仿宋" w:eastAsia="仿宋" w:cs="Times New Roman"/>
          <w:sz w:val="32"/>
          <w:szCs w:val="32"/>
        </w:rPr>
        <w:t>已完工并开始</w:t>
      </w:r>
      <w:r>
        <w:rPr>
          <w:rFonts w:ascii="仿宋" w:hAnsi="仿宋" w:eastAsia="仿宋" w:cs="Times New Roman"/>
          <w:sz w:val="32"/>
          <w:szCs w:val="32"/>
        </w:rPr>
        <w:t>供水。此外，全乡6个村9个点的基础设施配套计划已列入全县基础设施配套项目，建成后将极大地提升我乡各村基础设施现代化水平。</w:t>
      </w:r>
      <w:r>
        <w:rPr>
          <w:rFonts w:hint="eastAsia" w:ascii="仿宋" w:hAnsi="仿宋" w:eastAsia="仿宋" w:cs="Times New Roman"/>
          <w:sz w:val="32"/>
          <w:szCs w:val="32"/>
        </w:rPr>
        <w:t>改善了农村生产生活条件、村容村貌，为全面加快农村建设发展步伐，使乌鲁木齐县的各村农牧民群众在全县率先实现村居道路硬化、照明、自来水入户等。</w:t>
      </w:r>
    </w:p>
    <w:p w14:paraId="2B326224">
      <w:pPr>
        <w:snapToGrid w:val="0"/>
        <w:spacing w:line="660" w:lineRule="exact"/>
        <w:ind w:firstLine="640" w:firstLineChars="200"/>
        <w:rPr>
          <w:rFonts w:ascii="仿宋" w:hAnsi="仿宋" w:eastAsia="仿宋" w:cs="Times New Roman"/>
          <w:sz w:val="32"/>
          <w:szCs w:val="32"/>
        </w:rPr>
      </w:pPr>
    </w:p>
    <w:p w14:paraId="040E3873">
      <w:pPr>
        <w:rPr>
          <w:rFonts w:ascii="仿宋" w:hAnsi="仿宋" w:eastAsia="仿宋"/>
          <w:sz w:val="32"/>
          <w:szCs w:val="32"/>
        </w:rPr>
      </w:pPr>
    </w:p>
    <w:p w14:paraId="51C28D1A">
      <w:pPr>
        <w:ind w:firstLine="643" w:firstLineChars="200"/>
        <w:rPr>
          <w:rFonts w:ascii="仿宋" w:hAnsi="仿宋" w:eastAsia="仿宋"/>
          <w:b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7B6C59"/>
    <w:multiLevelType w:val="multilevel"/>
    <w:tmpl w:val="617B6C59"/>
    <w:lvl w:ilvl="0" w:tentative="0">
      <w:start w:val="1"/>
      <w:numFmt w:val="japaneseCounting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59680A"/>
    <w:rsid w:val="003413BC"/>
    <w:rsid w:val="00364135"/>
    <w:rsid w:val="005364E2"/>
    <w:rsid w:val="0059680A"/>
    <w:rsid w:val="00890C99"/>
    <w:rsid w:val="00A27F39"/>
    <w:rsid w:val="00A46142"/>
    <w:rsid w:val="00D56B00"/>
    <w:rsid w:val="00F307EC"/>
    <w:rsid w:val="00FF5F27"/>
    <w:rsid w:val="05D95E02"/>
    <w:rsid w:val="0E442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2449</Words>
  <Characters>2649</Characters>
  <Lines>19</Lines>
  <Paragraphs>5</Paragraphs>
  <TotalTime>5</TotalTime>
  <ScaleCrop>false</ScaleCrop>
  <LinksUpToDate>false</LinksUpToDate>
  <CharactersWithSpaces>2667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2017-10-24T07:54:00Z</dcterms:created>
  <dc:creator>Administrator</dc:creator>
  <cp:lastModifiedBy>Arhen</cp:lastModifiedBy>
  <dcterms:modified xsi:type="dcterms:W3CDTF">2025-01-06T04:52:18Z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eyJoZGlkIjoiYjBmZDUxZDQwNTk3YWM2ZmY4YmE4ZDEyYjMyMzc0MmEiLCJ1c2VySWQiOiI4NTc3MzI1NjQifQ==</vt:lpwstr>
  </property>
  <property fmtid="{D5CDD505-2E9C-101B-9397-08002B2CF9AE}" pid="4" name="ICV">
    <vt:lpwstr>21900BED127D423EBF1B9592CA60048C_12</vt:lpwstr>
  </property>
</Properties>
</file>