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olor w:val="FF0000"/>
          <w:spacing w:val="100"/>
          <w:w w:val="70"/>
          <w:sz w:val="80"/>
          <w:szCs w:val="80"/>
        </w:rPr>
      </w:pPr>
      <w:r>
        <w:rPr>
          <w:rFonts w:ascii="Times New Roman" w:hAnsi="Times New Roman" w:eastAsia="方正小标宋_GBK"/>
          <w:color w:val="FF0000"/>
          <w:spacing w:val="100"/>
          <w:w w:val="70"/>
          <w:sz w:val="80"/>
          <w:szCs w:val="80"/>
        </w:rPr>
        <w:t>乌鲁木齐县人民政府办公室</w:t>
      </w:r>
    </w:p>
    <w:p>
      <w:pPr>
        <w:spacing w:line="560" w:lineRule="exact"/>
        <w:rPr>
          <w:rFonts w:ascii="Times New Roman" w:hAnsi="方正小标宋_GBK" w:eastAsia="方正小标宋_GBK"/>
          <w:sz w:val="44"/>
          <w:szCs w:val="44"/>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-188595</wp:posOffset>
                </wp:positionH>
                <wp:positionV relativeFrom="paragraph">
                  <wp:posOffset>57785</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85pt;margin-top:4.55pt;height:0pt;width:481.9pt;z-index:251659264;mso-width-relative:page;mso-height-relative:page;" filled="f" stroked="t" coordsize="21600,21600" o:gfxdata="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KHT8/SAAAABwEAAA8AAAAAAAAAAQAgAAAAIgAAAGRycy9kb3ducmV2Lnht&#10;bFBLAQIUABQAAAAIAIdO4kCseM6//wEAAPkDAAAOAAAAAAAAAAEAIAAAACEBAABkcnMvZTJvRG9j&#10;LnhtbFBLBQYAAAAABgAGAFkBAACSBQAAAAA=&#10;">
                <v:fill on="f" focussize="0,0"/>
                <v:stroke weight="4.5pt" color="#FF0000" linestyle="thickThin" joinstyle="round"/>
                <v:imagedata o:title=""/>
                <o:lock v:ext="edit" aspectratio="f"/>
              </v:line>
            </w:pict>
          </mc:Fallback>
        </mc:AlternateContent>
      </w:r>
      <w:r>
        <w:rPr>
          <w:rFonts w:ascii="Times New Roman" w:hAnsi="Times New Roman" w:eastAsia="方正小标宋_GBK"/>
          <w:sz w:val="44"/>
          <w:szCs w:val="44"/>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p>
    <w:p>
      <w:pPr>
        <w:widowControl/>
        <w:spacing w:line="560" w:lineRule="exact"/>
        <w:ind w:firstLine="480"/>
        <w:jc w:val="center"/>
        <w:rPr>
          <w:rFonts w:ascii="Times New Roman" w:hAnsi="Times New Roman" w:eastAsia="方正小标宋_GBK"/>
          <w:color w:val="2B2B2B"/>
          <w:kern w:val="0"/>
          <w:sz w:val="44"/>
          <w:szCs w:val="44"/>
        </w:rPr>
      </w:pPr>
      <w:r>
        <w:rPr>
          <w:rFonts w:ascii="Times New Roman" w:hAnsi="Times New Roman" w:eastAsia="方正小标宋_GBK"/>
          <w:color w:val="2B2B2B"/>
          <w:kern w:val="0"/>
          <w:sz w:val="44"/>
          <w:szCs w:val="44"/>
        </w:rPr>
        <w:t>乌鲁木齐县20</w:t>
      </w:r>
      <w:r>
        <w:rPr>
          <w:rFonts w:hint="eastAsia" w:ascii="Times New Roman" w:hAnsi="Times New Roman" w:eastAsia="方正小标宋_GBK"/>
          <w:color w:val="2B2B2B"/>
          <w:kern w:val="0"/>
          <w:sz w:val="44"/>
          <w:szCs w:val="44"/>
          <w:lang w:val="en-US" w:eastAsia="zh-CN"/>
        </w:rPr>
        <w:t>18</w:t>
      </w:r>
      <w:r>
        <w:rPr>
          <w:rFonts w:ascii="Times New Roman" w:hAnsi="Times New Roman" w:eastAsia="方正小标宋_GBK"/>
          <w:color w:val="2B2B2B"/>
          <w:kern w:val="0"/>
          <w:sz w:val="44"/>
          <w:szCs w:val="44"/>
        </w:rPr>
        <w:t>年政府信息公开工作</w:t>
      </w:r>
    </w:p>
    <w:p>
      <w:pPr>
        <w:widowControl/>
        <w:spacing w:line="560" w:lineRule="exact"/>
        <w:ind w:firstLine="480"/>
        <w:jc w:val="center"/>
        <w:rPr>
          <w:rFonts w:ascii="Times New Roman" w:hAnsi="Times New Roman" w:eastAsia="方正小标宋_GBK"/>
          <w:color w:val="2B2B2B"/>
          <w:kern w:val="0"/>
          <w:sz w:val="44"/>
          <w:szCs w:val="44"/>
        </w:rPr>
      </w:pPr>
      <w:r>
        <w:rPr>
          <w:rFonts w:ascii="Times New Roman" w:hAnsi="Times New Roman" w:eastAsia="方正小标宋_GBK"/>
          <w:color w:val="2B2B2B"/>
          <w:kern w:val="0"/>
          <w:sz w:val="44"/>
          <w:szCs w:val="44"/>
        </w:rPr>
        <w:t>年度报告</w:t>
      </w:r>
    </w:p>
    <w:p>
      <w:pPr>
        <w:widowControl/>
        <w:spacing w:line="560" w:lineRule="exact"/>
        <w:ind w:firstLine="640" w:firstLineChars="200"/>
        <w:jc w:val="left"/>
        <w:rPr>
          <w:rFonts w:ascii="Times New Roman" w:hAnsi="Times New Roman" w:eastAsia="方正仿宋_GBK"/>
          <w:color w:val="2B2B2B"/>
          <w:kern w:val="0"/>
          <w:sz w:val="32"/>
          <w:szCs w:val="32"/>
        </w:rPr>
      </w:pPr>
    </w:p>
    <w:p>
      <w:pPr>
        <w:widowControl/>
        <w:spacing w:line="560" w:lineRule="exact"/>
        <w:ind w:firstLine="640" w:firstLineChars="200"/>
        <w:jc w:val="left"/>
        <w:rPr>
          <w:rFonts w:ascii="Times New Roman" w:hAnsi="Times New Roman" w:eastAsia="方正仿宋_GBK"/>
          <w:color w:val="2B2B2B"/>
          <w:kern w:val="0"/>
          <w:sz w:val="32"/>
          <w:szCs w:val="32"/>
        </w:rPr>
      </w:pPr>
      <w:r>
        <w:rPr>
          <w:rFonts w:ascii="Times New Roman" w:hAnsi="Times New Roman" w:eastAsia="方正仿宋_GBK"/>
          <w:color w:val="2B2B2B"/>
          <w:kern w:val="0"/>
          <w:sz w:val="32"/>
          <w:szCs w:val="32"/>
        </w:rPr>
        <w:t>根据《中华人民共和国政府信息公开条例》规定，按照乌鲁木齐市人民政府办公室《关于做好政府信息公开工作年度报告编制工作的通知》</w:t>
      </w:r>
      <w:r>
        <w:rPr>
          <w:rFonts w:hint="eastAsia" w:ascii="Times New Roman" w:hAnsi="Times New Roman" w:eastAsia="方正仿宋_GBK"/>
          <w:color w:val="2B2B2B"/>
          <w:kern w:val="0"/>
          <w:sz w:val="32"/>
          <w:szCs w:val="32"/>
          <w:lang w:val="en-US" w:eastAsia="zh-CN"/>
        </w:rPr>
        <w:t>文件</w:t>
      </w:r>
      <w:r>
        <w:rPr>
          <w:rFonts w:ascii="Times New Roman" w:hAnsi="Times New Roman" w:eastAsia="方正仿宋_GBK"/>
          <w:color w:val="2B2B2B"/>
          <w:kern w:val="0"/>
          <w:sz w:val="32"/>
          <w:szCs w:val="32"/>
        </w:rPr>
        <w:t>要求，现公布20</w:t>
      </w:r>
      <w:r>
        <w:rPr>
          <w:rFonts w:hint="eastAsia" w:ascii="Times New Roman" w:hAnsi="Times New Roman" w:eastAsia="方正仿宋_GBK"/>
          <w:color w:val="2B2B2B"/>
          <w:kern w:val="0"/>
          <w:sz w:val="32"/>
          <w:szCs w:val="32"/>
          <w:lang w:val="en-US" w:eastAsia="zh-CN"/>
        </w:rPr>
        <w:t>18</w:t>
      </w:r>
      <w:r>
        <w:rPr>
          <w:rFonts w:ascii="Times New Roman" w:hAnsi="Times New Roman" w:eastAsia="方正仿宋_GBK"/>
          <w:color w:val="2B2B2B"/>
          <w:kern w:val="0"/>
          <w:sz w:val="32"/>
          <w:szCs w:val="32"/>
        </w:rPr>
        <w:t>年本级政府信息公开工作年度报告。报告主要由总体情况、行政机关主动公开政府信息情况、收到和处理政府信息公开申请情况、政府信息公开工作被申请行政复议和提起行政诉讼情况、政府信息公开工作存在的主要问题及改进情况和其他需要报告的事项六部分内容。本年度报告所列数据统计期限自20</w:t>
      </w:r>
      <w:r>
        <w:rPr>
          <w:rFonts w:hint="eastAsia" w:ascii="Times New Roman" w:hAnsi="Times New Roman" w:eastAsia="方正仿宋_GBK"/>
          <w:color w:val="2B2B2B"/>
          <w:kern w:val="0"/>
          <w:sz w:val="32"/>
          <w:szCs w:val="32"/>
          <w:lang w:val="en-US" w:eastAsia="zh-CN"/>
        </w:rPr>
        <w:t>18</w:t>
      </w:r>
      <w:r>
        <w:rPr>
          <w:rFonts w:ascii="Times New Roman" w:hAnsi="Times New Roman" w:eastAsia="方正仿宋_GBK"/>
          <w:color w:val="2B2B2B"/>
          <w:kern w:val="0"/>
          <w:sz w:val="32"/>
          <w:szCs w:val="32"/>
        </w:rPr>
        <w:t>年1月1日起至20</w:t>
      </w:r>
      <w:r>
        <w:rPr>
          <w:rFonts w:hint="eastAsia" w:ascii="Times New Roman" w:hAnsi="Times New Roman" w:eastAsia="方正仿宋_GBK"/>
          <w:color w:val="2B2B2B"/>
          <w:kern w:val="0"/>
          <w:sz w:val="32"/>
          <w:szCs w:val="32"/>
          <w:lang w:val="en-US" w:eastAsia="zh-CN"/>
        </w:rPr>
        <w:t>18</w:t>
      </w:r>
      <w:r>
        <w:rPr>
          <w:rFonts w:ascii="Times New Roman" w:hAnsi="Times New Roman" w:eastAsia="方正仿宋_GBK"/>
          <w:color w:val="2B2B2B"/>
          <w:kern w:val="0"/>
          <w:sz w:val="32"/>
          <w:szCs w:val="32"/>
        </w:rPr>
        <w:t>年12月31日止。</w:t>
      </w:r>
    </w:p>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一、总体情况</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（一）主动公开情况。</w:t>
      </w:r>
      <w:r>
        <w:rPr>
          <w:rFonts w:ascii="Times New Roman" w:hAnsi="Times New Roman" w:eastAsia="方正仿宋_GBK"/>
          <w:color w:val="2B2B2B"/>
          <w:kern w:val="0"/>
          <w:sz w:val="32"/>
          <w:szCs w:val="32"/>
        </w:rPr>
        <w:t>严格按照决策、执行、管理、服务、结果“五公开”的要求，不断加强主动公开力度，拓展公开广度和深度，切实提高政务公开质量和效果。20</w:t>
      </w:r>
      <w:r>
        <w:rPr>
          <w:rFonts w:hint="eastAsia" w:ascii="Times New Roman" w:hAnsi="Times New Roman" w:eastAsia="方正仿宋_GBK"/>
          <w:color w:val="2B2B2B"/>
          <w:kern w:val="0"/>
          <w:sz w:val="32"/>
          <w:szCs w:val="32"/>
          <w:lang w:val="en-US" w:eastAsia="zh-CN"/>
        </w:rPr>
        <w:t>18</w:t>
      </w:r>
      <w:r>
        <w:rPr>
          <w:rFonts w:ascii="Times New Roman" w:hAnsi="Times New Roman" w:eastAsia="方正仿宋_GBK"/>
          <w:color w:val="2B2B2B"/>
          <w:kern w:val="0"/>
          <w:sz w:val="32"/>
          <w:szCs w:val="32"/>
        </w:rPr>
        <w:t>年，我县通过政府网站主动发布信息</w:t>
      </w:r>
      <w:r>
        <w:rPr>
          <w:rFonts w:hint="eastAsia" w:ascii="Times New Roman" w:hAnsi="Times New Roman" w:eastAsia="方正仿宋_GBK"/>
          <w:color w:val="2B2B2B"/>
          <w:kern w:val="0"/>
          <w:sz w:val="32"/>
          <w:szCs w:val="32"/>
          <w:lang w:val="en-US" w:eastAsia="zh-CN"/>
        </w:rPr>
        <w:t>1055</w:t>
      </w:r>
      <w:r>
        <w:rPr>
          <w:rFonts w:ascii="Times New Roman" w:hAnsi="Times New Roman" w:eastAsia="方正仿宋_GBK"/>
          <w:color w:val="2B2B2B"/>
          <w:kern w:val="0"/>
          <w:sz w:val="32"/>
          <w:szCs w:val="32"/>
        </w:rPr>
        <w:t>条，</w:t>
      </w:r>
      <w:r>
        <w:rPr>
          <w:rFonts w:hint="eastAsia" w:ascii="Times New Roman" w:hAnsi="Times New Roman" w:eastAsia="方正仿宋_GBK"/>
          <w:color w:val="2B2B2B"/>
          <w:kern w:val="0"/>
          <w:sz w:val="32"/>
          <w:szCs w:val="32"/>
        </w:rPr>
        <w:t>主要包括县政府政务公开保障制度、政府公开年度报告、依申请公开、预决算经费公开、和自治区、市、区县政治、经济、社会、文化、公共卫生等政务信息。</w:t>
      </w:r>
    </w:p>
    <w:p>
      <w:pPr>
        <w:widowControl/>
        <w:spacing w:line="560" w:lineRule="exact"/>
        <w:ind w:firstLine="640" w:firstLineChars="200"/>
        <w:jc w:val="left"/>
        <w:rPr>
          <w:rFonts w:hint="eastAsia" w:ascii="方正楷体_GBK" w:hAnsi="Times New Roman" w:eastAsia="方正楷体_GBK"/>
          <w:color w:val="2B2B2B"/>
          <w:kern w:val="0"/>
          <w:sz w:val="32"/>
          <w:szCs w:val="32"/>
        </w:rPr>
      </w:pPr>
      <w:r>
        <w:rPr>
          <w:rFonts w:hint="eastAsia" w:ascii="方正楷体_GBK" w:hAnsi="Times New Roman" w:eastAsia="方正楷体_GBK"/>
          <w:color w:val="2B2B2B"/>
          <w:kern w:val="0"/>
          <w:sz w:val="32"/>
          <w:szCs w:val="32"/>
        </w:rPr>
        <w:t>（二）依申请公开情况。</w:t>
      </w:r>
    </w:p>
    <w:p>
      <w:pPr>
        <w:widowControl/>
        <w:spacing w:line="560" w:lineRule="exact"/>
        <w:ind w:firstLine="640" w:firstLineChars="200"/>
        <w:jc w:val="left"/>
        <w:rPr>
          <w:rFonts w:hint="eastAsia" w:ascii="Times New Roman" w:hAnsi="Times New Roman" w:eastAsia="方正仿宋_GBK"/>
          <w:color w:val="2B2B2B"/>
          <w:kern w:val="0"/>
          <w:sz w:val="32"/>
          <w:szCs w:val="32"/>
        </w:rPr>
      </w:pPr>
      <w:r>
        <w:rPr>
          <w:rFonts w:hint="eastAsia" w:ascii="Times New Roman" w:hAnsi="Times New Roman" w:eastAsia="方正仿宋_GBK"/>
          <w:color w:val="2B2B2B"/>
          <w:kern w:val="0"/>
          <w:sz w:val="32"/>
          <w:szCs w:val="32"/>
        </w:rPr>
        <w:t>201</w:t>
      </w:r>
      <w:r>
        <w:rPr>
          <w:rFonts w:hint="eastAsia" w:ascii="Times New Roman" w:hAnsi="Times New Roman" w:eastAsia="方正仿宋_GBK"/>
          <w:color w:val="2B2B2B"/>
          <w:kern w:val="0"/>
          <w:sz w:val="32"/>
          <w:szCs w:val="32"/>
          <w:lang w:val="en-US" w:eastAsia="zh-CN"/>
        </w:rPr>
        <w:t>8</w:t>
      </w:r>
      <w:r>
        <w:rPr>
          <w:rFonts w:hint="eastAsia" w:ascii="Times New Roman" w:hAnsi="Times New Roman" w:eastAsia="方正仿宋_GBK"/>
          <w:color w:val="2B2B2B"/>
          <w:kern w:val="0"/>
          <w:sz w:val="32"/>
          <w:szCs w:val="32"/>
        </w:rPr>
        <w:t>年</w:t>
      </w:r>
      <w:r>
        <w:rPr>
          <w:rFonts w:hint="eastAsia" w:ascii="Times New Roman" w:hAnsi="Times New Roman" w:eastAsia="方正仿宋_GBK"/>
          <w:color w:val="2B2B2B"/>
          <w:kern w:val="0"/>
          <w:sz w:val="32"/>
          <w:szCs w:val="32"/>
          <w:lang w:val="en-US" w:eastAsia="zh-CN"/>
        </w:rPr>
        <w:t>乌鲁木齐县</w:t>
      </w:r>
      <w:r>
        <w:rPr>
          <w:rFonts w:hint="eastAsia" w:ascii="Times New Roman" w:hAnsi="Times New Roman" w:eastAsia="方正仿宋_GBK"/>
          <w:color w:val="2B2B2B"/>
          <w:kern w:val="0"/>
          <w:sz w:val="32"/>
          <w:szCs w:val="32"/>
        </w:rPr>
        <w:t>无依申请公开的政府信息。</w:t>
      </w:r>
    </w:p>
    <w:p>
      <w:pPr>
        <w:widowControl/>
        <w:spacing w:line="560" w:lineRule="exact"/>
        <w:ind w:firstLine="640" w:firstLineChars="200"/>
        <w:jc w:val="left"/>
        <w:rPr>
          <w:rFonts w:hint="eastAsia" w:ascii="方正楷体_GBK" w:hAnsi="Times New Roman" w:eastAsia="方正楷体_GBK"/>
          <w:color w:val="2B2B2B"/>
          <w:kern w:val="0"/>
          <w:sz w:val="32"/>
          <w:szCs w:val="32"/>
        </w:rPr>
      </w:pPr>
      <w:r>
        <w:rPr>
          <w:rFonts w:hint="eastAsia" w:ascii="方正楷体_GBK" w:hAnsi="Times New Roman" w:eastAsia="方正楷体_GBK"/>
          <w:color w:val="2B2B2B"/>
          <w:kern w:val="0"/>
          <w:sz w:val="32"/>
          <w:szCs w:val="32"/>
        </w:rPr>
        <w:t>（三）因政府信息公开工作被申请行政复议、提起行政诉讼的情况</w:t>
      </w:r>
    </w:p>
    <w:p>
      <w:pPr>
        <w:widowControl/>
        <w:spacing w:line="560" w:lineRule="exact"/>
        <w:ind w:firstLine="640" w:firstLineChars="200"/>
        <w:jc w:val="left"/>
        <w:rPr>
          <w:rFonts w:hint="eastAsia" w:ascii="Times New Roman" w:hAnsi="Times New Roman" w:eastAsia="方正仿宋_GBK"/>
          <w:color w:val="2B2B2B"/>
          <w:kern w:val="0"/>
          <w:sz w:val="32"/>
          <w:szCs w:val="32"/>
        </w:rPr>
      </w:pPr>
      <w:r>
        <w:rPr>
          <w:rFonts w:hint="eastAsia" w:ascii="Times New Roman" w:hAnsi="Times New Roman" w:eastAsia="方正仿宋_GBK"/>
          <w:color w:val="2B2B2B"/>
          <w:kern w:val="0"/>
          <w:sz w:val="32"/>
          <w:szCs w:val="32"/>
        </w:rPr>
        <w:t>201</w:t>
      </w:r>
      <w:r>
        <w:rPr>
          <w:rFonts w:hint="eastAsia" w:ascii="Times New Roman" w:hAnsi="Times New Roman" w:eastAsia="方正仿宋_GBK"/>
          <w:color w:val="2B2B2B"/>
          <w:kern w:val="0"/>
          <w:sz w:val="32"/>
          <w:szCs w:val="32"/>
          <w:lang w:val="en-US" w:eastAsia="zh-CN"/>
        </w:rPr>
        <w:t>8</w:t>
      </w:r>
      <w:r>
        <w:rPr>
          <w:rFonts w:hint="eastAsia" w:ascii="Times New Roman" w:hAnsi="Times New Roman" w:eastAsia="方正仿宋_GBK"/>
          <w:color w:val="2B2B2B"/>
          <w:kern w:val="0"/>
          <w:sz w:val="32"/>
          <w:szCs w:val="32"/>
        </w:rPr>
        <w:t>年</w:t>
      </w:r>
      <w:r>
        <w:rPr>
          <w:rFonts w:hint="eastAsia" w:ascii="Times New Roman" w:hAnsi="Times New Roman" w:eastAsia="方正仿宋_GBK"/>
          <w:color w:val="2B2B2B"/>
          <w:kern w:val="0"/>
          <w:sz w:val="32"/>
          <w:szCs w:val="32"/>
          <w:lang w:val="en-US" w:eastAsia="zh-CN"/>
        </w:rPr>
        <w:t>乌鲁木齐县</w:t>
      </w:r>
      <w:r>
        <w:rPr>
          <w:rFonts w:hint="eastAsia" w:ascii="Times New Roman" w:hAnsi="Times New Roman" w:eastAsia="方正仿宋_GBK"/>
          <w:color w:val="2B2B2B"/>
          <w:kern w:val="0"/>
          <w:sz w:val="32"/>
          <w:szCs w:val="32"/>
        </w:rPr>
        <w:t>未发生因政府信息公开事务的行政复议和行政诉讼案件。</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（四）监督保障情况。</w:t>
      </w:r>
      <w:r>
        <w:rPr>
          <w:rFonts w:hint="eastAsia" w:ascii="Times New Roman" w:hAnsi="Times New Roman" w:eastAsia="方正仿宋_GBK"/>
          <w:color w:val="2B2B2B"/>
          <w:kern w:val="0"/>
          <w:sz w:val="32"/>
          <w:szCs w:val="32"/>
        </w:rPr>
        <w:t>一是抓内部制约机制管理的同时也抓好了外部监督制约机制，建立健全长效管理机制，形成用制度规范行为、按制度办事、靠制度管人的机制。二是将政务公开工作与党风廉政建设、行风建设综合进行检查、考评，考评结果纳入岗位目标责任制，使政务公开工作更加扎实、有序开展。</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黑体_GBK" w:hAnsi="Times New Roman" w:eastAsia="方正黑体_GBK"/>
          <w:color w:val="2B2B2B"/>
          <w:kern w:val="0"/>
          <w:sz w:val="32"/>
          <w:szCs w:val="32"/>
        </w:rPr>
        <w:t>二、主动公开政府信息情况</w:t>
      </w:r>
    </w:p>
    <w:tbl>
      <w:tblPr>
        <w:tblStyle w:val="4"/>
        <w:tblW w:w="9416" w:type="dxa"/>
        <w:jc w:val="center"/>
        <w:tblLayout w:type="autofit"/>
        <w:tblCellMar>
          <w:top w:w="0" w:type="dxa"/>
          <w:left w:w="0" w:type="dxa"/>
          <w:bottom w:w="0" w:type="dxa"/>
          <w:right w:w="0" w:type="dxa"/>
        </w:tblCellMar>
      </w:tblPr>
      <w:tblGrid>
        <w:gridCol w:w="2058"/>
        <w:gridCol w:w="1760"/>
        <w:gridCol w:w="1843"/>
        <w:gridCol w:w="3755"/>
      </w:tblGrid>
      <w:tr>
        <w:tblPrEx>
          <w:tblCellMar>
            <w:top w:w="0" w:type="dxa"/>
            <w:left w:w="0" w:type="dxa"/>
            <w:bottom w:w="0" w:type="dxa"/>
            <w:right w:w="0" w:type="dxa"/>
          </w:tblCellMar>
        </w:tblPrEx>
        <w:trPr>
          <w:trHeight w:val="495" w:hRule="atLeast"/>
          <w:jc w:val="center"/>
        </w:trPr>
        <w:tc>
          <w:tcPr>
            <w:tcW w:w="9416"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第二十条第（一）项</w:t>
            </w:r>
          </w:p>
        </w:tc>
      </w:tr>
      <w:tr>
        <w:tblPrEx>
          <w:tblCellMar>
            <w:top w:w="0" w:type="dxa"/>
            <w:left w:w="0" w:type="dxa"/>
            <w:bottom w:w="0" w:type="dxa"/>
            <w:right w:w="0" w:type="dxa"/>
          </w:tblCellMar>
        </w:tblPrEx>
        <w:trPr>
          <w:cantSplit/>
          <w:trHeight w:val="1134"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本年新制作数量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本年新公开数量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对外公开总数量</w:t>
            </w:r>
          </w:p>
        </w:tc>
      </w:tr>
      <w:tr>
        <w:tblPrEx>
          <w:tblCellMar>
            <w:top w:w="0" w:type="dxa"/>
            <w:left w:w="0" w:type="dxa"/>
            <w:bottom w:w="0" w:type="dxa"/>
            <w:right w:w="0" w:type="dxa"/>
          </w:tblCellMar>
        </w:tblPrEx>
        <w:trPr>
          <w:trHeight w:val="52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规章</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r>
      <w:tr>
        <w:tblPrEx>
          <w:tblCellMar>
            <w:top w:w="0" w:type="dxa"/>
            <w:left w:w="0" w:type="dxa"/>
            <w:bottom w:w="0" w:type="dxa"/>
            <w:right w:w="0" w:type="dxa"/>
          </w:tblCellMar>
        </w:tblPrEx>
        <w:trPr>
          <w:trHeight w:val="46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规范性文件</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0</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0</w:t>
            </w:r>
          </w:p>
        </w:tc>
      </w:tr>
      <w:tr>
        <w:tblPrEx>
          <w:tblCellMar>
            <w:top w:w="0" w:type="dxa"/>
            <w:left w:w="0" w:type="dxa"/>
            <w:bottom w:w="0" w:type="dxa"/>
            <w:right w:w="0" w:type="dxa"/>
          </w:tblCellMar>
        </w:tblPrEx>
        <w:trPr>
          <w:trHeight w:val="480"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第二十条第（五）项</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处理决定数量</w:t>
            </w:r>
          </w:p>
        </w:tc>
      </w:tr>
      <w:tr>
        <w:tblPrEx>
          <w:tblCellMar>
            <w:top w:w="0" w:type="dxa"/>
            <w:left w:w="0" w:type="dxa"/>
            <w:bottom w:w="0" w:type="dxa"/>
            <w:right w:w="0" w:type="dxa"/>
          </w:tblCellMar>
        </w:tblPrEx>
        <w:trPr>
          <w:trHeight w:val="52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行政许可</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rPr>
              <w:t>1</w:t>
            </w:r>
            <w:r>
              <w:rPr>
                <w:rFonts w:hint="eastAsia" w:ascii="Times New Roman" w:hAnsi="Times New Roman" w:eastAsia="方正仿宋_GBK"/>
                <w:color w:val="2B2B2B"/>
                <w:kern w:val="0"/>
                <w:sz w:val="28"/>
                <w:szCs w:val="28"/>
                <w:lang w:val="en-US" w:eastAsia="zh-CN"/>
              </w:rPr>
              <w:t>12</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rPr>
              <w:t>1</w:t>
            </w:r>
            <w:r>
              <w:rPr>
                <w:rFonts w:hint="eastAsia" w:ascii="Times New Roman" w:hAnsi="Times New Roman" w:eastAsia="方正仿宋_GBK"/>
                <w:color w:val="2B2B2B"/>
                <w:kern w:val="0"/>
                <w:sz w:val="28"/>
                <w:szCs w:val="28"/>
                <w:lang w:val="en-US" w:eastAsia="zh-CN"/>
              </w:rPr>
              <w:t>805</w:t>
            </w:r>
          </w:p>
        </w:tc>
      </w:tr>
      <w:tr>
        <w:tblPrEx>
          <w:tblCellMar>
            <w:top w:w="0" w:type="dxa"/>
            <w:left w:w="0" w:type="dxa"/>
            <w:bottom w:w="0" w:type="dxa"/>
            <w:right w:w="0" w:type="dxa"/>
          </w:tblCellMar>
        </w:tblPrEx>
        <w:trPr>
          <w:trHeight w:val="55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其他对外管理服务事项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124</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288</w:t>
            </w:r>
          </w:p>
        </w:tc>
      </w:tr>
      <w:tr>
        <w:tblPrEx>
          <w:tblCellMar>
            <w:top w:w="0" w:type="dxa"/>
            <w:left w:w="0" w:type="dxa"/>
            <w:bottom w:w="0" w:type="dxa"/>
            <w:right w:w="0" w:type="dxa"/>
          </w:tblCellMar>
        </w:tblPrEx>
        <w:trPr>
          <w:trHeight w:val="405"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第二十条第（六）项</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处理决定数量</w:t>
            </w:r>
          </w:p>
        </w:tc>
      </w:tr>
      <w:tr>
        <w:tblPrEx>
          <w:tblCellMar>
            <w:top w:w="0" w:type="dxa"/>
            <w:left w:w="0" w:type="dxa"/>
            <w:bottom w:w="0" w:type="dxa"/>
            <w:right w:w="0" w:type="dxa"/>
          </w:tblCellMar>
        </w:tblPrEx>
        <w:trPr>
          <w:trHeight w:val="43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行政处罚</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1012</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733</w:t>
            </w:r>
          </w:p>
        </w:tc>
      </w:tr>
      <w:tr>
        <w:tblPrEx>
          <w:tblCellMar>
            <w:top w:w="0" w:type="dxa"/>
            <w:left w:w="0" w:type="dxa"/>
            <w:bottom w:w="0" w:type="dxa"/>
            <w:right w:w="0" w:type="dxa"/>
          </w:tblCellMar>
        </w:tblPrEx>
        <w:trPr>
          <w:trHeight w:val="40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行政强制</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60</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8</w:t>
            </w:r>
          </w:p>
        </w:tc>
      </w:tr>
      <w:tr>
        <w:tblPrEx>
          <w:tblCellMar>
            <w:top w:w="0" w:type="dxa"/>
            <w:left w:w="0" w:type="dxa"/>
            <w:bottom w:w="0" w:type="dxa"/>
            <w:right w:w="0" w:type="dxa"/>
          </w:tblCellMar>
        </w:tblPrEx>
        <w:trPr>
          <w:trHeight w:val="480"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第二十条第（八）项</w:t>
            </w:r>
          </w:p>
        </w:tc>
      </w:tr>
      <w:tr>
        <w:tblPrEx>
          <w:tblCellMar>
            <w:top w:w="0" w:type="dxa"/>
            <w:left w:w="0" w:type="dxa"/>
            <w:bottom w:w="0" w:type="dxa"/>
            <w:right w:w="0" w:type="dxa"/>
          </w:tblCellMar>
        </w:tblPrEx>
        <w:trPr>
          <w:trHeight w:val="27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行政事业性收费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rPr>
              <w:t>2</w:t>
            </w:r>
            <w:r>
              <w:rPr>
                <w:rFonts w:hint="eastAsia" w:ascii="Times New Roman" w:hAnsi="Times New Roman" w:eastAsia="方正仿宋_GBK"/>
                <w:color w:val="2B2B2B"/>
                <w:kern w:val="0"/>
                <w:sz w:val="28"/>
                <w:szCs w:val="28"/>
                <w:lang w:val="en-US" w:eastAsia="zh-CN"/>
              </w:rPr>
              <w:t>7</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0</w:t>
            </w:r>
          </w:p>
        </w:tc>
      </w:tr>
      <w:tr>
        <w:tblPrEx>
          <w:tblCellMar>
            <w:top w:w="0" w:type="dxa"/>
            <w:left w:w="0" w:type="dxa"/>
            <w:bottom w:w="0" w:type="dxa"/>
            <w:right w:w="0" w:type="dxa"/>
          </w:tblCellMar>
        </w:tblPrEx>
        <w:trPr>
          <w:trHeight w:val="495"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第二十条第（九）项</w:t>
            </w:r>
          </w:p>
        </w:tc>
      </w:tr>
      <w:tr>
        <w:tblPrEx>
          <w:tblCellMar>
            <w:top w:w="0" w:type="dxa"/>
            <w:left w:w="0" w:type="dxa"/>
            <w:bottom w:w="0" w:type="dxa"/>
            <w:right w:w="0" w:type="dxa"/>
          </w:tblCellMar>
        </w:tblPrEx>
        <w:trPr>
          <w:trHeight w:val="58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采购项目数量</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采购总金额</w:t>
            </w:r>
          </w:p>
        </w:tc>
      </w:tr>
      <w:tr>
        <w:tblPrEx>
          <w:tblCellMar>
            <w:top w:w="0" w:type="dxa"/>
            <w:left w:w="0" w:type="dxa"/>
            <w:bottom w:w="0" w:type="dxa"/>
            <w:right w:w="0" w:type="dxa"/>
          </w:tblCellMar>
        </w:tblPrEx>
        <w:trPr>
          <w:trHeight w:val="54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政府集中采购</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61</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lang w:val="en-US" w:eastAsia="zh-CN"/>
              </w:rPr>
              <w:t>19688.79</w:t>
            </w:r>
            <w:bookmarkStart w:id="0" w:name="_GoBack"/>
            <w:bookmarkEnd w:id="0"/>
            <w:r>
              <w:rPr>
                <w:rFonts w:ascii="Times New Roman" w:hAnsi="Times New Roman" w:eastAsia="方正仿宋_GBK"/>
                <w:color w:val="2B2B2B"/>
                <w:kern w:val="0"/>
                <w:sz w:val="28"/>
                <w:szCs w:val="28"/>
              </w:rPr>
              <w:t>万元</w:t>
            </w:r>
          </w:p>
        </w:tc>
      </w:tr>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三、收到和处理政府信息公开申请情况</w:t>
      </w:r>
    </w:p>
    <w:tbl>
      <w:tblPr>
        <w:tblStyle w:val="4"/>
        <w:tblW w:w="9360" w:type="dxa"/>
        <w:jc w:val="center"/>
        <w:shd w:val="clear" w:color="auto" w:fill="FFFFFF"/>
        <w:tblLayout w:type="autofit"/>
        <w:tblCellMar>
          <w:top w:w="0" w:type="dxa"/>
          <w:left w:w="0" w:type="dxa"/>
          <w:bottom w:w="0" w:type="dxa"/>
          <w:right w:w="0" w:type="dxa"/>
        </w:tblCellMar>
      </w:tblPr>
      <w:tblGrid>
        <w:gridCol w:w="1125"/>
        <w:gridCol w:w="1140"/>
        <w:gridCol w:w="1845"/>
        <w:gridCol w:w="735"/>
        <w:gridCol w:w="600"/>
        <w:gridCol w:w="600"/>
        <w:gridCol w:w="600"/>
        <w:gridCol w:w="750"/>
        <w:gridCol w:w="915"/>
        <w:gridCol w:w="1050"/>
      </w:tblGrid>
      <w:tr>
        <w:tblPrEx>
          <w:tblCellMar>
            <w:top w:w="0" w:type="dxa"/>
            <w:left w:w="0" w:type="dxa"/>
            <w:bottom w:w="0" w:type="dxa"/>
            <w:right w:w="0" w:type="dxa"/>
          </w:tblCellMar>
        </w:tblPrEx>
        <w:trPr>
          <w:trHeight w:val="525" w:hRule="atLeast"/>
          <w:jc w:val="center"/>
        </w:trPr>
        <w:tc>
          <w:tcPr>
            <w:tcW w:w="4110" w:type="dxa"/>
            <w:gridSpan w:val="3"/>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（本列数据的勾稽关系为：第一项加第二项之和，等于第三项加第四项之和）</w:t>
            </w:r>
          </w:p>
        </w:tc>
        <w:tc>
          <w:tcPr>
            <w:tcW w:w="5235" w:type="dxa"/>
            <w:gridSpan w:val="7"/>
            <w:tcBorders>
              <w:top w:val="outset" w:color="auto" w:sz="6" w:space="0"/>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申请人情况</w:t>
            </w:r>
          </w:p>
        </w:tc>
      </w:tr>
      <w:tr>
        <w:tblPrEx>
          <w:shd w:val="clear" w:color="auto" w:fill="FFFFFF"/>
          <w:tblCellMar>
            <w:top w:w="0" w:type="dxa"/>
            <w:left w:w="0" w:type="dxa"/>
            <w:bottom w:w="0" w:type="dxa"/>
            <w:right w:w="0" w:type="dxa"/>
          </w:tblCellMar>
        </w:tblPrEx>
        <w:trPr>
          <w:trHeight w:val="600" w:hRule="atLeast"/>
          <w:jc w:val="center"/>
        </w:trPr>
        <w:tc>
          <w:tcPr>
            <w:tcW w:w="0" w:type="auto"/>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73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自然人</w:t>
            </w:r>
          </w:p>
        </w:tc>
        <w:tc>
          <w:tcPr>
            <w:tcW w:w="346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法人或其他组织</w:t>
            </w:r>
          </w:p>
        </w:tc>
        <w:tc>
          <w:tcPr>
            <w:tcW w:w="103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r>
      <w:tr>
        <w:tblPrEx>
          <w:shd w:val="clear" w:color="auto" w:fill="FFFFFF"/>
          <w:tblCellMar>
            <w:top w:w="0" w:type="dxa"/>
            <w:left w:w="0" w:type="dxa"/>
            <w:bottom w:w="0" w:type="dxa"/>
            <w:right w:w="0" w:type="dxa"/>
          </w:tblCellMar>
        </w:tblPrEx>
        <w:trPr>
          <w:jc w:val="center"/>
        </w:trPr>
        <w:tc>
          <w:tcPr>
            <w:tcW w:w="0" w:type="auto"/>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商业企业</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科研机构</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社会公益组织</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法律服务机构</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w:t>
            </w: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r>
      <w:tr>
        <w:tblPrEx>
          <w:shd w:val="clear" w:color="auto" w:fill="FFFFFF"/>
          <w:tblCellMar>
            <w:top w:w="0" w:type="dxa"/>
            <w:left w:w="0" w:type="dxa"/>
            <w:bottom w:w="0" w:type="dxa"/>
            <w:right w:w="0" w:type="dxa"/>
          </w:tblCellMar>
        </w:tblPrEx>
        <w:trPr>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一、本年新收政府信息公开申请数量</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780" w:hRule="atLeast"/>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二、上年结转政府信息公开申请数量</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510" w:hRule="atLeast"/>
          <w:jc w:val="center"/>
        </w:trPr>
        <w:tc>
          <w:tcPr>
            <w:tcW w:w="1125" w:type="dxa"/>
            <w:vMerge w:val="restart"/>
            <w:tcBorders>
              <w:top w:val="nil"/>
              <w:left w:val="outset" w:color="auto" w:sz="6" w:space="0"/>
              <w:bottom w:val="single"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三、本年度办理结果</w:t>
            </w: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（一）予以公开</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（二）部分公开（区分处理的，只计这一情形，不计其他情形）</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（三）不予公开</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1.属于国家秘密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trHeight w:val="120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2.其他法律行政法规禁止公开</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trHeight w:val="765"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3.危及“三安全一稳定”</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trHeight w:val="945"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4.保护第三方合法权益</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5.属于三类内部事务信息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96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6.属于四类过程性信息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trHeight w:val="90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7.属于行政执法案卷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8.属于行政查询事项</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tblCellMar>
            <w:top w:w="0" w:type="dxa"/>
            <w:left w:w="0" w:type="dxa"/>
            <w:bottom w:w="0" w:type="dxa"/>
            <w:right w:w="0" w:type="dxa"/>
          </w:tblCellMar>
        </w:tblPrEx>
        <w:trPr>
          <w:jc w:val="center"/>
        </w:trPr>
        <w:tc>
          <w:tcPr>
            <w:tcW w:w="1125" w:type="dxa"/>
            <w:vMerge w:val="restart"/>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三、本年度办理结束</w:t>
            </w: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（四）无法提供</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1.本机关不掌握相关政府信息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2.没有现成信息需要另行制作</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3.补正后申请内容仍不明确</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（五）不予处理</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1.信访举报投诉类申请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2.重复申请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3.要求提供公开出版物</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4.无正当理由大量反复申请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5.要求行政机关确认或重新出具已获取信息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（六）其他处理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（七）总计</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w:t>
            </w:r>
          </w:p>
        </w:tc>
      </w:tr>
      <w:tr>
        <w:tblPrEx>
          <w:shd w:val="clear" w:color="auto" w:fill="FFFFFF"/>
          <w:tblCellMar>
            <w:top w:w="0" w:type="dxa"/>
            <w:left w:w="0" w:type="dxa"/>
            <w:bottom w:w="0" w:type="dxa"/>
            <w:right w:w="0" w:type="dxa"/>
          </w:tblCellMar>
        </w:tblPrEx>
        <w:trPr>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四、结转下年度继续办理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四、政府信息公开行政复议、行政诉讼情况</w:t>
      </w:r>
    </w:p>
    <w:tbl>
      <w:tblPr>
        <w:tblStyle w:val="4"/>
        <w:tblW w:w="9360" w:type="dxa"/>
        <w:jc w:val="center"/>
        <w:shd w:val="clear" w:color="auto" w:fill="FFFFFF"/>
        <w:tblLayout w:type="autofit"/>
        <w:tblCellMar>
          <w:top w:w="0" w:type="dxa"/>
          <w:left w:w="0" w:type="dxa"/>
          <w:bottom w:w="0" w:type="dxa"/>
          <w:right w:w="0" w:type="dxa"/>
        </w:tblCellMar>
      </w:tblPr>
      <w:tblGrid>
        <w:gridCol w:w="915"/>
        <w:gridCol w:w="585"/>
        <w:gridCol w:w="585"/>
        <w:gridCol w:w="585"/>
        <w:gridCol w:w="600"/>
        <w:gridCol w:w="585"/>
        <w:gridCol w:w="585"/>
        <w:gridCol w:w="585"/>
        <w:gridCol w:w="585"/>
        <w:gridCol w:w="615"/>
        <w:gridCol w:w="585"/>
        <w:gridCol w:w="585"/>
        <w:gridCol w:w="585"/>
        <w:gridCol w:w="585"/>
        <w:gridCol w:w="795"/>
      </w:tblGrid>
      <w:tr>
        <w:tblPrEx>
          <w:shd w:val="clear" w:color="auto" w:fill="FFFFFF"/>
          <w:tblCellMar>
            <w:top w:w="0" w:type="dxa"/>
            <w:left w:w="0" w:type="dxa"/>
            <w:bottom w:w="0" w:type="dxa"/>
            <w:right w:w="0" w:type="dxa"/>
          </w:tblCellMar>
        </w:tblPrEx>
        <w:trPr>
          <w:jc w:val="center"/>
        </w:trPr>
        <w:tc>
          <w:tcPr>
            <w:tcW w:w="327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行政复议</w:t>
            </w:r>
          </w:p>
        </w:tc>
        <w:tc>
          <w:tcPr>
            <w:tcW w:w="6090" w:type="dxa"/>
            <w:gridSpan w:val="10"/>
            <w:tcBorders>
              <w:top w:val="outset" w:color="auto" w:sz="6" w:space="0"/>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行政诉讼</w:t>
            </w:r>
          </w:p>
        </w:tc>
      </w:tr>
      <w:tr>
        <w:tblPrEx>
          <w:shd w:val="clear" w:color="auto" w:fill="FFFFFF"/>
          <w:tblCellMar>
            <w:top w:w="0" w:type="dxa"/>
            <w:left w:w="0" w:type="dxa"/>
            <w:bottom w:w="0" w:type="dxa"/>
            <w:right w:w="0" w:type="dxa"/>
          </w:tblCellMar>
        </w:tblPrEx>
        <w:trPr>
          <w:jc w:val="center"/>
        </w:trPr>
        <w:tc>
          <w:tcPr>
            <w:tcW w:w="915" w:type="dxa"/>
            <w:vMerge w:val="restart"/>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c>
          <w:tcPr>
            <w:tcW w:w="295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未经复议直接起诉</w:t>
            </w:r>
          </w:p>
        </w:tc>
        <w:tc>
          <w:tcPr>
            <w:tcW w:w="313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复议后起诉</w:t>
            </w:r>
          </w:p>
        </w:tc>
      </w:tr>
      <w:tr>
        <w:tblPrEx>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76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r>
      <w:tr>
        <w:tblPrEx>
          <w:tblCellMar>
            <w:top w:w="0" w:type="dxa"/>
            <w:left w:w="0" w:type="dxa"/>
            <w:bottom w:w="0" w:type="dxa"/>
            <w:right w:w="0" w:type="dxa"/>
          </w:tblCellMar>
        </w:tblPrEx>
        <w:trPr>
          <w:jc w:val="center"/>
        </w:trPr>
        <w:tc>
          <w:tcPr>
            <w:tcW w:w="915" w:type="dxa"/>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6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五、存在的主要问题及改进情况</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（一）存在的主要问题。</w:t>
      </w:r>
      <w:r>
        <w:rPr>
          <w:rFonts w:ascii="Times New Roman" w:hAnsi="Times New Roman" w:eastAsia="方正仿宋_GBK"/>
          <w:color w:val="2B2B2B"/>
          <w:kern w:val="0"/>
          <w:sz w:val="32"/>
          <w:szCs w:val="32"/>
        </w:rPr>
        <w:t>一是主动公开的信息更新不够及时,公开内容有待进一步深化；二是政策解读有待进一步加强，公开实效有待提升；三是</w:t>
      </w:r>
      <w:r>
        <w:rPr>
          <w:rFonts w:hint="eastAsia" w:ascii="Times New Roman" w:hAnsi="Times New Roman" w:eastAsia="方正仿宋_GBK"/>
          <w:color w:val="2B2B2B"/>
          <w:kern w:val="0"/>
          <w:sz w:val="32"/>
          <w:szCs w:val="32"/>
        </w:rPr>
        <w:t>基层政务公开标准化、规范化程度不高，一些乡镇和部门公开事项不够全面、公开内容不够精准、公开方式比较单一，群众知晓度不高。</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（二）下一步改进措施。</w:t>
      </w:r>
      <w:r>
        <w:rPr>
          <w:rFonts w:ascii="Times New Roman" w:hAnsi="Times New Roman" w:eastAsia="方正仿宋_GBK"/>
          <w:color w:val="2B2B2B"/>
          <w:kern w:val="0"/>
          <w:sz w:val="32"/>
          <w:szCs w:val="32"/>
        </w:rPr>
        <w:t>一是加大公开力度，结合工作实际修订完善政府信息公开目录,建立科学规范的政府信息分类体系，做好重点领域政府信息公开；二是落实好政策解读同步机制，进一步提升解读材料的可读性，让群众真正读得懂、看得明白；三是加强全县政府信息公开培训，强化队伍建设，不断提高相关工作人员的政治素质、业务知识水平。</w:t>
      </w:r>
    </w:p>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六、其他需要报告的事项</w:t>
      </w:r>
    </w:p>
    <w:p>
      <w:pPr>
        <w:spacing w:line="560" w:lineRule="exact"/>
        <w:ind w:firstLine="800" w:firstLineChars="250"/>
        <w:rPr>
          <w:rFonts w:ascii="Times New Roman" w:hAnsi="Times New Roman" w:eastAsia="方正仿宋_GBK"/>
          <w:sz w:val="32"/>
          <w:szCs w:val="32"/>
        </w:rPr>
      </w:pPr>
      <w:r>
        <w:rPr>
          <w:rFonts w:hint="eastAsia" w:ascii="Times New Roman" w:hAnsi="Times New Roman" w:eastAsia="方正仿宋_GBK"/>
          <w:color w:val="2B2B2B"/>
          <w:kern w:val="0"/>
          <w:sz w:val="32"/>
          <w:szCs w:val="32"/>
        </w:rPr>
        <w:t>无</w:t>
      </w:r>
    </w:p>
    <w:p>
      <w:pPr>
        <w:spacing w:line="520" w:lineRule="exact"/>
        <w:jc w:val="center"/>
        <w:rPr>
          <w:rFonts w:ascii="Times New Roman" w:hAnsi="Times New Roman"/>
        </w:rPr>
      </w:pPr>
    </w:p>
    <w:p>
      <w:pPr>
        <w:pStyle w:val="2"/>
        <w:ind w:firstLine="5270" w:firstLineChars="1647"/>
        <w:rPr>
          <w:rFonts w:ascii="Times New Roman" w:hAnsi="Times New Roman" w:eastAsia="方正仿宋_GBK"/>
          <w:b w:val="0"/>
        </w:rPr>
      </w:pPr>
      <w:r>
        <w:rPr>
          <w:rFonts w:ascii="Times New Roman" w:hAnsi="Times New Roman" w:eastAsia="方正仿宋_GBK"/>
          <w:b w:val="0"/>
        </w:rPr>
        <w:drawing>
          <wp:anchor distT="0" distB="0" distL="114300" distR="114300" simplePos="0" relativeHeight="251661312" behindDoc="0" locked="0" layoutInCell="1" hidden="1" allowOverlap="1">
            <wp:simplePos x="0" y="0"/>
            <wp:positionH relativeFrom="page">
              <wp:posOffset>4204970</wp:posOffset>
            </wp:positionH>
            <wp:positionV relativeFrom="page">
              <wp:posOffset>5233035</wp:posOffset>
            </wp:positionV>
            <wp:extent cx="9525" cy="9525"/>
            <wp:effectExtent l="0" t="0" r="0" b="0"/>
            <wp:wrapNone/>
            <wp:docPr id="3" name="图片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hidden="1"/>
                    <pic:cNvPicPr>
                      <a:picLocks noChangeAspect="1"/>
                    </pic:cNvPicPr>
                  </pic:nvPicPr>
                  <pic:blipFill>
                    <a:blip r:embed="rId5"/>
                    <a:stretch>
                      <a:fillRect/>
                    </a:stretch>
                  </pic:blipFill>
                  <pic:spPr>
                    <a:xfrm>
                      <a:off x="0" y="0"/>
                      <a:ext cx="9525" cy="9525"/>
                    </a:xfrm>
                    <a:prstGeom prst="rect">
                      <a:avLst/>
                    </a:prstGeom>
                    <a:noFill/>
                    <a:ln>
                      <a:noFill/>
                    </a:ln>
                  </pic:spPr>
                </pic:pic>
              </a:graphicData>
            </a:graphic>
          </wp:anchor>
        </w:drawing>
      </w:r>
      <w:r>
        <w:rPr>
          <w:rFonts w:ascii="Times New Roman" w:hAnsi="Times New Roman" w:eastAsia="方正仿宋_GBK"/>
          <w:b w:val="0"/>
        </w:rPr>
        <w:t>20</w:t>
      </w:r>
      <w:r>
        <w:rPr>
          <w:rFonts w:hint="eastAsia" w:ascii="Times New Roman" w:hAnsi="Times New Roman" w:eastAsia="方正仿宋_GBK"/>
          <w:b w:val="0"/>
          <w:lang w:val="en-US" w:eastAsia="zh-CN"/>
        </w:rPr>
        <w:t>19</w:t>
      </w:r>
      <w:r>
        <w:rPr>
          <w:rFonts w:ascii="Times New Roman" w:hAnsi="Times New Roman" w:eastAsia="方正仿宋_GBK"/>
          <w:b w:val="0"/>
        </w:rPr>
        <w:t>年</w:t>
      </w:r>
      <w:r>
        <w:rPr>
          <w:rFonts w:hint="eastAsia" w:ascii="Times New Roman" w:hAnsi="Times New Roman" w:eastAsia="方正仿宋_GBK"/>
          <w:b w:val="0"/>
          <w:lang w:val="en-US" w:eastAsia="zh-CN"/>
        </w:rPr>
        <w:t>1</w:t>
      </w:r>
      <w:r>
        <w:rPr>
          <w:rFonts w:ascii="Times New Roman" w:hAnsi="Times New Roman" w:eastAsia="方正仿宋_GBK"/>
          <w:b w:val="0"/>
        </w:rPr>
        <w:t>月</w:t>
      </w:r>
      <w:r>
        <w:rPr>
          <w:rFonts w:hint="eastAsia" w:ascii="Times New Roman" w:hAnsi="Times New Roman" w:eastAsia="方正仿宋_GBK"/>
          <w:b w:val="0"/>
          <w:lang w:val="en-US" w:eastAsia="zh-CN"/>
        </w:rPr>
        <w:t>21</w:t>
      </w:r>
      <w:r>
        <w:rPr>
          <w:rFonts w:ascii="Times New Roman" w:hAnsi="Times New Roman" w:eastAsia="方正仿宋_GBK"/>
          <w:b w:val="0"/>
        </w:rPr>
        <w:t>日</w:t>
      </w:r>
    </w:p>
    <w:p/>
    <w:p/>
    <w:sectPr>
      <w:footerReference r:id="rId3" w:type="default"/>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835" cy="175260"/>
                      </a:xfrm>
                      <a:prstGeom prst="rect">
                        <a:avLst/>
                      </a:prstGeom>
                      <a:noFill/>
                      <a:ln>
                        <a:noFill/>
                      </a:ln>
                    </wps:spPr>
                    <wps:txbx>
                      <w:txbxContent>
                        <w:p>
                          <w:pPr>
                            <w:pStyle w:val="3"/>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rRHHHQAAAAAwEAAA8AAAAAAAAAAQAgAAAAIgAAAGRycy9kb3du&#10;cmV2LnhtbFBLAQIUABQAAAAIAIdO4kBoHwBxzgEAAJYDAAAOAAAAAAAAAAEAIAAAAB8BAABkcnMv&#10;ZTJvRG9jLnhtbFBLBQYAAAAABgAGAFkBAABfBQAAAAA=&#10;">
              <v:fill on="f" focussize="0,0"/>
              <v:stroke on="f"/>
              <v:imagedata o:title=""/>
              <o:lock v:ext="edit" aspectratio="f"/>
              <v:textbox inset="0mm,0mm,0mm,0mm" style="mso-fit-shape-to-text:t;">
                <w:txbxContent>
                  <w:p>
                    <w:pPr>
                      <w:pStyle w:val="3"/>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C4593"/>
    <w:rsid w:val="23DC4593"/>
    <w:rsid w:val="30E11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2021-10-07T07:40:00Z</dcterms:created>
  <dc:creator>꧁虚数空间꧂</dc:creator>
  <cp:lastModifiedBy>꧁虚数空间꧂</cp:lastModifiedBy>
  <dcterms:modified xsi:type="dcterms:W3CDTF">2021-10-07T08:20:54Z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EFA7CEFD0F43440DA64D6921EB9D8369</vt:lpwstr>
  </property>
</Properties>
</file>