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sz w:val="32"/>
          <w:szCs w:val="32"/>
        </w:rPr>
      </w:pPr>
      <w:r>
        <w:rPr>
          <w:rFonts w:hint="eastAsia" w:ascii="黑体" w:hAnsi="黑体" w:eastAsia="黑体"/>
          <w:sz w:val="32"/>
          <w:szCs w:val="32"/>
        </w:rPr>
        <w:t>附件1：</w:t>
      </w:r>
    </w:p>
    <w:p>
      <w:pPr>
        <w:spacing w:line="540" w:lineRule="exact"/>
        <w:rPr>
          <w:rFonts w:ascii="方正小标宋_GBK" w:hAnsi="宋体" w:eastAsia="方正小标宋_GBK"/>
          <w:sz w:val="44"/>
          <w:szCs w:val="44"/>
        </w:rPr>
      </w:pPr>
    </w:p>
    <w:p>
      <w:pPr>
        <w:spacing w:line="540" w:lineRule="exact"/>
        <w:jc w:val="center"/>
        <w:rPr>
          <w:rFonts w:ascii="方正小标宋_GBK" w:hAnsi="宋体" w:eastAsia="方正小标宋_GBK"/>
          <w:sz w:val="44"/>
          <w:szCs w:val="44"/>
        </w:rPr>
      </w:pPr>
      <w:r>
        <w:rPr>
          <w:rFonts w:hint="eastAsia" w:ascii="方正小标宋_GBK" w:hAnsi="宋体" w:eastAsia="方正小标宋_GBK"/>
          <w:sz w:val="44"/>
          <w:szCs w:val="44"/>
        </w:rPr>
        <w:t>2018年度乌鲁木齐县委员会部门决算公开说明</w:t>
      </w:r>
    </w:p>
    <w:p>
      <w:pPr>
        <w:spacing w:line="540" w:lineRule="exact"/>
        <w:rPr>
          <w:rFonts w:ascii="仿宋_GB2312" w:hAnsi="宋体" w:eastAsia="仿宋_GB2312"/>
          <w:sz w:val="32"/>
          <w:szCs w:val="32"/>
        </w:rPr>
      </w:pPr>
    </w:p>
    <w:p>
      <w:pPr>
        <w:spacing w:line="540" w:lineRule="exact"/>
        <w:jc w:val="center"/>
        <w:rPr>
          <w:rFonts w:ascii="黑体" w:hAnsi="黑体" w:eastAsia="黑体"/>
          <w:bCs/>
          <w:kern w:val="0"/>
          <w:sz w:val="32"/>
          <w:szCs w:val="32"/>
        </w:rPr>
      </w:pPr>
      <w:r>
        <w:rPr>
          <w:rFonts w:hint="eastAsia" w:ascii="黑体" w:hAnsi="黑体" w:eastAsia="黑体"/>
          <w:bCs/>
          <w:kern w:val="0"/>
          <w:sz w:val="32"/>
          <w:szCs w:val="32"/>
        </w:rPr>
        <w:t>目  录</w:t>
      </w:r>
    </w:p>
    <w:p>
      <w:pPr>
        <w:spacing w:line="540" w:lineRule="exact"/>
        <w:rPr>
          <w:rFonts w:ascii="仿宋_GB2312" w:hAnsi="宋体" w:eastAsia="仿宋_GB2312"/>
          <w:b/>
          <w:kern w:val="0"/>
          <w:sz w:val="32"/>
          <w:szCs w:val="32"/>
        </w:rPr>
      </w:pP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第一部分 部门单位概况</w:t>
      </w:r>
    </w:p>
    <w:p>
      <w:pPr>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一、主要职能</w:t>
      </w:r>
    </w:p>
    <w:p>
      <w:pPr>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二、</w:t>
      </w:r>
      <w:r>
        <w:rPr>
          <w:rFonts w:hint="eastAsia" w:ascii="仿宋_GB2312" w:eastAsia="仿宋_GB2312"/>
          <w:sz w:val="32"/>
          <w:szCs w:val="32"/>
        </w:rPr>
        <w:t>机构设置情况</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第二部分 部门决算情况说明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一、部门收支总体情况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（一）部门收入支出决算总体情况说明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（二）部门收入总体情况说明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（三）部门支出总体情况说明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二、部门财政拨款收支情况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（一）财政拨款收支总体情况说明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（二）一般公共预算收支决算情况说明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（三）政府性基金预算收支决算情况说明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三、部门结转结余情况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四、一般公共预算“三公”经费支出情况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五、机关运行经费支出情况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六、政府采购情况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七、其他重要事项的情况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（一）国有资产占用情况说明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（二）预算绩效情况的说明</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第三部分 专业名词解释</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第四部分 部</w:t>
      </w:r>
      <w:r>
        <w:rPr>
          <w:rFonts w:hint="eastAsia" w:ascii="黑体" w:hAnsi="黑体" w:eastAsia="黑体"/>
          <w:sz w:val="32"/>
          <w:szCs w:val="32"/>
        </w:rPr>
        <w:t>门决算公开的8张报表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《收入决算表》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《财政拨款收入支出决算总表》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《一般公共预算财政拨款基本支出决算表》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《一般公共预算财政拨款“三公”经费支出决算表》</w:t>
      </w:r>
    </w:p>
    <w:p>
      <w:pPr>
        <w:spacing w:line="540" w:lineRule="exact"/>
        <w:ind w:firstLine="640" w:firstLineChars="200"/>
        <w:rPr>
          <w:rFonts w:ascii="仿宋_GB2312" w:hAnsi="宋体" w:eastAsia="仿宋_GB2312"/>
          <w:sz w:val="32"/>
          <w:szCs w:val="32"/>
        </w:rPr>
      </w:pPr>
      <w:r>
        <w:rPr>
          <w:rFonts w:hint="eastAsia" w:ascii="仿宋_GB2312" w:eastAsia="仿宋_GB2312"/>
          <w:sz w:val="32"/>
          <w:szCs w:val="32"/>
        </w:rPr>
        <w:t>《政府性基金预算财政拨款收入支出决算表》</w:t>
      </w:r>
    </w:p>
    <w:p>
      <w:pPr>
        <w:spacing w:line="540" w:lineRule="exact"/>
        <w:ind w:firstLine="640" w:firstLineChars="200"/>
        <w:rPr>
          <w:rFonts w:ascii="黑体" w:hAnsi="黑体" w:eastAsia="黑体"/>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第一部分 部门单位概况</w:t>
      </w:r>
    </w:p>
    <w:p>
      <w:pPr>
        <w:spacing w:line="54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一、主要职能</w:t>
      </w:r>
    </w:p>
    <w:p>
      <w:pPr>
        <w:spacing w:line="480"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 xml:space="preserve"> </w:t>
      </w:r>
      <w:r>
        <w:rPr>
          <w:rFonts w:ascii="仿宋_GB2312" w:eastAsia="仿宋_GB2312"/>
          <w:sz w:val="32"/>
          <w:szCs w:val="32"/>
        </w:rPr>
        <w:t>为协助县人民政府领导同志处理县人民政府日常工作的机构。</w:t>
      </w:r>
    </w:p>
    <w:p>
      <w:pPr>
        <w:spacing w:line="480" w:lineRule="exact"/>
        <w:rPr>
          <w:rFonts w:ascii="仿宋_GB2312" w:eastAsia="仿宋_GB2312"/>
          <w:sz w:val="32"/>
          <w:szCs w:val="32"/>
        </w:rPr>
      </w:pPr>
      <w:r>
        <w:rPr>
          <w:rFonts w:ascii="仿宋_GB2312" w:eastAsia="仿宋_GB2312"/>
          <w:sz w:val="32"/>
          <w:szCs w:val="32"/>
        </w:rPr>
        <w:t>强化服务职责，加强应急、督查、电子政务、机关事务管理工作，进一步发挥参谋助手和运转枢纽作用。</w:t>
      </w:r>
    </w:p>
    <w:p>
      <w:pPr>
        <w:spacing w:line="480"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 xml:space="preserve">  </w:t>
      </w:r>
      <w:r>
        <w:rPr>
          <w:rFonts w:ascii="仿宋_GB2312" w:eastAsia="仿宋_GB2312"/>
          <w:sz w:val="32"/>
          <w:szCs w:val="32"/>
        </w:rPr>
        <w:t>负责县人民政府会议的会务工作，协助县人民政府领导同志组织实施会议决定事项。</w:t>
      </w:r>
    </w:p>
    <w:p>
      <w:pPr>
        <w:spacing w:line="480"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 xml:space="preserve">  </w:t>
      </w:r>
      <w:r>
        <w:rPr>
          <w:rFonts w:ascii="仿宋_GB2312" w:eastAsia="仿宋_GB2312"/>
          <w:sz w:val="32"/>
          <w:szCs w:val="32"/>
        </w:rPr>
        <w:t>协助县人民政府领导同志组织起草或审核以县人民政府、县人民政府办公室名义发布的公文。</w:t>
      </w:r>
    </w:p>
    <w:p>
      <w:pPr>
        <w:spacing w:line="480"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 xml:space="preserve">  </w:t>
      </w:r>
      <w:r>
        <w:rPr>
          <w:rFonts w:ascii="仿宋_GB2312" w:eastAsia="仿宋_GB2312"/>
          <w:sz w:val="32"/>
          <w:szCs w:val="32"/>
        </w:rPr>
        <w:t>研究县人民政府各部门、乡（镇）人民政府请示县人民政府的事项，提出审核意见，报县人民政府领导同志审定。</w:t>
      </w:r>
    </w:p>
    <w:p>
      <w:pPr>
        <w:spacing w:line="480"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 xml:space="preserve"> </w:t>
      </w:r>
      <w:r>
        <w:rPr>
          <w:rFonts w:ascii="仿宋_GB2312" w:eastAsia="仿宋_GB2312"/>
          <w:sz w:val="32"/>
          <w:szCs w:val="32"/>
        </w:rPr>
        <w:t>督促检查县人民政府公文、会议决定事项及县人民政府领导同志指示的贯彻落实情况并跟踪调研，及时向县人民政府领导同志报告；负责人大代表建议意见和政协委员提案的督办工作。</w:t>
      </w:r>
    </w:p>
    <w:p>
      <w:pPr>
        <w:spacing w:line="480"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 xml:space="preserve"> </w:t>
      </w:r>
      <w:r>
        <w:rPr>
          <w:rFonts w:ascii="仿宋_GB2312" w:eastAsia="仿宋_GB2312"/>
          <w:sz w:val="32"/>
          <w:szCs w:val="32"/>
        </w:rPr>
        <w:t>负责县人民政府值班工作，及时向县人民政府领导同志报告重要情况，协助处理各部门、乡（镇）人民政府向县人民政府反映的重要问题，传达和督促落实县人民政府领导同志的指示。</w:t>
      </w:r>
    </w:p>
    <w:p>
      <w:pPr>
        <w:spacing w:line="480"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 xml:space="preserve"> </w:t>
      </w:r>
      <w:r>
        <w:rPr>
          <w:rFonts w:ascii="仿宋_GB2312" w:eastAsia="仿宋_GB2312"/>
          <w:sz w:val="32"/>
          <w:szCs w:val="32"/>
        </w:rPr>
        <w:t>协助县人民政府领导同志组织处理应急事件和重大事故；负责县人民政府应急管理工作。</w:t>
      </w:r>
    </w:p>
    <w:p>
      <w:pPr>
        <w:spacing w:line="480"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 xml:space="preserve"> </w:t>
      </w:r>
      <w:r>
        <w:rPr>
          <w:rFonts w:ascii="仿宋_GB2312" w:eastAsia="仿宋_GB2312"/>
          <w:sz w:val="32"/>
          <w:szCs w:val="32"/>
        </w:rPr>
        <w:t>负责指导、监督政务公开及政府信息公开工作。</w:t>
      </w:r>
    </w:p>
    <w:p>
      <w:pPr>
        <w:spacing w:line="480"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 xml:space="preserve"> </w:t>
      </w:r>
      <w:r>
        <w:rPr>
          <w:rFonts w:ascii="仿宋_GB2312" w:eastAsia="仿宋_GB2312"/>
          <w:sz w:val="32"/>
          <w:szCs w:val="32"/>
        </w:rPr>
        <w:t>负责推进、指导、协调政府系统电子政务工作。</w:t>
      </w:r>
    </w:p>
    <w:p>
      <w:pPr>
        <w:spacing w:line="480"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 xml:space="preserve"> </w:t>
      </w:r>
      <w:r>
        <w:rPr>
          <w:rFonts w:ascii="仿宋_GB2312" w:eastAsia="仿宋_GB2312"/>
          <w:sz w:val="32"/>
          <w:szCs w:val="32"/>
        </w:rPr>
        <w:t>组织、指导机关事务的管理、保障、服务工作。</w:t>
      </w:r>
    </w:p>
    <w:p>
      <w:pPr>
        <w:spacing w:line="480"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 xml:space="preserve"> </w:t>
      </w:r>
      <w:r>
        <w:rPr>
          <w:rFonts w:ascii="仿宋_GB2312" w:eastAsia="仿宋_GB2312"/>
          <w:sz w:val="32"/>
          <w:szCs w:val="32"/>
        </w:rPr>
        <w:t>根据县人民政府的工作重点和县人民政府领导同志的指示，组织专题调查研究，及时反映情况，提出建议。</w:t>
      </w:r>
    </w:p>
    <w:p>
      <w:pPr>
        <w:spacing w:line="480"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 xml:space="preserve"> </w:t>
      </w:r>
      <w:r>
        <w:rPr>
          <w:rFonts w:ascii="仿宋_GB2312" w:eastAsia="仿宋_GB2312"/>
          <w:sz w:val="32"/>
          <w:szCs w:val="32"/>
        </w:rPr>
        <w:t>组织协调县人民政府法制、侨务和信访工作。</w:t>
      </w:r>
    </w:p>
    <w:p>
      <w:pPr>
        <w:spacing w:line="480"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 xml:space="preserve"> </w:t>
      </w:r>
      <w:r>
        <w:rPr>
          <w:rFonts w:ascii="仿宋_GB2312" w:eastAsia="仿宋_GB2312"/>
          <w:sz w:val="32"/>
          <w:szCs w:val="32"/>
        </w:rPr>
        <w:t>承办县委、县人民政府和县人民政府领导同志交办的其他事项。</w:t>
      </w:r>
    </w:p>
    <w:p>
      <w:pPr>
        <w:spacing w:line="480" w:lineRule="exact"/>
        <w:rPr>
          <w:rFonts w:ascii="仿宋_GB2312" w:eastAsia="仿宋_GB2312"/>
          <w:sz w:val="32"/>
          <w:szCs w:val="32"/>
        </w:rPr>
      </w:pPr>
      <w:r>
        <w:rPr>
          <w:rFonts w:ascii="仿宋_GB2312" w:eastAsia="仿宋_GB2312"/>
          <w:sz w:val="32"/>
          <w:szCs w:val="32"/>
        </w:rPr>
        <w:t>负责全县行政执法机关落实行政执法责任制情况的监督、检查与考评工作；负责重大行政处罚决定的备案审查和行政执法错案责任追究工作；负责审查、确认行政执法主体资格；负责县本级行政机关行政许可事项的清理和确认工作；协调县人民政府各部门和乡（镇）人民政府在实施有关法律、法规、规章和行政执法中的矛盾和争议，依法纠正违法行政行为；按规定承担规范性文件的备案审查工作；负责县人民政府规范性文件的法律审核及向上级人民政府报备工作；负责组织实施行政机关规范性文件定期清理工作；负责县人民政府行政复议、应诉等工作；督促、指导全县行政复议、应诉工作。</w:t>
      </w:r>
    </w:p>
    <w:p>
      <w:pPr>
        <w:spacing w:line="480" w:lineRule="exact"/>
        <w:rPr>
          <w:rFonts w:ascii="仿宋_GB2312" w:eastAsia="仿宋_GB2312"/>
          <w:sz w:val="32"/>
          <w:szCs w:val="32"/>
        </w:rPr>
      </w:pPr>
      <w:r>
        <w:rPr>
          <w:rFonts w:ascii="仿宋_GB2312" w:eastAsia="仿宋_GB2312"/>
          <w:sz w:val="32"/>
          <w:szCs w:val="32"/>
        </w:rPr>
        <w:t>负责组织接待来访或进行公务活动的华侨、华人、港澳同胞；负责开展对华侨、华人及其社团的友好联络工作；会同有关部门做好华侨、华人资金、技术、人才引进工作，推动经济、科技合作与交流；组织协调有关部门保护归侨、侨眷合法权益，监督、检查相关法律、法规执行情况；配合有关部门协调处理涉侨突发事件。</w:t>
      </w:r>
    </w:p>
    <w:p>
      <w:pPr>
        <w:spacing w:line="480" w:lineRule="exact"/>
        <w:rPr>
          <w:rFonts w:ascii="仿宋_GB2312" w:eastAsia="仿宋_GB2312"/>
          <w:sz w:val="32"/>
          <w:szCs w:val="32"/>
        </w:rPr>
      </w:pPr>
      <w:r>
        <w:rPr>
          <w:rFonts w:ascii="仿宋_GB2312" w:eastAsia="仿宋_GB2312"/>
          <w:sz w:val="32"/>
          <w:szCs w:val="32"/>
        </w:rPr>
        <w:t xml:space="preserve">    承担应急值守工作，负责受理向县人民政府报送的紧急重要事项，</w:t>
      </w:r>
      <w:r>
        <w:rPr>
          <w:rFonts w:hint="eastAsia" w:ascii="仿宋_GB2312" w:eastAsia="仿宋_GB2312"/>
          <w:sz w:val="32"/>
          <w:szCs w:val="32"/>
        </w:rPr>
        <w:t xml:space="preserve">   </w:t>
      </w:r>
      <w:r>
        <w:rPr>
          <w:rFonts w:ascii="仿宋_GB2312" w:eastAsia="仿宋_GB2312"/>
          <w:sz w:val="32"/>
          <w:szCs w:val="32"/>
        </w:rPr>
        <w:t>负责本辖区各类突发公共事件的信息搜集、信息汇总和综合协调、处置工作，时刻掌握全县有关社会安全的情况、动态和信息，发布有关预警信息，发挥运转枢纽作用。</w:t>
      </w:r>
    </w:p>
    <w:p>
      <w:pPr>
        <w:spacing w:line="480" w:lineRule="exact"/>
        <w:rPr>
          <w:rFonts w:ascii="仿宋_GB2312" w:eastAsia="仿宋_GB2312"/>
          <w:sz w:val="32"/>
          <w:szCs w:val="32"/>
        </w:rPr>
      </w:pPr>
      <w:r>
        <w:rPr>
          <w:rFonts w:ascii="仿宋_GB2312" w:eastAsia="仿宋_GB2312"/>
          <w:sz w:val="32"/>
          <w:szCs w:val="32"/>
        </w:rPr>
        <w:t>负责组织编制、修订《乌鲁木齐县突发公共事件总体应急预案》，组织专家组审核专项应急预案、部门应急预案，督促检查各乡镇（村）和应急管理成员单位对本部门及下属基层单位编制、修订预案及各项预案的备案情况。</w:t>
      </w:r>
    </w:p>
    <w:p>
      <w:pPr>
        <w:spacing w:line="480"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 xml:space="preserve"> </w:t>
      </w:r>
      <w:r>
        <w:rPr>
          <w:rFonts w:ascii="仿宋_GB2312" w:eastAsia="仿宋_GB2312"/>
          <w:sz w:val="32"/>
          <w:szCs w:val="32"/>
        </w:rPr>
        <w:t>协助县政府领导处置各类突发公共事件。协调重大、较大、一般突发公共事件的预防、预警、应急演练、应急处置、综合评估和宣传培训工作。</w:t>
      </w:r>
    </w:p>
    <w:p>
      <w:pPr>
        <w:spacing w:line="480"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 xml:space="preserve"> </w:t>
      </w:r>
      <w:r>
        <w:rPr>
          <w:rFonts w:ascii="仿宋_GB2312" w:eastAsia="仿宋_GB2312"/>
          <w:sz w:val="32"/>
          <w:szCs w:val="32"/>
        </w:rPr>
        <w:t>负责指导全县突发公共事件应急体系、应急信息平台建设、应急队伍整合、应急物资储备和应急紧急避难场所建设等工作。</w:t>
      </w:r>
    </w:p>
    <w:p>
      <w:pPr>
        <w:spacing w:line="480"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 xml:space="preserve"> </w:t>
      </w:r>
      <w:r>
        <w:rPr>
          <w:rFonts w:ascii="仿宋_GB2312" w:eastAsia="仿宋_GB2312"/>
          <w:sz w:val="32"/>
          <w:szCs w:val="32"/>
        </w:rPr>
        <w:t>负责突发公共事件发生时协调、调用县属应急救援队伍和物资保障工作。</w:t>
      </w:r>
    </w:p>
    <w:p>
      <w:pPr>
        <w:spacing w:line="480"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 xml:space="preserve"> </w:t>
      </w:r>
      <w:r>
        <w:rPr>
          <w:rFonts w:ascii="仿宋_GB2312" w:eastAsia="仿宋_GB2312"/>
          <w:sz w:val="32"/>
          <w:szCs w:val="32"/>
        </w:rPr>
        <w:t xml:space="preserve">负责对全县各乡镇（村）及应急管理成员单位年底进行目标考核、评比工作。 </w:t>
      </w:r>
    </w:p>
    <w:p>
      <w:pPr>
        <w:spacing w:line="480"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 xml:space="preserve"> </w:t>
      </w:r>
      <w:r>
        <w:rPr>
          <w:rFonts w:ascii="仿宋_GB2312" w:eastAsia="仿宋_GB2312"/>
          <w:sz w:val="32"/>
          <w:szCs w:val="32"/>
        </w:rPr>
        <w:t>承办领导交办的其他工作。</w:t>
      </w:r>
    </w:p>
    <w:p>
      <w:pPr>
        <w:spacing w:line="480" w:lineRule="exact"/>
        <w:rPr>
          <w:rFonts w:hint="eastAsia"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 xml:space="preserve"> </w:t>
      </w:r>
      <w:r>
        <w:rPr>
          <w:rFonts w:ascii="仿宋_GB2312" w:eastAsia="仿宋_GB2312"/>
          <w:sz w:val="32"/>
          <w:szCs w:val="32"/>
        </w:rPr>
        <w:t>县政府法制办、应急办、都被纳入到市级目标考核单位范围之内。</w:t>
      </w:r>
    </w:p>
    <w:p>
      <w:pPr>
        <w:spacing w:line="54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二、机构设置情况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从决算单位构成看，中国人民政治协商会议新疆维吾尔自治区乌鲁木齐县委员会部门决算包括：中国人民政治协商会议新疆维吾尔自治区乌鲁木齐县委员会部门本级决算，无下属单位决算。</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中国人民政治协商会议新疆维吾尔自治区乌鲁木齐县委员会编制数8个，包括行政编制8个，事业编制0个。年末实有人数9人，其中：行政在职9人，事业在职0人。</w:t>
      </w:r>
    </w:p>
    <w:p>
      <w:pPr>
        <w:spacing w:line="540" w:lineRule="exact"/>
        <w:ind w:firstLine="640" w:firstLineChars="200"/>
        <w:rPr>
          <w:rFonts w:ascii="仿宋_GB2312" w:eastAsia="仿宋_GB2312"/>
          <w:spacing w:val="-6"/>
          <w:sz w:val="32"/>
          <w:szCs w:val="32"/>
        </w:rPr>
      </w:pPr>
      <w:r>
        <w:rPr>
          <w:rFonts w:hint="eastAsia" w:ascii="仿宋_GB2312" w:eastAsia="仿宋_GB2312"/>
          <w:sz w:val="32"/>
          <w:szCs w:val="32"/>
        </w:rPr>
        <w:t>纳入中国人民政治协商会议新疆维吾尔自治区乌鲁木齐县委员会2018年部门决算编制范围的单位名单见下表</w:t>
      </w:r>
      <w:r>
        <w:rPr>
          <w:rFonts w:hint="eastAsia" w:ascii="仿宋_GB2312" w:eastAsia="仿宋_GB2312"/>
          <w:spacing w:val="-6"/>
          <w:sz w:val="32"/>
          <w:szCs w:val="32"/>
        </w:rPr>
        <w:t>：</w:t>
      </w:r>
    </w:p>
    <w:p>
      <w:pPr>
        <w:spacing w:line="500" w:lineRule="exact"/>
        <w:ind w:firstLine="616" w:firstLineChars="200"/>
        <w:rPr>
          <w:rFonts w:ascii="仿宋_GB2312" w:eastAsia="仿宋_GB2312"/>
          <w:spacing w:val="-6"/>
          <w:sz w:val="32"/>
          <w:szCs w:val="32"/>
        </w:rPr>
      </w:pPr>
    </w:p>
    <w:tbl>
      <w:tblPr>
        <w:tblStyle w:val="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7512"/>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序号</w:t>
            </w:r>
          </w:p>
        </w:tc>
        <w:tc>
          <w:tcPr>
            <w:tcW w:w="7512" w:type="dxa"/>
            <w:vAlign w:val="center"/>
          </w:tcPr>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              单位名称</w:t>
            </w:r>
          </w:p>
        </w:tc>
        <w:tc>
          <w:tcPr>
            <w:tcW w:w="964" w:type="dxa"/>
            <w:vAlign w:val="center"/>
          </w:tcPr>
          <w:p>
            <w:pPr>
              <w:spacing w:line="500" w:lineRule="exact"/>
              <w:rPr>
                <w:rFonts w:ascii="仿宋_GB2312" w:eastAsia="仿宋_GB2312"/>
                <w:sz w:val="32"/>
                <w:szCs w:val="32"/>
              </w:rPr>
            </w:pPr>
            <w:r>
              <w:rPr>
                <w:rFonts w:hint="eastAsia" w:ascii="仿宋_GB2312"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1</w:t>
            </w:r>
          </w:p>
        </w:tc>
        <w:tc>
          <w:tcPr>
            <w:tcW w:w="7512" w:type="dxa"/>
            <w:vAlign w:val="center"/>
          </w:tcPr>
          <w:p>
            <w:pPr>
              <w:spacing w:line="500" w:lineRule="exact"/>
              <w:rPr>
                <w:rFonts w:ascii="仿宋_GB2312" w:eastAsia="仿宋_GB2312"/>
                <w:sz w:val="32"/>
                <w:szCs w:val="32"/>
              </w:rPr>
            </w:pPr>
            <w:r>
              <w:rPr>
                <w:rFonts w:hint="eastAsia" w:ascii="仿宋_GB2312" w:eastAsia="仿宋_GB2312"/>
                <w:sz w:val="32"/>
                <w:szCs w:val="32"/>
              </w:rPr>
              <w:t>中国人民政治协商会议新疆维吾尔自治区乌鲁木齐县委员会</w:t>
            </w:r>
            <w:r>
              <w:rPr>
                <w:rFonts w:ascii="仿宋_GB2312" w:eastAsia="仿宋_GB2312"/>
                <w:sz w:val="32"/>
                <w:szCs w:val="32"/>
              </w:rPr>
              <w:t xml:space="preserve"> </w:t>
            </w: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2</w:t>
            </w:r>
          </w:p>
        </w:tc>
        <w:tc>
          <w:tcPr>
            <w:tcW w:w="7512" w:type="dxa"/>
            <w:vAlign w:val="center"/>
          </w:tcPr>
          <w:p>
            <w:pPr>
              <w:spacing w:line="500" w:lineRule="exact"/>
              <w:rPr>
                <w:rFonts w:ascii="仿宋_GB2312" w:eastAsia="仿宋_GB2312"/>
                <w:sz w:val="32"/>
                <w:szCs w:val="32"/>
              </w:rPr>
            </w:pP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w:t>
            </w:r>
          </w:p>
        </w:tc>
        <w:tc>
          <w:tcPr>
            <w:tcW w:w="7512" w:type="dxa"/>
            <w:vAlign w:val="center"/>
          </w:tcPr>
          <w:p>
            <w:pPr>
              <w:spacing w:line="500" w:lineRule="exact"/>
              <w:ind w:firstLine="640" w:firstLineChars="200"/>
              <w:rPr>
                <w:rFonts w:ascii="仿宋_GB2312" w:eastAsia="仿宋_GB2312"/>
                <w:sz w:val="32"/>
                <w:szCs w:val="32"/>
              </w:rPr>
            </w:pP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88" w:type="dxa"/>
            <w:vAlign w:val="center"/>
          </w:tcPr>
          <w:p>
            <w:pPr>
              <w:spacing w:line="500" w:lineRule="exact"/>
              <w:ind w:firstLine="640" w:firstLineChars="200"/>
              <w:rPr>
                <w:rFonts w:ascii="仿宋_GB2312" w:eastAsia="仿宋_GB2312"/>
                <w:sz w:val="32"/>
                <w:szCs w:val="32"/>
              </w:rPr>
            </w:pPr>
          </w:p>
        </w:tc>
        <w:tc>
          <w:tcPr>
            <w:tcW w:w="7512" w:type="dxa"/>
            <w:vAlign w:val="center"/>
          </w:tcPr>
          <w:p>
            <w:pPr>
              <w:spacing w:line="500" w:lineRule="exact"/>
              <w:ind w:firstLine="640" w:firstLineChars="200"/>
              <w:rPr>
                <w:rFonts w:ascii="仿宋_GB2312" w:eastAsia="仿宋_GB2312"/>
                <w:sz w:val="32"/>
                <w:szCs w:val="32"/>
              </w:rPr>
            </w:pPr>
          </w:p>
        </w:tc>
        <w:tc>
          <w:tcPr>
            <w:tcW w:w="964" w:type="dxa"/>
            <w:vAlign w:val="center"/>
          </w:tcPr>
          <w:p>
            <w:pPr>
              <w:spacing w:line="500" w:lineRule="exact"/>
              <w:rPr>
                <w:rFonts w:ascii="仿宋_GB2312" w:eastAsia="仿宋_GB2312"/>
                <w:sz w:val="32"/>
                <w:szCs w:val="32"/>
              </w:rPr>
            </w:pPr>
          </w:p>
        </w:tc>
      </w:tr>
    </w:tbl>
    <w:p>
      <w:pPr>
        <w:spacing w:line="500" w:lineRule="exact"/>
        <w:ind w:firstLine="627"/>
        <w:jc w:val="center"/>
        <w:rPr>
          <w:rFonts w:ascii="仿宋_GB2312" w:hAnsi="宋体" w:eastAsia="仿宋_GB2312" w:cs="宋体"/>
          <w:kern w:val="0"/>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第二部分 部门决算情况说明</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一、部门收支总体情况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（一）部门收入支出决算总体情况说明</w:t>
      </w:r>
    </w:p>
    <w:p>
      <w:pPr>
        <w:spacing w:line="540" w:lineRule="exact"/>
        <w:ind w:firstLine="640" w:firstLineChars="200"/>
        <w:rPr>
          <w:rFonts w:ascii="仿宋_GB2312" w:hAnsi="Calibri" w:eastAsia="仿宋_GB2312"/>
          <w:sz w:val="32"/>
          <w:szCs w:val="32"/>
          <w:lang w:val="en-GB"/>
        </w:rPr>
      </w:pPr>
      <w:r>
        <w:rPr>
          <w:rFonts w:hint="eastAsia" w:ascii="仿宋_GB2312" w:eastAsia="仿宋_GB2312"/>
          <w:sz w:val="32"/>
          <w:szCs w:val="32"/>
        </w:rPr>
        <w:t>2018年度收入303.62万元,与上年相比，增加9.75万元，增长3.32%，增减变化主要原因是：政协会议、委员视察及参政议政拨款增加；支出289.61万元,与上年相比，增加8.97万元，增长3.2%，增减变化主要原因是：今年维护费增加；结余40.24万元，与上年相比，增加14.01万元，增长53.43%。增减变化主要原因是：这笔钱是专项资金的钱，今年单位内部调整。</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（二）部门收入总体情况说明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本年收入合计303.62万元，其中：财政拨款收入300.33万元，占98.92%；上级补助收入0.00万元，占0.00%；事业收入0.00万元，占0.00%；经营收入0.00万元，占0.00%；附属单位缴款0.00万元，占0.00%；其他收入3.29万元，占1.08%。</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与年初预算数相比情况：本年收入年初预算数265.31万元，决算数303.62万元，预决算差异率14.44%，差异主要原因人员工资津贴及社保调整基数，预决算存在差异。</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（三）部门支出总体情况说明</w:t>
      </w:r>
    </w:p>
    <w:p>
      <w:pPr>
        <w:spacing w:line="540" w:lineRule="exact"/>
        <w:ind w:firstLine="640" w:firstLineChars="200"/>
        <w:rPr>
          <w:rFonts w:ascii="仿宋_GB2312" w:eastAsia="仿宋_GB2312"/>
          <w:spacing w:val="-6"/>
          <w:sz w:val="32"/>
          <w:szCs w:val="32"/>
        </w:rPr>
      </w:pPr>
      <w:r>
        <w:rPr>
          <w:rFonts w:hint="eastAsia" w:ascii="仿宋_GB2312" w:eastAsia="仿宋_GB2312"/>
          <w:sz w:val="32"/>
          <w:szCs w:val="32"/>
        </w:rPr>
        <w:t>本年支出合计289.61万元，其中：基本支出260.98万元，占90.12%；项目支出28.62万元，占9.88%；上缴上级支出0.00万元，占0.00%；</w:t>
      </w:r>
      <w:r>
        <w:rPr>
          <w:rFonts w:hint="eastAsia" w:ascii="仿宋_GB2312" w:eastAsia="仿宋_GB2312"/>
          <w:spacing w:val="-6"/>
          <w:sz w:val="32"/>
          <w:szCs w:val="32"/>
        </w:rPr>
        <w:t>经营支出0.00万元，占0.00%；对附属单位补助支出0.00万元，占0.00%。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与年初预算数相比情况：本年支出年初预算数265.31万元，决算数289.61万元，预决算差异率9.16%，差异主要原因人员工资津贴及社保调整基数，预决算存在差异。</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二、部门财政拨款收支情况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（一）财政拨款收支总体情况说明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财政拨款收入300.33万元，与上年相比，增加6.47万元，增长2.2%。增减变化的主要原因是：政协会议、委员视察及参政议政拨款增加。财政拨款支出288.61万元，与上年相比，增加7.97万元，增长2.84%，增减变化的主要原因是：今年维护费增加。其中：基本支出259.98万元，项目支出28.62万元。财政拨款结转结余37.95万元，与上年相比，增加11.73万元，增长44.71%。增减变化的主要原因是：这笔钱是专项资金的钱，今年单位内部调整。</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财政拨款收入年初预算数265.31万元，决算数300.33万元，预决算差异率13.20%，差异主要原因人员工资津贴及社保调整基数，预决算存在差异。财政拨款支出年初预算数265.31万元，决算数288.61万元，预决算差异率8.78%，差异主要原因人员工资津贴及社保调整基数，预决算存在差异。</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（二）一般公共预算收支决算情况说明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一般公共预算财政拨款收入300.33万元。与上年相比，增加6.47万元，增长2.2%。增减变化的主要原因是：政协会议、委员视察及参政议政拨款增加。一般公共预算财政拨款支出288.61万元。与上年相比，增加7.97万元，增长2.84%。增减变化的主要原因是：今年维护费增加。其中：按功能分类科目（按类级科目公开），社会保障和就业支出</w:t>
      </w:r>
      <w:r>
        <w:rPr>
          <w:rFonts w:ascii="仿宋_GB2312" w:eastAsia="仿宋_GB2312"/>
          <w:sz w:val="32"/>
          <w:szCs w:val="32"/>
        </w:rPr>
        <w:t>13.90</w:t>
      </w:r>
      <w:r>
        <w:rPr>
          <w:rFonts w:hint="eastAsia" w:ascii="仿宋_GB2312" w:eastAsia="仿宋_GB2312"/>
          <w:sz w:val="32"/>
          <w:szCs w:val="32"/>
        </w:rPr>
        <w:t>万元，医疗卫生与计划生育支出</w:t>
      </w:r>
      <w:r>
        <w:rPr>
          <w:rFonts w:ascii="仿宋_GB2312" w:eastAsia="仿宋_GB2312"/>
          <w:sz w:val="32"/>
          <w:szCs w:val="32"/>
        </w:rPr>
        <w:t>135.46</w:t>
      </w:r>
      <w:r>
        <w:rPr>
          <w:rFonts w:hint="eastAsia" w:ascii="仿宋_GB2312" w:eastAsia="仿宋_GB2312"/>
          <w:sz w:val="32"/>
          <w:szCs w:val="32"/>
        </w:rPr>
        <w:t>万元。按经济分类科目（按类级科目公开），工资福利支出177.37万元，商品和服务支出85.28万元，对个人和家庭的支出25.87万元，资本性支出0.08万元。</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一般公共预算财政拨款收入年初预算数265.31万元，决算数300.33万元，预决算差异率13.20%，差异主要原因人员工资津贴及社保调整基数，预决算存在差异。一般公共预算财政拨款支出年初预算数265.31万元，决算数288.61万元，预决算差异率8.78%，差异主要原因人员工资津贴及社保调整基数，预决算存在差异。</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（三）政府性基金预算收支决算情况说明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政府性基金预算财政拨款收入0.00万元，与上年相比，增加0.0万元，增加0%。增减变化的主要原因是：本单位无政府性基金预算收入。政府性基金预算支出0.00万元。与上年相比，减少0万元，降低0%。增减变化的主要原因是：本单位无政府性基金预算支出。其中：按功能分类科目（按类级科目公开），0支出0万元。按经济分类科目（按类级科目公开），0支出0万元。</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政府性基金预算财政拨款收入年初预算数0.00万元，决算数0.00万元，预决算差异率0.00%，差异主要原因本单位无政府性基金预算收入。政府性基金预算财政拨款支出年初预算数0.00万元，决算数0.00万元，预决算差异率0.00%，差异主要原因本单位无政府性基金预算支出。</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三、部门结转结余情况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年末结转结余40.24万元。与上年相比，增加14.01万元，增长53.43%。</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其中财政拨款结转结余37.95万元。与上年相比，增加11.73万元，增长44.71%。</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四、一般公共预算“三公”经费支出情况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一般公共预算“三公”经费支出决算28.03万元，比上年增加0.13万元，增长0.45%，增加原因是政协研讨会增加。其中，因公出国（境）费支出0.00万元，占0.00%，比上年减少0.0万元，降低0%，减少原因是无因公出国（境）费；公务用车购置及运行维护费支出27.90万元，占99.55%，比上年减少0万元，降低0%，减少原因是厉行节约，压减支出；公务接待费支出0.13万元，占0.45%，比上年增加0.13万元，</w:t>
      </w:r>
      <w:r>
        <w:rPr>
          <w:rFonts w:hint="eastAsia" w:ascii="仿宋_GB2312" w:eastAsia="仿宋_GB2312"/>
          <w:sz w:val="32"/>
          <w:szCs w:val="32"/>
          <w:lang w:eastAsia="zh-CN"/>
        </w:rPr>
        <w:t>增长</w:t>
      </w:r>
      <w:r>
        <w:rPr>
          <w:rFonts w:hint="eastAsia" w:ascii="仿宋_GB2312" w:eastAsia="仿宋_GB2312"/>
          <w:sz w:val="32"/>
          <w:szCs w:val="32"/>
          <w:lang w:val="en-US" w:eastAsia="zh-CN"/>
        </w:rPr>
        <w:t>10</w:t>
      </w:r>
      <w:r>
        <w:rPr>
          <w:rFonts w:hint="eastAsia" w:ascii="仿宋_GB2312" w:eastAsia="仿宋_GB2312"/>
          <w:sz w:val="32"/>
          <w:szCs w:val="32"/>
        </w:rPr>
        <w:t>0%，增加原因是单位增加接待检查。具体情况如下：</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因公出国（境）费支出0.00万元。中国人民政治协商会议新疆维吾尔自治区乌鲁木齐县委员会全年使用一般公共预算财政拨款安排的出国（境）团组0个，累计0人次。开支内容包括：无因公出国（境）费。</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公务用车购置及运行维护费27.90万元,其中，公务用车购置0.00万元，公务用车运行维护费27.90万元。主要用于车辆燃油费、维修费等。单位一般公共财政拨款安排的公务用车购置量0辆，保有量为6辆。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公务接待费0.13万元。具体是：国内公务接待支出0.13万元，主要是</w:t>
      </w:r>
      <w:r>
        <w:rPr>
          <w:rFonts w:hint="eastAsia" w:ascii="仿宋_GB2312" w:eastAsia="仿宋_GB2312"/>
          <w:sz w:val="32"/>
          <w:szCs w:val="32"/>
          <w:lang w:eastAsia="zh-CN"/>
        </w:rPr>
        <w:t>接待上级领导小组</w:t>
      </w:r>
      <w:r>
        <w:rPr>
          <w:rFonts w:hint="eastAsia" w:ascii="仿宋_GB2312" w:eastAsia="仿宋_GB2312"/>
          <w:sz w:val="32"/>
          <w:szCs w:val="32"/>
        </w:rPr>
        <w:t>等。中国人民政治协商会议新疆维吾尔自治区乌鲁木齐县委员会国内公务接待8批次，50人次。</w:t>
      </w:r>
    </w:p>
    <w:p>
      <w:pPr>
        <w:spacing w:line="54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与年初预算数相比情况：一般公共预算“三公”经费支出年初预算数28.15万元，决算数28.03万元，预决算差异率-0.44%，差异主要原因厉行节约，压减支出。</w:t>
      </w:r>
      <w:r>
        <w:rPr>
          <w:rFonts w:hint="eastAsia" w:ascii="仿宋_GB2312" w:hAnsi="宋体" w:eastAsia="仿宋_GB2312" w:cs="宋体"/>
          <w:kern w:val="0"/>
          <w:sz w:val="32"/>
          <w:szCs w:val="32"/>
        </w:rPr>
        <w:t>其中：因公出国（境）费</w:t>
      </w:r>
      <w:r>
        <w:rPr>
          <w:rFonts w:hint="eastAsia" w:ascii="仿宋_GB2312" w:eastAsia="仿宋_GB2312"/>
          <w:sz w:val="32"/>
          <w:szCs w:val="32"/>
        </w:rPr>
        <w:t>预算数0.00万元，决算数0.00万元，预决算差异率0.00%，差异主要原因无</w:t>
      </w:r>
      <w:r>
        <w:rPr>
          <w:rFonts w:hint="eastAsia" w:ascii="仿宋_GB2312" w:hAnsi="宋体" w:eastAsia="仿宋_GB2312" w:cs="宋体"/>
          <w:kern w:val="0"/>
          <w:sz w:val="32"/>
          <w:szCs w:val="32"/>
        </w:rPr>
        <w:t>因公出国（境）费</w:t>
      </w:r>
      <w:r>
        <w:rPr>
          <w:rFonts w:hint="eastAsia" w:ascii="仿宋_GB2312" w:eastAsia="仿宋_GB2312"/>
          <w:sz w:val="32"/>
          <w:szCs w:val="32"/>
        </w:rPr>
        <w:t>；</w:t>
      </w:r>
      <w:r>
        <w:rPr>
          <w:rFonts w:hint="eastAsia" w:ascii="仿宋_GB2312" w:hAnsi="宋体" w:eastAsia="仿宋_GB2312" w:cs="宋体"/>
          <w:kern w:val="0"/>
          <w:sz w:val="32"/>
          <w:szCs w:val="32"/>
        </w:rPr>
        <w:t>公务用车购置</w:t>
      </w:r>
      <w:r>
        <w:rPr>
          <w:rFonts w:hint="eastAsia" w:ascii="仿宋_GB2312" w:eastAsia="仿宋_GB2312"/>
          <w:sz w:val="32"/>
          <w:szCs w:val="32"/>
        </w:rPr>
        <w:t>预算数0万元，决算数0.00万元，预决算差异率0.00%，差异主要原因无</w:t>
      </w:r>
      <w:r>
        <w:rPr>
          <w:rFonts w:hint="eastAsia" w:ascii="仿宋_GB2312" w:hAnsi="宋体" w:eastAsia="仿宋_GB2312" w:cs="宋体"/>
          <w:kern w:val="0"/>
          <w:sz w:val="32"/>
          <w:szCs w:val="32"/>
        </w:rPr>
        <w:t>公务用车购置</w:t>
      </w:r>
      <w:r>
        <w:rPr>
          <w:rFonts w:hint="eastAsia" w:ascii="仿宋_GB2312" w:eastAsia="仿宋_GB2312"/>
          <w:sz w:val="32"/>
          <w:szCs w:val="32"/>
        </w:rPr>
        <w:t>；</w:t>
      </w:r>
      <w:r>
        <w:rPr>
          <w:rFonts w:hint="eastAsia" w:ascii="仿宋_GB2312" w:hAnsi="宋体" w:eastAsia="仿宋_GB2312" w:cs="宋体"/>
          <w:kern w:val="0"/>
          <w:sz w:val="32"/>
          <w:szCs w:val="32"/>
        </w:rPr>
        <w:t>公务用车运行费</w:t>
      </w:r>
      <w:r>
        <w:rPr>
          <w:rFonts w:hint="eastAsia" w:ascii="仿宋_GB2312" w:eastAsia="仿宋_GB2312"/>
          <w:sz w:val="32"/>
          <w:szCs w:val="32"/>
        </w:rPr>
        <w:t>预算数27.90万元，决算数27.90万元，预决算差异率0.00%，差异主要原因预结算一致，无差异；</w:t>
      </w:r>
      <w:r>
        <w:rPr>
          <w:rFonts w:hint="eastAsia" w:ascii="仿宋_GB2312" w:hAnsi="宋体" w:eastAsia="仿宋_GB2312" w:cs="宋体"/>
          <w:kern w:val="0"/>
          <w:sz w:val="32"/>
          <w:szCs w:val="32"/>
        </w:rPr>
        <w:t>公务接待费</w:t>
      </w:r>
      <w:r>
        <w:rPr>
          <w:rFonts w:hint="eastAsia" w:ascii="仿宋_GB2312" w:eastAsia="仿宋_GB2312"/>
          <w:sz w:val="32"/>
          <w:szCs w:val="32"/>
        </w:rPr>
        <w:t>预算数0.25万元，决算数0.13万元，预决算差异率-49.60%，差异主要原因厉行节约，压减支出。</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五、机关运行经费支出情况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中国人民政治协商会议新疆维吾尔自治区乌鲁木齐县委员会（行政单位和参照公务员法管理事业单位）机关运行经费支出56.74万元，比上年增加16.84万元，增长42.19%，主要原因是政协会议、委员视察及参政议政拨款增加。</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六、政府采购情况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2018年度政府采购支出总额46.32万元，其中：政府采购货物支出29.25万元、政府采购工程支出0.00万元、政府采购服务支出17.07万元。</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七、其他重要事项的情况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（一）国有资产占用情况说明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截至2018年12月31日，单位共有车辆6辆，价值104.76万元，其中：副部（省）级及以上领导用车0辆、主要领导干部用车3辆、机要通信用车0辆、应急保障用车1辆、执法执勤用车0辆、特种专业技术用车0辆、离退休干部用车0辆、其他用车2辆，其他用车主要是：一般公务用车；单位价值50万元以上通用设备0台（套）、单位价值100万元以上专用设备0台（套）。</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（二）预算绩效情况的说明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2018年度，本部门单位预算绩效自评情况：自述有关预算绩效管理和绩效自评开展情况。</w:t>
      </w:r>
    </w:p>
    <w:p>
      <w:pPr>
        <w:widowControl/>
        <w:textAlignment w:val="center"/>
        <w:rPr>
          <w:rFonts w:ascii="仿宋_GB2312" w:eastAsia="仿宋_GB2312"/>
          <w:sz w:val="32"/>
          <w:szCs w:val="32"/>
        </w:rPr>
      </w:pPr>
      <w:r>
        <w:rPr>
          <w:rFonts w:hint="eastAsia" w:ascii="仿宋_GB2312" w:eastAsia="仿宋_GB2312"/>
          <w:sz w:val="32"/>
          <w:szCs w:val="32"/>
        </w:rPr>
        <w:t>委员参政议政视察活动费项目绩效自评综述：根据年初设定的绩效目标，委员参政议政视察活动费项目绩效自评得分为</w:t>
      </w:r>
      <w:r>
        <w:rPr>
          <w:rFonts w:ascii="仿宋_GB2312" w:eastAsia="仿宋_GB2312"/>
          <w:sz w:val="32"/>
          <w:szCs w:val="32"/>
        </w:rPr>
        <w:t>90</w:t>
      </w:r>
      <w:r>
        <w:rPr>
          <w:rFonts w:hint="eastAsia" w:ascii="仿宋_GB2312" w:eastAsia="仿宋_GB2312"/>
          <w:sz w:val="32"/>
          <w:szCs w:val="32"/>
        </w:rPr>
        <w:t>分。委员参政议政视察活动费项目全年预算数为</w:t>
      </w:r>
      <w:r>
        <w:rPr>
          <w:rFonts w:ascii="仿宋_GB2312" w:eastAsia="仿宋_GB2312"/>
          <w:sz w:val="32"/>
          <w:szCs w:val="32"/>
        </w:rPr>
        <w:t>21.3</w:t>
      </w:r>
      <w:r>
        <w:rPr>
          <w:rFonts w:hint="eastAsia" w:ascii="仿宋_GB2312" w:eastAsia="仿宋_GB2312"/>
          <w:sz w:val="32"/>
          <w:szCs w:val="32"/>
        </w:rPr>
        <w:t>万元，执行数为</w:t>
      </w:r>
      <w:r>
        <w:rPr>
          <w:rFonts w:ascii="仿宋_GB2312" w:eastAsia="仿宋_GB2312"/>
          <w:sz w:val="32"/>
          <w:szCs w:val="32"/>
        </w:rPr>
        <w:t>8.36</w:t>
      </w:r>
      <w:r>
        <w:rPr>
          <w:rFonts w:hint="eastAsia" w:ascii="仿宋_GB2312" w:eastAsia="仿宋_GB2312"/>
          <w:sz w:val="32"/>
          <w:szCs w:val="32"/>
        </w:rPr>
        <w:t>万元，完成预算的</w:t>
      </w:r>
      <w:r>
        <w:rPr>
          <w:rFonts w:ascii="仿宋_GB2312" w:eastAsia="仿宋_GB2312"/>
          <w:sz w:val="32"/>
          <w:szCs w:val="32"/>
        </w:rPr>
        <w:t>39.24</w:t>
      </w:r>
      <w:r>
        <w:rPr>
          <w:rFonts w:hint="eastAsia" w:ascii="仿宋_GB2312" w:eastAsia="仿宋_GB2312"/>
          <w:sz w:val="32"/>
          <w:szCs w:val="32"/>
        </w:rPr>
        <w:t>%。主要产出和效果：圆满完成今年的各项视察、调研、座谈会及疆内外研讨会。发现的问题及原因：由于文史资料具有亲历、亲见、亲闻的特征，所以其作者大多是政协委员和政协联系的各界爱国人士，他们是许多重要历史事件的参与者或见证人，所述资料多属鲜为人知的第一手材料，具有涵盖面广的综合性、翔实可靠的资料性和具体生动的可读性，所以今年我们一直都在做文史征集的工作，所以至今未能按期完成此项工作，致使年初计划县政协出版文史资料6万元还未完成，2018年11月27日给全县旅游景区维稳督导检查组车辆及午餐补助1万元，现在还未完成。</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财政支出21.3万元，本年度已支出8.36万元，还有12.94万元，计划于2019年逐步落实完成。下一步改进措施：进一步完善专项资金的使用并提高使用效果，使每位委员在我县社会稳定和经济发展中发挥重要作用，履行职责。</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有关项目自评情况可以附项目支出绩效自评表。</w:t>
      </w:r>
    </w:p>
    <w:tbl>
      <w:tblPr>
        <w:tblStyle w:val="4"/>
        <w:tblW w:w="8955" w:type="dxa"/>
        <w:tblInd w:w="0" w:type="dxa"/>
        <w:tblLayout w:type="fixed"/>
        <w:tblCellMar>
          <w:top w:w="15" w:type="dxa"/>
          <w:left w:w="15" w:type="dxa"/>
          <w:bottom w:w="15" w:type="dxa"/>
          <w:right w:w="15" w:type="dxa"/>
        </w:tblCellMar>
      </w:tblPr>
      <w:tblGrid>
        <w:gridCol w:w="712"/>
        <w:gridCol w:w="1088"/>
        <w:gridCol w:w="1089"/>
        <w:gridCol w:w="1034"/>
        <w:gridCol w:w="1028"/>
        <w:gridCol w:w="2140"/>
        <w:gridCol w:w="1864"/>
      </w:tblGrid>
      <w:tr>
        <w:tblPrEx>
          <w:tblCellMar>
            <w:top w:w="15" w:type="dxa"/>
            <w:left w:w="15" w:type="dxa"/>
            <w:bottom w:w="15" w:type="dxa"/>
            <w:right w:w="15" w:type="dxa"/>
          </w:tblCellMar>
        </w:tblPrEx>
        <w:trPr>
          <w:trHeight w:val="570" w:hRule="atLeast"/>
        </w:trPr>
        <w:tc>
          <w:tcPr>
            <w:tcW w:w="8955" w:type="dxa"/>
            <w:gridSpan w:val="7"/>
            <w:shd w:val="clear" w:color="auto" w:fill="auto"/>
            <w:vAlign w:val="center"/>
          </w:tcPr>
          <w:p>
            <w:pPr>
              <w:widowControl/>
              <w:jc w:val="center"/>
              <w:textAlignment w:val="center"/>
              <w:rPr>
                <w:rFonts w:ascii="宋体" w:hAnsi="宋体" w:cs="宋体"/>
                <w:b/>
                <w:color w:val="000000"/>
                <w:sz w:val="32"/>
                <w:szCs w:val="32"/>
              </w:rPr>
            </w:pPr>
            <w:r>
              <w:rPr>
                <w:rFonts w:hint="eastAsia" w:ascii="宋体" w:hAnsi="宋体" w:eastAsia="宋体" w:cs="宋体"/>
                <w:b/>
                <w:color w:val="000000"/>
                <w:kern w:val="0"/>
                <w:sz w:val="32"/>
                <w:szCs w:val="32"/>
                <w:lang w:bidi="ar"/>
              </w:rPr>
              <w:t>乌鲁木齐县财政项目支出绩效自评表</w:t>
            </w:r>
          </w:p>
        </w:tc>
      </w:tr>
      <w:tr>
        <w:tblPrEx>
          <w:tblCellMar>
            <w:top w:w="15" w:type="dxa"/>
            <w:left w:w="15" w:type="dxa"/>
            <w:bottom w:w="15" w:type="dxa"/>
            <w:right w:w="15" w:type="dxa"/>
          </w:tblCellMar>
        </w:tblPrEx>
        <w:trPr>
          <w:trHeight w:val="435" w:hRule="atLeast"/>
        </w:trPr>
        <w:tc>
          <w:tcPr>
            <w:tcW w:w="8955" w:type="dxa"/>
            <w:gridSpan w:val="7"/>
            <w:shd w:val="clear" w:color="auto" w:fill="auto"/>
            <w:vAlign w:val="center"/>
          </w:tcPr>
          <w:p>
            <w:pPr>
              <w:widowControl/>
              <w:jc w:val="center"/>
              <w:textAlignment w:val="center"/>
              <w:rPr>
                <w:rFonts w:ascii="宋体" w:hAnsi="宋体" w:cs="宋体"/>
                <w:color w:val="000000"/>
                <w:sz w:val="24"/>
              </w:rPr>
            </w:pPr>
            <w:r>
              <w:rPr>
                <w:rStyle w:val="9"/>
                <w:rFonts w:hint="default"/>
                <w:lang w:bidi="ar"/>
              </w:rPr>
              <w:t>（</w:t>
            </w:r>
            <w:r>
              <w:rPr>
                <w:rStyle w:val="10"/>
                <w:rFonts w:eastAsia="宋体"/>
                <w:lang w:bidi="ar"/>
              </w:rPr>
              <w:t xml:space="preserve">   2018 </w:t>
            </w:r>
            <w:r>
              <w:rPr>
                <w:rStyle w:val="9"/>
                <w:rFonts w:hint="default"/>
                <w:lang w:bidi="ar"/>
              </w:rPr>
              <w:t>年度）</w:t>
            </w:r>
          </w:p>
        </w:tc>
      </w:tr>
      <w:tr>
        <w:tblPrEx>
          <w:tblCellMar>
            <w:top w:w="15" w:type="dxa"/>
            <w:left w:w="15" w:type="dxa"/>
            <w:bottom w:w="15" w:type="dxa"/>
            <w:right w:w="15" w:type="dxa"/>
          </w:tblCellMar>
        </w:tblPrEx>
        <w:trPr>
          <w:trHeight w:val="286" w:hRule="atLeast"/>
        </w:trPr>
        <w:tc>
          <w:tcPr>
            <w:tcW w:w="712" w:type="dxa"/>
            <w:shd w:val="clear" w:color="auto" w:fill="auto"/>
            <w:vAlign w:val="center"/>
          </w:tcPr>
          <w:p>
            <w:pPr>
              <w:jc w:val="center"/>
              <w:rPr>
                <w:rFonts w:ascii="宋体" w:hAnsi="宋体" w:cs="宋体"/>
                <w:color w:val="000000"/>
                <w:sz w:val="24"/>
              </w:rPr>
            </w:pPr>
          </w:p>
        </w:tc>
        <w:tc>
          <w:tcPr>
            <w:tcW w:w="1088" w:type="dxa"/>
            <w:shd w:val="clear" w:color="auto" w:fill="auto"/>
            <w:vAlign w:val="center"/>
          </w:tcPr>
          <w:p>
            <w:pPr>
              <w:jc w:val="center"/>
              <w:rPr>
                <w:rFonts w:ascii="宋体" w:hAnsi="宋体" w:cs="宋体"/>
                <w:color w:val="000000"/>
                <w:sz w:val="24"/>
              </w:rPr>
            </w:pPr>
          </w:p>
        </w:tc>
        <w:tc>
          <w:tcPr>
            <w:tcW w:w="1089" w:type="dxa"/>
            <w:shd w:val="clear" w:color="auto" w:fill="auto"/>
            <w:vAlign w:val="center"/>
          </w:tcPr>
          <w:p>
            <w:pPr>
              <w:jc w:val="center"/>
              <w:rPr>
                <w:rFonts w:ascii="宋体" w:hAnsi="宋体" w:cs="宋体"/>
                <w:color w:val="000000"/>
                <w:sz w:val="24"/>
              </w:rPr>
            </w:pPr>
          </w:p>
        </w:tc>
        <w:tc>
          <w:tcPr>
            <w:tcW w:w="1034" w:type="dxa"/>
            <w:shd w:val="clear" w:color="auto" w:fill="auto"/>
            <w:vAlign w:val="center"/>
          </w:tcPr>
          <w:p>
            <w:pPr>
              <w:jc w:val="center"/>
              <w:rPr>
                <w:rFonts w:ascii="宋体" w:hAnsi="宋体" w:cs="宋体"/>
                <w:color w:val="000000"/>
                <w:sz w:val="24"/>
              </w:rPr>
            </w:pPr>
          </w:p>
        </w:tc>
        <w:tc>
          <w:tcPr>
            <w:tcW w:w="1028" w:type="dxa"/>
            <w:shd w:val="clear" w:color="auto" w:fill="auto"/>
            <w:vAlign w:val="center"/>
          </w:tcPr>
          <w:p>
            <w:pPr>
              <w:jc w:val="center"/>
              <w:rPr>
                <w:rFonts w:ascii="宋体" w:hAnsi="宋体" w:cs="宋体"/>
                <w:color w:val="000000"/>
                <w:sz w:val="24"/>
              </w:rPr>
            </w:pPr>
          </w:p>
        </w:tc>
        <w:tc>
          <w:tcPr>
            <w:tcW w:w="2140" w:type="dxa"/>
            <w:shd w:val="clear" w:color="auto" w:fill="auto"/>
            <w:vAlign w:val="center"/>
          </w:tcPr>
          <w:p>
            <w:pPr>
              <w:jc w:val="center"/>
              <w:rPr>
                <w:rFonts w:ascii="宋体" w:hAnsi="宋体" w:cs="宋体"/>
                <w:color w:val="000000"/>
                <w:sz w:val="24"/>
              </w:rPr>
            </w:pPr>
          </w:p>
        </w:tc>
        <w:tc>
          <w:tcPr>
            <w:tcW w:w="1864" w:type="dxa"/>
            <w:shd w:val="clear" w:color="auto" w:fill="auto"/>
            <w:vAlign w:val="center"/>
          </w:tcPr>
          <w:p>
            <w:pPr>
              <w:jc w:val="center"/>
              <w:rPr>
                <w:rFonts w:ascii="宋体" w:hAnsi="宋体" w:cs="宋体"/>
                <w:color w:val="000000"/>
                <w:sz w:val="24"/>
              </w:rPr>
            </w:pPr>
          </w:p>
        </w:tc>
      </w:tr>
      <w:tr>
        <w:tblPrEx>
          <w:tblCellMar>
            <w:top w:w="15" w:type="dxa"/>
            <w:left w:w="15" w:type="dxa"/>
            <w:bottom w:w="15" w:type="dxa"/>
            <w:right w:w="15" w:type="dxa"/>
          </w:tblCellMar>
        </w:tblPrEx>
        <w:trPr>
          <w:trHeight w:val="420" w:hRule="atLeast"/>
        </w:trPr>
        <w:tc>
          <w:tcPr>
            <w:tcW w:w="28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项目名称</w:t>
            </w:r>
          </w:p>
        </w:tc>
        <w:tc>
          <w:tcPr>
            <w:tcW w:w="60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委员参政议政视察活动费</w:t>
            </w:r>
          </w:p>
        </w:tc>
      </w:tr>
      <w:tr>
        <w:tblPrEx>
          <w:tblCellMar>
            <w:top w:w="15" w:type="dxa"/>
            <w:left w:w="15" w:type="dxa"/>
            <w:bottom w:w="15" w:type="dxa"/>
            <w:right w:w="15" w:type="dxa"/>
          </w:tblCellMar>
        </w:tblPrEx>
        <w:trPr>
          <w:trHeight w:val="420" w:hRule="atLeast"/>
        </w:trPr>
        <w:tc>
          <w:tcPr>
            <w:tcW w:w="28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预算单位</w:t>
            </w:r>
          </w:p>
        </w:tc>
        <w:tc>
          <w:tcPr>
            <w:tcW w:w="60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政协乌鲁木齐县委员会</w:t>
            </w:r>
          </w:p>
        </w:tc>
      </w:tr>
      <w:tr>
        <w:tblPrEx>
          <w:tblCellMar>
            <w:top w:w="15" w:type="dxa"/>
            <w:left w:w="15" w:type="dxa"/>
            <w:bottom w:w="15" w:type="dxa"/>
            <w:right w:w="15" w:type="dxa"/>
          </w:tblCellMar>
        </w:tblPrEx>
        <w:trPr>
          <w:trHeight w:val="420" w:hRule="atLeast"/>
        </w:trPr>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Style w:val="9"/>
                <w:rFonts w:hint="default"/>
                <w:lang w:bidi="ar"/>
              </w:rPr>
              <w:t>预算</w:t>
            </w:r>
            <w:r>
              <w:rPr>
                <w:rStyle w:val="9"/>
                <w:rFonts w:hint="default"/>
                <w:lang w:bidi="ar"/>
              </w:rPr>
              <w:br w:type="textWrapping"/>
            </w:r>
            <w:r>
              <w:rPr>
                <w:rStyle w:val="9"/>
                <w:rFonts w:hint="default"/>
                <w:lang w:bidi="ar"/>
              </w:rPr>
              <w:t>执行</w:t>
            </w:r>
            <w:r>
              <w:rPr>
                <w:rStyle w:val="9"/>
                <w:rFonts w:hint="default"/>
                <w:lang w:bidi="ar"/>
              </w:rPr>
              <w:br w:type="textWrapping"/>
            </w:r>
            <w:r>
              <w:rPr>
                <w:rStyle w:val="9"/>
                <w:rFonts w:hint="default"/>
                <w:lang w:bidi="ar"/>
              </w:rPr>
              <w:t>情况</w:t>
            </w:r>
            <w:r>
              <w:rPr>
                <w:rStyle w:val="9"/>
                <w:rFonts w:hint="default"/>
                <w:lang w:bidi="ar"/>
              </w:rPr>
              <w:br w:type="textWrapping"/>
            </w:r>
            <w:r>
              <w:rPr>
                <w:rStyle w:val="11"/>
                <w:rFonts w:hint="default"/>
                <w:lang w:bidi="ar"/>
              </w:rPr>
              <w:t>（万元）</w:t>
            </w:r>
          </w:p>
        </w:tc>
        <w:tc>
          <w:tcPr>
            <w:tcW w:w="2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eastAsia="宋体" w:cs="宋体"/>
                <w:color w:val="000000"/>
                <w:kern w:val="0"/>
                <w:sz w:val="24"/>
                <w:szCs w:val="24"/>
                <w:lang w:bidi="ar"/>
              </w:rPr>
              <w:t xml:space="preserve"> 预算数：</w:t>
            </w: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21.3</w:t>
            </w:r>
          </w:p>
        </w:tc>
        <w:tc>
          <w:tcPr>
            <w:tcW w:w="2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eastAsia="宋体" w:cs="宋体"/>
                <w:color w:val="000000"/>
                <w:kern w:val="0"/>
                <w:sz w:val="24"/>
                <w:szCs w:val="24"/>
                <w:lang w:bidi="ar"/>
              </w:rPr>
              <w:t xml:space="preserve"> 执行数：</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8.36</w:t>
            </w:r>
          </w:p>
        </w:tc>
      </w:tr>
      <w:tr>
        <w:tblPrEx>
          <w:tblCellMar>
            <w:top w:w="15" w:type="dxa"/>
            <w:left w:w="15" w:type="dxa"/>
            <w:bottom w:w="15" w:type="dxa"/>
            <w:right w:w="15" w:type="dxa"/>
          </w:tblCellMar>
        </w:tblPrEx>
        <w:trPr>
          <w:trHeight w:val="78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2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rPr>
            </w:pPr>
            <w:r>
              <w:rPr>
                <w:rFonts w:hint="eastAsia" w:ascii="宋体" w:hAnsi="宋体" w:eastAsia="宋体" w:cs="宋体"/>
                <w:color w:val="000000"/>
                <w:kern w:val="0"/>
                <w:sz w:val="22"/>
                <w:lang w:bidi="ar"/>
              </w:rPr>
              <w:t>其中：财政拨款</w:t>
            </w: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21.3</w:t>
            </w:r>
          </w:p>
        </w:tc>
        <w:tc>
          <w:tcPr>
            <w:tcW w:w="2140" w:type="dxa"/>
            <w:tcBorders>
              <w:top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rPr>
            </w:pPr>
            <w:r>
              <w:rPr>
                <w:rFonts w:hint="eastAsia" w:ascii="宋体" w:hAnsi="宋体" w:eastAsia="宋体" w:cs="宋体"/>
                <w:color w:val="000000"/>
                <w:kern w:val="0"/>
                <w:sz w:val="22"/>
                <w:lang w:bidi="ar"/>
              </w:rPr>
              <w:t>其中：财政拨款</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8.36</w:t>
            </w:r>
          </w:p>
        </w:tc>
      </w:tr>
      <w:tr>
        <w:tblPrEx>
          <w:tblCellMar>
            <w:top w:w="15" w:type="dxa"/>
            <w:left w:w="15" w:type="dxa"/>
            <w:bottom w:w="15" w:type="dxa"/>
            <w:right w:w="15" w:type="dxa"/>
          </w:tblCellMar>
        </w:tblPrEx>
        <w:trPr>
          <w:trHeight w:val="78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21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rPr>
            </w:pPr>
            <w:r>
              <w:rPr>
                <w:rFonts w:hint="eastAsia" w:ascii="宋体" w:hAnsi="宋体" w:eastAsia="宋体" w:cs="宋体"/>
                <w:color w:val="000000"/>
                <w:kern w:val="0"/>
                <w:sz w:val="22"/>
                <w:lang w:bidi="ar"/>
              </w:rPr>
              <w:t>其他资金</w:t>
            </w: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2140" w:type="dxa"/>
            <w:tcBorders>
              <w:top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rPr>
            </w:pPr>
            <w:r>
              <w:rPr>
                <w:rFonts w:hint="eastAsia" w:ascii="宋体" w:hAnsi="宋体" w:eastAsia="宋体" w:cs="宋体"/>
                <w:color w:val="000000"/>
                <w:kern w:val="0"/>
                <w:sz w:val="22"/>
                <w:lang w:bidi="ar"/>
              </w:rPr>
              <w:t>其他资金</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4"/>
              </w:rPr>
            </w:pPr>
          </w:p>
        </w:tc>
      </w:tr>
      <w:tr>
        <w:tblPrEx>
          <w:tblCellMar>
            <w:top w:w="15" w:type="dxa"/>
            <w:left w:w="15" w:type="dxa"/>
            <w:bottom w:w="15" w:type="dxa"/>
            <w:right w:w="15" w:type="dxa"/>
          </w:tblCellMar>
        </w:tblPrEx>
        <w:trPr>
          <w:trHeight w:val="795" w:hRule="atLeast"/>
        </w:trPr>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年度</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目标</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完成</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情况</w:t>
            </w:r>
          </w:p>
        </w:tc>
        <w:tc>
          <w:tcPr>
            <w:tcW w:w="42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预期目标</w:t>
            </w:r>
          </w:p>
        </w:tc>
        <w:tc>
          <w:tcPr>
            <w:tcW w:w="4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实际完成目标</w:t>
            </w:r>
          </w:p>
        </w:tc>
      </w:tr>
      <w:tr>
        <w:tblPrEx>
          <w:tblCellMar>
            <w:top w:w="15" w:type="dxa"/>
            <w:left w:w="15" w:type="dxa"/>
            <w:bottom w:w="15" w:type="dxa"/>
            <w:right w:w="15" w:type="dxa"/>
          </w:tblCellMar>
        </w:tblPrEx>
        <w:trPr>
          <w:trHeight w:val="2041"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4239"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24"/>
              </w:rPr>
            </w:pPr>
            <w:r>
              <w:rPr>
                <w:rFonts w:hint="eastAsia" w:ascii="宋体" w:hAnsi="宋体" w:eastAsia="宋体" w:cs="宋体"/>
                <w:color w:val="000000"/>
                <w:kern w:val="0"/>
                <w:sz w:val="24"/>
                <w:szCs w:val="24"/>
                <w:lang w:bidi="ar"/>
              </w:rPr>
              <w:t xml:space="preserve">    开展委员视察、专题调研、办复提案、课题研究、举办委员学习班，召开工作会议，反映社情民意等相关工作，掌握新情况，反映新问题，在履职过程中落实新要求、施展新作为、创造新业绩，发挥人民政协参政议政职能。</w:t>
            </w:r>
          </w:p>
        </w:tc>
        <w:tc>
          <w:tcPr>
            <w:tcW w:w="400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24"/>
              </w:rPr>
            </w:pPr>
            <w:r>
              <w:rPr>
                <w:rFonts w:hint="eastAsia" w:ascii="宋体" w:hAnsi="宋体" w:eastAsia="宋体" w:cs="宋体"/>
                <w:color w:val="000000"/>
                <w:kern w:val="0"/>
                <w:sz w:val="24"/>
                <w:szCs w:val="24"/>
                <w:lang w:bidi="ar"/>
              </w:rPr>
              <w:t xml:space="preserve">  圆满完成今年的各项视察、调研、座谈会及疆内外研讨会。</w:t>
            </w:r>
          </w:p>
        </w:tc>
      </w:tr>
      <w:tr>
        <w:tblPrEx>
          <w:tblCellMar>
            <w:top w:w="15" w:type="dxa"/>
            <w:left w:w="15" w:type="dxa"/>
            <w:bottom w:w="15" w:type="dxa"/>
            <w:right w:w="15" w:type="dxa"/>
          </w:tblCellMar>
        </w:tblPrEx>
        <w:trPr>
          <w:trHeight w:val="795" w:hRule="atLeast"/>
        </w:trPr>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年度</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绩效</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指标</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完成</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情况</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一级指标</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二级指标</w:t>
            </w: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三级指标</w:t>
            </w:r>
          </w:p>
        </w:tc>
        <w:tc>
          <w:tcPr>
            <w:tcW w:w="2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预期指标值（包含数字及文字描述）</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实际完成指标值（包含数字及文字描述）</w:t>
            </w:r>
          </w:p>
        </w:tc>
      </w:tr>
      <w:tr>
        <w:tblPrEx>
          <w:tblCellMar>
            <w:top w:w="15" w:type="dxa"/>
            <w:left w:w="15" w:type="dxa"/>
            <w:bottom w:w="15" w:type="dxa"/>
            <w:right w:w="15" w:type="dxa"/>
          </w:tblCellMar>
        </w:tblPrEx>
        <w:trPr>
          <w:trHeight w:val="78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0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项目完成指标</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数量指标</w:t>
            </w: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 xml:space="preserve"> 县政协第十四届全体政协委员</w:t>
            </w:r>
          </w:p>
        </w:tc>
        <w:tc>
          <w:tcPr>
            <w:tcW w:w="2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93人</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93人</w:t>
            </w:r>
          </w:p>
        </w:tc>
      </w:tr>
      <w:tr>
        <w:tblPrEx>
          <w:tblCellMar>
            <w:top w:w="15" w:type="dxa"/>
            <w:left w:w="15" w:type="dxa"/>
            <w:bottom w:w="15" w:type="dxa"/>
            <w:right w:w="15" w:type="dxa"/>
          </w:tblCellMar>
        </w:tblPrEx>
        <w:trPr>
          <w:trHeight w:val="78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质量指标</w:t>
            </w: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 xml:space="preserve"> 圆满完成各项工作</w:t>
            </w:r>
          </w:p>
        </w:tc>
        <w:tc>
          <w:tcPr>
            <w:tcW w:w="2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达标</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比较满意</w:t>
            </w:r>
          </w:p>
        </w:tc>
      </w:tr>
      <w:tr>
        <w:tblPrEx>
          <w:tblCellMar>
            <w:top w:w="15" w:type="dxa"/>
            <w:left w:w="15" w:type="dxa"/>
            <w:bottom w:w="15" w:type="dxa"/>
            <w:right w:w="15" w:type="dxa"/>
          </w:tblCellMar>
        </w:tblPrEx>
        <w:trPr>
          <w:trHeight w:val="78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时效指标</w:t>
            </w: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全年</w:t>
            </w:r>
          </w:p>
        </w:tc>
        <w:tc>
          <w:tcPr>
            <w:tcW w:w="2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不低于5次</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Style w:val="12"/>
                <w:lang w:bidi="ar"/>
              </w:rPr>
              <w:t>≧5</w:t>
            </w:r>
            <w:r>
              <w:rPr>
                <w:rStyle w:val="9"/>
                <w:rFonts w:hint="default"/>
                <w:lang w:bidi="ar"/>
              </w:rPr>
              <w:t>次</w:t>
            </w:r>
          </w:p>
        </w:tc>
      </w:tr>
      <w:tr>
        <w:tblPrEx>
          <w:tblCellMar>
            <w:top w:w="15" w:type="dxa"/>
            <w:left w:w="15" w:type="dxa"/>
            <w:bottom w:w="15" w:type="dxa"/>
            <w:right w:w="15" w:type="dxa"/>
          </w:tblCellMar>
        </w:tblPrEx>
        <w:trPr>
          <w:trHeight w:val="780"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成本指标</w:t>
            </w: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秉着勤俭、节约原则</w:t>
            </w:r>
          </w:p>
        </w:tc>
        <w:tc>
          <w:tcPr>
            <w:tcW w:w="2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&lt;21.3万</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8.36万元</w:t>
            </w:r>
          </w:p>
        </w:tc>
      </w:tr>
      <w:tr>
        <w:tblPrEx>
          <w:tblCellMar>
            <w:top w:w="15" w:type="dxa"/>
            <w:left w:w="15" w:type="dxa"/>
            <w:bottom w:w="15" w:type="dxa"/>
            <w:right w:w="15" w:type="dxa"/>
          </w:tblCellMar>
        </w:tblPrEx>
        <w:trPr>
          <w:trHeight w:val="1155"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0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项目效果指标</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经济效益</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指标</w:t>
            </w: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eastAsia="宋体" w:cs="宋体"/>
                <w:color w:val="000000"/>
                <w:kern w:val="0"/>
                <w:sz w:val="24"/>
                <w:szCs w:val="24"/>
                <w:lang w:bidi="ar"/>
              </w:rPr>
              <w:t xml:space="preserve">    为我县旅游经济建设建言献策，为经济社会发展做出了积极贡献</w:t>
            </w:r>
          </w:p>
        </w:tc>
        <w:tc>
          <w:tcPr>
            <w:tcW w:w="2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明显</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明显</w:t>
            </w:r>
          </w:p>
        </w:tc>
      </w:tr>
      <w:tr>
        <w:tblPrEx>
          <w:tblCellMar>
            <w:top w:w="15" w:type="dxa"/>
            <w:left w:w="15" w:type="dxa"/>
            <w:bottom w:w="15" w:type="dxa"/>
            <w:right w:w="15" w:type="dxa"/>
          </w:tblCellMar>
        </w:tblPrEx>
        <w:trPr>
          <w:trHeight w:val="1155"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社会效益</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指标</w:t>
            </w: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eastAsia="宋体" w:cs="宋体"/>
                <w:color w:val="000000"/>
                <w:kern w:val="0"/>
                <w:sz w:val="24"/>
                <w:szCs w:val="24"/>
                <w:lang w:bidi="ar"/>
              </w:rPr>
              <w:t xml:space="preserve">    形成了政治协商、民主监督、参政议政浓厚氛围，有效推进了我县民主建设</w:t>
            </w:r>
          </w:p>
        </w:tc>
        <w:tc>
          <w:tcPr>
            <w:tcW w:w="2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明显</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明显</w:t>
            </w:r>
          </w:p>
        </w:tc>
      </w:tr>
      <w:tr>
        <w:tblPrEx>
          <w:tblCellMar>
            <w:top w:w="15" w:type="dxa"/>
            <w:left w:w="15" w:type="dxa"/>
            <w:bottom w:w="15" w:type="dxa"/>
            <w:right w:w="15" w:type="dxa"/>
          </w:tblCellMar>
        </w:tblPrEx>
        <w:trPr>
          <w:trHeight w:val="1155"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生态效益</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指标</w:t>
            </w: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eastAsia="宋体" w:cs="宋体"/>
                <w:color w:val="000000"/>
                <w:kern w:val="0"/>
                <w:sz w:val="24"/>
                <w:szCs w:val="24"/>
                <w:lang w:bidi="ar"/>
              </w:rPr>
              <w:t xml:space="preserve">    为我县资源保护提出了保护生态地貌的建议</w:t>
            </w:r>
          </w:p>
        </w:tc>
        <w:tc>
          <w:tcPr>
            <w:tcW w:w="2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明显</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明显</w:t>
            </w:r>
          </w:p>
        </w:tc>
      </w:tr>
      <w:tr>
        <w:tblPrEx>
          <w:tblCellMar>
            <w:top w:w="15" w:type="dxa"/>
            <w:left w:w="15" w:type="dxa"/>
            <w:bottom w:w="15" w:type="dxa"/>
            <w:right w:w="15" w:type="dxa"/>
          </w:tblCellMar>
        </w:tblPrEx>
        <w:trPr>
          <w:trHeight w:val="1155"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可持续影响</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指标</w:t>
            </w: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eastAsia="宋体" w:cs="宋体"/>
                <w:color w:val="000000"/>
                <w:kern w:val="0"/>
                <w:sz w:val="24"/>
                <w:szCs w:val="24"/>
                <w:lang w:bidi="ar"/>
              </w:rPr>
              <w:t xml:space="preserve">    标志我县民主政治建设步入程序化、规范化、制度化轨道</w:t>
            </w:r>
          </w:p>
        </w:tc>
        <w:tc>
          <w:tcPr>
            <w:tcW w:w="2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明显</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明显</w:t>
            </w:r>
          </w:p>
        </w:tc>
      </w:tr>
      <w:tr>
        <w:tblPrEx>
          <w:tblCellMar>
            <w:top w:w="15" w:type="dxa"/>
            <w:left w:w="15" w:type="dxa"/>
            <w:bottom w:w="15" w:type="dxa"/>
            <w:right w:w="15" w:type="dxa"/>
          </w:tblCellMar>
        </w:tblPrEx>
        <w:trPr>
          <w:trHeight w:val="1155"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满意度</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指标</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满意度指标</w:t>
            </w: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eastAsia="宋体" w:cs="宋体"/>
                <w:color w:val="000000"/>
                <w:kern w:val="0"/>
                <w:sz w:val="24"/>
                <w:szCs w:val="24"/>
                <w:lang w:bidi="ar"/>
              </w:rPr>
              <w:t xml:space="preserve">    当地委员、邀请、列席人员满意度</w:t>
            </w:r>
          </w:p>
        </w:tc>
        <w:tc>
          <w:tcPr>
            <w:tcW w:w="2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98%以上</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98%</w:t>
            </w:r>
          </w:p>
        </w:tc>
      </w:tr>
    </w:tbl>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政协第十四届三次会议项目绩效自评综述：根据年初设定的绩效目标，政协第十四届三次会议项目绩效自评得分为</w:t>
      </w:r>
      <w:r>
        <w:rPr>
          <w:rFonts w:ascii="仿宋_GB2312" w:eastAsia="仿宋_GB2312"/>
          <w:sz w:val="32"/>
          <w:szCs w:val="32"/>
        </w:rPr>
        <w:t>89</w:t>
      </w:r>
      <w:r>
        <w:rPr>
          <w:rFonts w:hint="eastAsia" w:ascii="仿宋_GB2312" w:eastAsia="仿宋_GB2312"/>
          <w:sz w:val="32"/>
          <w:szCs w:val="32"/>
        </w:rPr>
        <w:t>分。项目全年预算数为</w:t>
      </w:r>
      <w:r>
        <w:rPr>
          <w:rFonts w:ascii="仿宋_GB2312" w:eastAsia="仿宋_GB2312"/>
          <w:sz w:val="32"/>
          <w:szCs w:val="32"/>
        </w:rPr>
        <w:t>22</w:t>
      </w:r>
      <w:r>
        <w:rPr>
          <w:rFonts w:hint="eastAsia" w:ascii="仿宋_GB2312" w:eastAsia="仿宋_GB2312"/>
          <w:sz w:val="32"/>
          <w:szCs w:val="32"/>
        </w:rPr>
        <w:t>万元，执行数为</w:t>
      </w:r>
      <w:r>
        <w:rPr>
          <w:rFonts w:ascii="仿宋_GB2312" w:eastAsia="仿宋_GB2312"/>
          <w:sz w:val="32"/>
          <w:szCs w:val="32"/>
        </w:rPr>
        <w:t>12.26</w:t>
      </w:r>
      <w:r>
        <w:rPr>
          <w:rFonts w:hint="eastAsia" w:ascii="仿宋_GB2312" w:eastAsia="仿宋_GB2312"/>
          <w:sz w:val="32"/>
          <w:szCs w:val="32"/>
        </w:rPr>
        <w:t>万元，完成预算的</w:t>
      </w:r>
      <w:r>
        <w:rPr>
          <w:rFonts w:ascii="仿宋_GB2312" w:eastAsia="仿宋_GB2312"/>
          <w:sz w:val="32"/>
          <w:szCs w:val="32"/>
        </w:rPr>
        <w:t>55.72</w:t>
      </w:r>
      <w:r>
        <w:rPr>
          <w:rFonts w:hint="eastAsia" w:ascii="仿宋_GB2312" w:eastAsia="仿宋_GB2312"/>
          <w:sz w:val="32"/>
          <w:szCs w:val="32"/>
        </w:rPr>
        <w:t>%。主要产出和效果：履行政治协商、民主监督和参政议政职能，组织参加政协的各党派、团体和各族各界人士参政议政。 通过全会形式，广开言路，充分发挥各界别委员专长和作用，为乌鲁木齐县改革开放和经济社会发展献计献策。政协乌鲁木齐县委员会于2018年1月份召开第十四届三次会议。发现的问题及原因：未发现问题。下一步改进措施：一步我单位要进一步完善专项资金的使用并提高委员们发挥县政协参政议政、建言献策的积极作用。有关项目自评情况可以附项目支出绩效自评表。</w:t>
      </w:r>
    </w:p>
    <w:tbl>
      <w:tblPr>
        <w:tblStyle w:val="4"/>
        <w:tblW w:w="8970" w:type="dxa"/>
        <w:tblInd w:w="0" w:type="dxa"/>
        <w:tblLayout w:type="fixed"/>
        <w:tblCellMar>
          <w:top w:w="15" w:type="dxa"/>
          <w:left w:w="15" w:type="dxa"/>
          <w:bottom w:w="15" w:type="dxa"/>
          <w:right w:w="15" w:type="dxa"/>
        </w:tblCellMar>
      </w:tblPr>
      <w:tblGrid>
        <w:gridCol w:w="566"/>
        <w:gridCol w:w="758"/>
        <w:gridCol w:w="1220"/>
        <w:gridCol w:w="3051"/>
        <w:gridCol w:w="1572"/>
        <w:gridCol w:w="1803"/>
      </w:tblGrid>
      <w:tr>
        <w:tblPrEx>
          <w:tblCellMar>
            <w:top w:w="15" w:type="dxa"/>
            <w:left w:w="15" w:type="dxa"/>
            <w:bottom w:w="15" w:type="dxa"/>
            <w:right w:w="15" w:type="dxa"/>
          </w:tblCellMar>
        </w:tblPrEx>
        <w:trPr>
          <w:trHeight w:val="615" w:hRule="atLeast"/>
        </w:trPr>
        <w:tc>
          <w:tcPr>
            <w:tcW w:w="8970" w:type="dxa"/>
            <w:gridSpan w:val="6"/>
            <w:shd w:val="clear" w:color="auto" w:fill="auto"/>
            <w:vAlign w:val="center"/>
          </w:tcPr>
          <w:p>
            <w:pPr>
              <w:widowControl/>
              <w:jc w:val="center"/>
              <w:textAlignment w:val="center"/>
              <w:rPr>
                <w:rFonts w:ascii="宋体" w:hAnsi="宋体" w:cs="宋体"/>
                <w:b/>
                <w:color w:val="000000"/>
                <w:sz w:val="32"/>
                <w:szCs w:val="32"/>
              </w:rPr>
            </w:pPr>
            <w:r>
              <w:rPr>
                <w:rFonts w:hint="eastAsia" w:ascii="宋体" w:hAnsi="宋体" w:eastAsia="宋体" w:cs="宋体"/>
                <w:b/>
                <w:color w:val="000000"/>
                <w:kern w:val="0"/>
                <w:sz w:val="32"/>
                <w:szCs w:val="32"/>
                <w:lang w:bidi="ar"/>
              </w:rPr>
              <w:t>乌鲁木齐县财政项目支出绩效自评表</w:t>
            </w:r>
          </w:p>
        </w:tc>
      </w:tr>
      <w:tr>
        <w:tblPrEx>
          <w:tblCellMar>
            <w:top w:w="15" w:type="dxa"/>
            <w:left w:w="15" w:type="dxa"/>
            <w:bottom w:w="15" w:type="dxa"/>
            <w:right w:w="15" w:type="dxa"/>
          </w:tblCellMar>
        </w:tblPrEx>
        <w:trPr>
          <w:trHeight w:val="660" w:hRule="atLeast"/>
        </w:trPr>
        <w:tc>
          <w:tcPr>
            <w:tcW w:w="8970" w:type="dxa"/>
            <w:gridSpan w:val="6"/>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w:t>
            </w:r>
            <w:r>
              <w:rPr>
                <w:rFonts w:ascii="Times New Roman" w:hAnsi="Times New Roman" w:eastAsia="宋体" w:cs="Times New Roman"/>
                <w:color w:val="000000"/>
                <w:kern w:val="0"/>
                <w:sz w:val="24"/>
                <w:szCs w:val="24"/>
                <w:lang w:bidi="ar"/>
              </w:rPr>
              <w:t xml:space="preserve">       2018   </w:t>
            </w:r>
            <w:r>
              <w:rPr>
                <w:rFonts w:hint="eastAsia" w:ascii="宋体" w:hAnsi="宋体" w:eastAsia="宋体" w:cs="宋体"/>
                <w:color w:val="000000"/>
                <w:kern w:val="0"/>
                <w:sz w:val="24"/>
                <w:szCs w:val="24"/>
                <w:lang w:bidi="ar"/>
              </w:rPr>
              <w:t>年度）</w:t>
            </w:r>
          </w:p>
        </w:tc>
      </w:tr>
      <w:tr>
        <w:tblPrEx>
          <w:tblCellMar>
            <w:top w:w="15" w:type="dxa"/>
            <w:left w:w="15" w:type="dxa"/>
            <w:bottom w:w="15" w:type="dxa"/>
            <w:right w:w="15" w:type="dxa"/>
          </w:tblCellMar>
        </w:tblPrEx>
        <w:trPr>
          <w:trHeight w:val="420" w:hRule="atLeast"/>
        </w:trPr>
        <w:tc>
          <w:tcPr>
            <w:tcW w:w="25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项目名称</w:t>
            </w:r>
          </w:p>
        </w:tc>
        <w:tc>
          <w:tcPr>
            <w:tcW w:w="64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政协第十四届三次会议</w:t>
            </w:r>
          </w:p>
        </w:tc>
      </w:tr>
      <w:tr>
        <w:tblPrEx>
          <w:tblCellMar>
            <w:top w:w="15" w:type="dxa"/>
            <w:left w:w="15" w:type="dxa"/>
            <w:bottom w:w="15" w:type="dxa"/>
            <w:right w:w="15" w:type="dxa"/>
          </w:tblCellMar>
        </w:tblPrEx>
        <w:trPr>
          <w:trHeight w:val="420" w:hRule="atLeast"/>
        </w:trPr>
        <w:tc>
          <w:tcPr>
            <w:tcW w:w="25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预算单位</w:t>
            </w:r>
          </w:p>
        </w:tc>
        <w:tc>
          <w:tcPr>
            <w:tcW w:w="64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政协乌鲁木齐县委员会</w:t>
            </w:r>
          </w:p>
        </w:tc>
      </w:tr>
      <w:tr>
        <w:tblPrEx>
          <w:tblCellMar>
            <w:top w:w="15" w:type="dxa"/>
            <w:left w:w="15" w:type="dxa"/>
            <w:bottom w:w="15" w:type="dxa"/>
            <w:right w:w="15" w:type="dxa"/>
          </w:tblCellMar>
        </w:tblPrEx>
        <w:trPr>
          <w:trHeight w:val="420" w:hRule="atLeast"/>
        </w:trPr>
        <w:tc>
          <w:tcPr>
            <w:tcW w:w="5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预算</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执行</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情况</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（万元）</w:t>
            </w:r>
          </w:p>
        </w:tc>
        <w:tc>
          <w:tcPr>
            <w:tcW w:w="19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eastAsia="宋体" w:cs="宋体"/>
                <w:color w:val="000000"/>
                <w:kern w:val="0"/>
                <w:sz w:val="24"/>
                <w:szCs w:val="24"/>
                <w:lang w:bidi="ar"/>
              </w:rPr>
              <w:t xml:space="preserve"> 预算数：</w:t>
            </w:r>
          </w:p>
        </w:tc>
        <w:tc>
          <w:tcPr>
            <w:tcW w:w="3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22</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eastAsia="宋体" w:cs="宋体"/>
                <w:color w:val="000000"/>
                <w:kern w:val="0"/>
                <w:sz w:val="24"/>
                <w:szCs w:val="24"/>
                <w:lang w:bidi="ar"/>
              </w:rPr>
              <w:t xml:space="preserve"> 执行数：</w:t>
            </w:r>
          </w:p>
        </w:tc>
        <w:tc>
          <w:tcPr>
            <w:tcW w:w="18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16.26</w:t>
            </w:r>
          </w:p>
        </w:tc>
      </w:tr>
      <w:tr>
        <w:tblPrEx>
          <w:tblCellMar>
            <w:top w:w="15" w:type="dxa"/>
            <w:left w:w="15" w:type="dxa"/>
            <w:bottom w:w="15" w:type="dxa"/>
            <w:right w:w="15" w:type="dxa"/>
          </w:tblCellMar>
        </w:tblPrEx>
        <w:trPr>
          <w:trHeight w:val="780" w:hRule="atLeast"/>
        </w:trPr>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9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4"/>
              </w:rPr>
            </w:pPr>
            <w:r>
              <w:rPr>
                <w:rFonts w:hint="eastAsia" w:ascii="宋体" w:hAnsi="宋体" w:eastAsia="宋体" w:cs="宋体"/>
                <w:color w:val="000000"/>
                <w:kern w:val="0"/>
                <w:sz w:val="24"/>
                <w:szCs w:val="24"/>
                <w:lang w:bidi="ar"/>
              </w:rPr>
              <w:t>其中：财政拨款</w:t>
            </w:r>
          </w:p>
        </w:tc>
        <w:tc>
          <w:tcPr>
            <w:tcW w:w="3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22</w:t>
            </w:r>
          </w:p>
        </w:tc>
        <w:tc>
          <w:tcPr>
            <w:tcW w:w="1572" w:type="dxa"/>
            <w:tcBorders>
              <w:top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4"/>
              </w:rPr>
            </w:pPr>
            <w:r>
              <w:rPr>
                <w:rFonts w:hint="eastAsia" w:ascii="宋体" w:hAnsi="宋体" w:eastAsia="宋体" w:cs="宋体"/>
                <w:color w:val="000000"/>
                <w:kern w:val="0"/>
                <w:sz w:val="24"/>
                <w:szCs w:val="24"/>
                <w:lang w:bidi="ar"/>
              </w:rPr>
              <w:t>其中：财政拨款</w:t>
            </w:r>
          </w:p>
        </w:tc>
        <w:tc>
          <w:tcPr>
            <w:tcW w:w="18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16.26</w:t>
            </w:r>
          </w:p>
        </w:tc>
      </w:tr>
      <w:tr>
        <w:tblPrEx>
          <w:tblCellMar>
            <w:top w:w="15" w:type="dxa"/>
            <w:left w:w="15" w:type="dxa"/>
            <w:bottom w:w="15" w:type="dxa"/>
            <w:right w:w="15" w:type="dxa"/>
          </w:tblCellMar>
        </w:tblPrEx>
        <w:trPr>
          <w:trHeight w:val="780" w:hRule="atLeast"/>
        </w:trPr>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9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4"/>
              </w:rPr>
            </w:pPr>
            <w:r>
              <w:rPr>
                <w:rFonts w:hint="eastAsia" w:ascii="宋体" w:hAnsi="宋体" w:eastAsia="宋体" w:cs="宋体"/>
                <w:color w:val="000000"/>
                <w:kern w:val="0"/>
                <w:sz w:val="24"/>
                <w:szCs w:val="24"/>
                <w:lang w:bidi="ar"/>
              </w:rPr>
              <w:t>其他资金</w:t>
            </w:r>
          </w:p>
        </w:tc>
        <w:tc>
          <w:tcPr>
            <w:tcW w:w="30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572" w:type="dxa"/>
            <w:tcBorders>
              <w:top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4"/>
              </w:rPr>
            </w:pPr>
            <w:r>
              <w:rPr>
                <w:rFonts w:hint="eastAsia" w:ascii="宋体" w:hAnsi="宋体" w:eastAsia="宋体" w:cs="宋体"/>
                <w:color w:val="000000"/>
                <w:kern w:val="0"/>
                <w:sz w:val="24"/>
                <w:szCs w:val="24"/>
                <w:lang w:bidi="ar"/>
              </w:rPr>
              <w:t>其他资金</w:t>
            </w:r>
          </w:p>
        </w:tc>
        <w:tc>
          <w:tcPr>
            <w:tcW w:w="18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4"/>
              </w:rPr>
            </w:pPr>
          </w:p>
        </w:tc>
      </w:tr>
      <w:tr>
        <w:tblPrEx>
          <w:tblCellMar>
            <w:top w:w="15" w:type="dxa"/>
            <w:left w:w="15" w:type="dxa"/>
            <w:bottom w:w="15" w:type="dxa"/>
            <w:right w:w="15" w:type="dxa"/>
          </w:tblCellMar>
        </w:tblPrEx>
        <w:trPr>
          <w:trHeight w:val="795" w:hRule="atLeast"/>
        </w:trPr>
        <w:tc>
          <w:tcPr>
            <w:tcW w:w="5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年度</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目标</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完成</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情况</w:t>
            </w:r>
          </w:p>
        </w:tc>
        <w:tc>
          <w:tcPr>
            <w:tcW w:w="50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预期目标</w:t>
            </w:r>
          </w:p>
        </w:tc>
        <w:tc>
          <w:tcPr>
            <w:tcW w:w="3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实际完成目标</w:t>
            </w:r>
          </w:p>
        </w:tc>
      </w:tr>
      <w:tr>
        <w:tblPrEx>
          <w:tblCellMar>
            <w:top w:w="15" w:type="dxa"/>
            <w:left w:w="15" w:type="dxa"/>
            <w:bottom w:w="15" w:type="dxa"/>
            <w:right w:w="15" w:type="dxa"/>
          </w:tblCellMar>
        </w:tblPrEx>
        <w:trPr>
          <w:trHeight w:val="2071" w:hRule="atLeast"/>
        </w:trPr>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5029"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24"/>
              </w:rPr>
            </w:pPr>
            <w:r>
              <w:rPr>
                <w:rFonts w:hint="eastAsia" w:ascii="宋体" w:hAnsi="宋体" w:eastAsia="宋体" w:cs="宋体"/>
                <w:color w:val="000000"/>
                <w:kern w:val="0"/>
                <w:sz w:val="24"/>
                <w:szCs w:val="24"/>
                <w:lang w:bidi="ar"/>
              </w:rPr>
              <w:t xml:space="preserve">    履行政治协商、民主监督和参政议政职能，组织参加政协的各党派、团体和各族各界人士参政议政。 通过全会形式，广开言路，充分发挥各界别委员专长和作用，为乌鲁木齐县改革开放和经济社会发展献计献策。政协乌鲁木齐县委员会于2018年1月份召开第十四届三次会议。</w:t>
            </w:r>
          </w:p>
        </w:tc>
        <w:tc>
          <w:tcPr>
            <w:tcW w:w="337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24"/>
              </w:rPr>
            </w:pP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 xml:space="preserve">  顺利圆满完成一年一次的政协会议，完成年初预期目标。</w:t>
            </w:r>
          </w:p>
        </w:tc>
      </w:tr>
      <w:tr>
        <w:tblPrEx>
          <w:tblCellMar>
            <w:top w:w="15" w:type="dxa"/>
            <w:left w:w="15" w:type="dxa"/>
            <w:bottom w:w="15" w:type="dxa"/>
            <w:right w:w="15" w:type="dxa"/>
          </w:tblCellMar>
        </w:tblPrEx>
        <w:trPr>
          <w:trHeight w:val="855" w:hRule="atLeast"/>
        </w:trPr>
        <w:tc>
          <w:tcPr>
            <w:tcW w:w="5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年度</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绩效</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指标</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完成</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情况</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一级指标</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二级指标</w:t>
            </w:r>
          </w:p>
        </w:tc>
        <w:tc>
          <w:tcPr>
            <w:tcW w:w="3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三级指标</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预期指标值（包含数字及文字描述）</w:t>
            </w:r>
          </w:p>
        </w:tc>
        <w:tc>
          <w:tcPr>
            <w:tcW w:w="18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实际完成指标值（包含数字及文字描述）</w:t>
            </w:r>
          </w:p>
        </w:tc>
      </w:tr>
      <w:tr>
        <w:tblPrEx>
          <w:tblCellMar>
            <w:top w:w="15" w:type="dxa"/>
            <w:left w:w="15" w:type="dxa"/>
            <w:bottom w:w="15" w:type="dxa"/>
            <w:right w:w="15" w:type="dxa"/>
          </w:tblCellMar>
        </w:tblPrEx>
        <w:trPr>
          <w:trHeight w:val="675" w:hRule="atLeast"/>
        </w:trPr>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7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项目完成指标</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数量指标</w:t>
            </w:r>
          </w:p>
        </w:tc>
        <w:tc>
          <w:tcPr>
            <w:tcW w:w="3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每年一次</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ascii="宋体" w:hAnsi="宋体" w:eastAsia="宋体" w:cs="宋体"/>
                <w:color w:val="000000"/>
                <w:kern w:val="0"/>
                <w:sz w:val="24"/>
                <w:szCs w:val="24"/>
                <w:lang w:bidi="ar"/>
              </w:rPr>
              <w:t>≧</w:t>
            </w:r>
            <w:r>
              <w:rPr>
                <w:rFonts w:hint="eastAsia" w:ascii="宋体" w:hAnsi="宋体" w:eastAsia="宋体" w:cs="宋体"/>
                <w:color w:val="000000"/>
                <w:kern w:val="0"/>
                <w:sz w:val="24"/>
                <w:szCs w:val="24"/>
                <w:lang w:bidi="ar"/>
              </w:rPr>
              <w:t>93人</w:t>
            </w:r>
          </w:p>
        </w:tc>
        <w:tc>
          <w:tcPr>
            <w:tcW w:w="18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ascii="宋体" w:hAnsi="宋体" w:eastAsia="宋体" w:cs="宋体"/>
                <w:color w:val="000000"/>
                <w:kern w:val="0"/>
                <w:sz w:val="24"/>
                <w:szCs w:val="24"/>
                <w:lang w:bidi="ar"/>
              </w:rPr>
              <w:t>≧</w:t>
            </w:r>
            <w:r>
              <w:rPr>
                <w:rFonts w:hint="eastAsia" w:ascii="宋体" w:hAnsi="宋体" w:eastAsia="宋体" w:cs="宋体"/>
                <w:color w:val="000000"/>
                <w:kern w:val="0"/>
                <w:sz w:val="24"/>
                <w:szCs w:val="24"/>
                <w:lang w:bidi="ar"/>
              </w:rPr>
              <w:t>93人</w:t>
            </w:r>
          </w:p>
        </w:tc>
      </w:tr>
      <w:tr>
        <w:tblPrEx>
          <w:tblCellMar>
            <w:top w:w="15" w:type="dxa"/>
            <w:left w:w="15" w:type="dxa"/>
            <w:bottom w:w="15" w:type="dxa"/>
            <w:right w:w="15" w:type="dxa"/>
          </w:tblCellMar>
        </w:tblPrEx>
        <w:trPr>
          <w:trHeight w:val="675" w:hRule="atLeast"/>
        </w:trPr>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质量指标</w:t>
            </w:r>
          </w:p>
        </w:tc>
        <w:tc>
          <w:tcPr>
            <w:tcW w:w="3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圆满完成各项工作</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较好</w:t>
            </w:r>
          </w:p>
        </w:tc>
        <w:tc>
          <w:tcPr>
            <w:tcW w:w="18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较好</w:t>
            </w:r>
          </w:p>
        </w:tc>
      </w:tr>
      <w:tr>
        <w:tblPrEx>
          <w:tblCellMar>
            <w:top w:w="15" w:type="dxa"/>
            <w:left w:w="15" w:type="dxa"/>
            <w:bottom w:w="15" w:type="dxa"/>
            <w:right w:w="15" w:type="dxa"/>
          </w:tblCellMar>
        </w:tblPrEx>
        <w:trPr>
          <w:trHeight w:val="675" w:hRule="atLeast"/>
        </w:trPr>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时效指标</w:t>
            </w:r>
          </w:p>
        </w:tc>
        <w:tc>
          <w:tcPr>
            <w:tcW w:w="3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每年年初</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每年一月份召开</w:t>
            </w:r>
          </w:p>
        </w:tc>
        <w:tc>
          <w:tcPr>
            <w:tcW w:w="18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2018年1月18日-20日</w:t>
            </w:r>
          </w:p>
        </w:tc>
      </w:tr>
      <w:tr>
        <w:tblPrEx>
          <w:tblCellMar>
            <w:top w:w="15" w:type="dxa"/>
            <w:left w:w="15" w:type="dxa"/>
            <w:bottom w:w="15" w:type="dxa"/>
            <w:right w:w="15" w:type="dxa"/>
          </w:tblCellMar>
        </w:tblPrEx>
        <w:trPr>
          <w:trHeight w:val="630" w:hRule="atLeast"/>
        </w:trPr>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成本指标</w:t>
            </w:r>
          </w:p>
        </w:tc>
        <w:tc>
          <w:tcPr>
            <w:tcW w:w="3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秉着勤俭、节约原则</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≦22万</w:t>
            </w:r>
          </w:p>
        </w:tc>
        <w:tc>
          <w:tcPr>
            <w:tcW w:w="18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18.26万元</w:t>
            </w:r>
          </w:p>
        </w:tc>
      </w:tr>
      <w:tr>
        <w:tblPrEx>
          <w:tblCellMar>
            <w:top w:w="15" w:type="dxa"/>
            <w:left w:w="15" w:type="dxa"/>
            <w:bottom w:w="15" w:type="dxa"/>
            <w:right w:w="15" w:type="dxa"/>
          </w:tblCellMar>
        </w:tblPrEx>
        <w:trPr>
          <w:trHeight w:val="1321" w:hRule="atLeast"/>
        </w:trPr>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7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项目效果指标</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经济效益</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指标</w:t>
            </w:r>
          </w:p>
        </w:tc>
        <w:tc>
          <w:tcPr>
            <w:tcW w:w="3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eastAsia="宋体" w:cs="宋体"/>
                <w:color w:val="000000"/>
                <w:kern w:val="0"/>
                <w:sz w:val="24"/>
                <w:szCs w:val="24"/>
                <w:lang w:bidi="ar"/>
              </w:rPr>
              <w:t xml:space="preserve">    为我县旅游经济建设建言献策，为经济社会发展做出了积极贡献</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明显</w:t>
            </w:r>
          </w:p>
        </w:tc>
        <w:tc>
          <w:tcPr>
            <w:tcW w:w="18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明显</w:t>
            </w:r>
          </w:p>
        </w:tc>
      </w:tr>
      <w:tr>
        <w:tblPrEx>
          <w:tblCellMar>
            <w:top w:w="15" w:type="dxa"/>
            <w:left w:w="15" w:type="dxa"/>
            <w:bottom w:w="15" w:type="dxa"/>
            <w:right w:w="15" w:type="dxa"/>
          </w:tblCellMar>
        </w:tblPrEx>
        <w:trPr>
          <w:trHeight w:val="2581" w:hRule="atLeast"/>
        </w:trPr>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社会效益</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指标</w:t>
            </w:r>
          </w:p>
        </w:tc>
        <w:tc>
          <w:tcPr>
            <w:tcW w:w="3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eastAsia="宋体" w:cs="宋体"/>
                <w:color w:val="000000"/>
                <w:kern w:val="0"/>
                <w:sz w:val="24"/>
                <w:szCs w:val="24"/>
                <w:lang w:bidi="ar"/>
              </w:rPr>
              <w:t xml:space="preserve">    由中国共产党和各民主党派、无党派民主人士、各人民团体、各界爱国人士共同组成举行的会议。对国家大政方针和群众生活的重要问题进行政治协商，并通过建议和批评发挥参政议政、民主监督的作用</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明显</w:t>
            </w:r>
          </w:p>
        </w:tc>
        <w:tc>
          <w:tcPr>
            <w:tcW w:w="18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明显</w:t>
            </w:r>
          </w:p>
        </w:tc>
      </w:tr>
      <w:tr>
        <w:tblPrEx>
          <w:tblCellMar>
            <w:top w:w="15" w:type="dxa"/>
            <w:left w:w="15" w:type="dxa"/>
            <w:bottom w:w="15" w:type="dxa"/>
            <w:right w:w="15" w:type="dxa"/>
          </w:tblCellMar>
        </w:tblPrEx>
        <w:trPr>
          <w:trHeight w:val="2911" w:hRule="atLeast"/>
        </w:trPr>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生态效益</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指标</w:t>
            </w:r>
          </w:p>
        </w:tc>
        <w:tc>
          <w:tcPr>
            <w:tcW w:w="3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eastAsia="宋体" w:cs="宋体"/>
                <w:color w:val="000000"/>
                <w:kern w:val="0"/>
                <w:sz w:val="24"/>
                <w:szCs w:val="24"/>
                <w:lang w:bidi="ar"/>
              </w:rPr>
              <w:t xml:space="preserve">    推进国家治理体系和治理能力现代化的要求，坚持改革创新精神，推进人民政协理论创新、制度创新、工作创新，丰富民主形式，畅通民主渠道，有效组织各党派、各团体、各民族、各阶层、各界人士共商国是，推动实现广泛有效的人民民主。</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明显</w:t>
            </w:r>
          </w:p>
        </w:tc>
        <w:tc>
          <w:tcPr>
            <w:tcW w:w="18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明显</w:t>
            </w:r>
          </w:p>
        </w:tc>
      </w:tr>
      <w:tr>
        <w:tblPrEx>
          <w:tblCellMar>
            <w:top w:w="15" w:type="dxa"/>
            <w:left w:w="15" w:type="dxa"/>
            <w:bottom w:w="15" w:type="dxa"/>
            <w:right w:w="15" w:type="dxa"/>
          </w:tblCellMar>
        </w:tblPrEx>
        <w:trPr>
          <w:trHeight w:val="4621" w:hRule="atLeast"/>
        </w:trPr>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可持续影响</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指标</w:t>
            </w:r>
          </w:p>
        </w:tc>
        <w:tc>
          <w:tcPr>
            <w:tcW w:w="3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eastAsia="宋体" w:cs="宋体"/>
                <w:color w:val="000000"/>
                <w:kern w:val="0"/>
                <w:sz w:val="24"/>
                <w:szCs w:val="24"/>
                <w:lang w:bidi="ar"/>
              </w:rPr>
              <w:t xml:space="preserve">    有利于坚持和改善共产党的领导，又有利于更广泛地联系和团结各阶层群众。人民政协的建言献策有利于科学、民主决策。人民政协职能的履行有利于协商民主的决策。实行人民民主，保证人民当家作主，要求我们在治国理政时在人民内部各方面进行广泛商量。在中国社会主义制度下，有事好商量，众人的事情由众人商量，找到全社会意愿和要求的最大公约数，是人民民主的真谛。</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明显</w:t>
            </w:r>
          </w:p>
        </w:tc>
        <w:tc>
          <w:tcPr>
            <w:tcW w:w="18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明显</w:t>
            </w:r>
          </w:p>
        </w:tc>
      </w:tr>
      <w:tr>
        <w:tblPrEx>
          <w:tblCellMar>
            <w:top w:w="15" w:type="dxa"/>
            <w:left w:w="15" w:type="dxa"/>
            <w:bottom w:w="15" w:type="dxa"/>
            <w:right w:w="15" w:type="dxa"/>
          </w:tblCellMar>
        </w:tblPrEx>
        <w:trPr>
          <w:trHeight w:val="960" w:hRule="atLeast"/>
        </w:trPr>
        <w:tc>
          <w:tcPr>
            <w:tcW w:w="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满意度</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指标</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满意度指标</w:t>
            </w:r>
          </w:p>
        </w:tc>
        <w:tc>
          <w:tcPr>
            <w:tcW w:w="3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eastAsia="宋体" w:cs="宋体"/>
                <w:color w:val="000000"/>
                <w:kern w:val="0"/>
                <w:sz w:val="24"/>
                <w:szCs w:val="24"/>
                <w:lang w:bidi="ar"/>
              </w:rPr>
              <w:t xml:space="preserve">    县政协委员、邀请、列席人员满意度</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98%</w:t>
            </w:r>
          </w:p>
        </w:tc>
        <w:tc>
          <w:tcPr>
            <w:tcW w:w="18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98%</w:t>
            </w:r>
          </w:p>
        </w:tc>
      </w:tr>
    </w:tbl>
    <w:p>
      <w:pPr>
        <w:spacing w:line="540" w:lineRule="exact"/>
        <w:ind w:firstLine="640" w:firstLineChars="200"/>
        <w:rPr>
          <w:rFonts w:ascii="仿宋_GB2312" w:eastAsia="仿宋_GB2312"/>
          <w:sz w:val="32"/>
          <w:szCs w:val="32"/>
        </w:rPr>
      </w:pPr>
    </w:p>
    <w:p>
      <w:pPr>
        <w:widowControl/>
        <w:rPr>
          <w:rFonts w:ascii="仿宋_GB2312" w:eastAsia="仿宋_GB2312"/>
          <w:sz w:val="32"/>
          <w:szCs w:val="32"/>
        </w:rPr>
      </w:pPr>
      <w:r>
        <w:rPr>
          <w:rFonts w:hint="eastAsia" w:ascii="仿宋_GB2312" w:eastAsia="仿宋_GB2312"/>
          <w:sz w:val="32"/>
          <w:szCs w:val="32"/>
        </w:rPr>
        <w:t>基层建权和社区建设项目绩效自评综述：根据年初设定的绩效目标，基层建权和社区建设项目绩效自评得分为</w:t>
      </w:r>
      <w:r>
        <w:rPr>
          <w:rFonts w:ascii="仿宋_GB2312" w:eastAsia="仿宋_GB2312"/>
          <w:sz w:val="32"/>
          <w:szCs w:val="32"/>
        </w:rPr>
        <w:t>91</w:t>
      </w:r>
      <w:r>
        <w:rPr>
          <w:rFonts w:hint="eastAsia" w:ascii="仿宋_GB2312" w:eastAsia="仿宋_GB2312"/>
          <w:sz w:val="32"/>
          <w:szCs w:val="32"/>
        </w:rPr>
        <w:t>分。项目全年预算数为</w:t>
      </w:r>
      <w:r>
        <w:rPr>
          <w:rFonts w:ascii="仿宋_GB2312" w:eastAsia="仿宋_GB2312"/>
          <w:sz w:val="32"/>
          <w:szCs w:val="32"/>
        </w:rPr>
        <w:t>2</w:t>
      </w:r>
      <w:r>
        <w:rPr>
          <w:rFonts w:hint="eastAsia" w:ascii="仿宋_GB2312" w:eastAsia="仿宋_GB2312"/>
          <w:sz w:val="32"/>
          <w:szCs w:val="32"/>
        </w:rPr>
        <w:t>万元，执行数为</w:t>
      </w:r>
      <w:r>
        <w:rPr>
          <w:rFonts w:ascii="仿宋_GB2312" w:eastAsia="仿宋_GB2312"/>
          <w:sz w:val="32"/>
          <w:szCs w:val="32"/>
        </w:rPr>
        <w:t>2</w:t>
      </w:r>
      <w:r>
        <w:rPr>
          <w:rFonts w:hint="eastAsia" w:ascii="仿宋_GB2312" w:eastAsia="仿宋_GB2312"/>
          <w:sz w:val="32"/>
          <w:szCs w:val="32"/>
        </w:rPr>
        <w:t>万元，完成预算的</w:t>
      </w:r>
      <w:r>
        <w:rPr>
          <w:rFonts w:ascii="仿宋_GB2312" w:eastAsia="仿宋_GB2312"/>
          <w:sz w:val="32"/>
          <w:szCs w:val="32"/>
        </w:rPr>
        <w:t>100</w:t>
      </w:r>
      <w:r>
        <w:rPr>
          <w:rFonts w:hint="eastAsia" w:ascii="仿宋_GB2312" w:eastAsia="仿宋_GB2312"/>
          <w:sz w:val="32"/>
          <w:szCs w:val="32"/>
        </w:rPr>
        <w:t>%。主要产出和效果：本年度工作队给村民带来了便利，开展各项活动，支付坪菜窖和挖渠费用等，做的实事好事都得到当地百姓认可。发现的问题及原因：未发现问题。下一步改进措施：进一步完善专项资金的使用并提高使用效果，在村上多为群众办实事好事。有关项目自评情况可以附项目支出绩效自评表。</w:t>
      </w:r>
    </w:p>
    <w:tbl>
      <w:tblPr>
        <w:tblStyle w:val="4"/>
        <w:tblW w:w="9900" w:type="dxa"/>
        <w:tblInd w:w="0" w:type="dxa"/>
        <w:tblLayout w:type="fixed"/>
        <w:tblCellMar>
          <w:top w:w="15" w:type="dxa"/>
          <w:left w:w="15" w:type="dxa"/>
          <w:bottom w:w="15" w:type="dxa"/>
          <w:right w:w="15" w:type="dxa"/>
        </w:tblCellMar>
      </w:tblPr>
      <w:tblGrid>
        <w:gridCol w:w="698"/>
        <w:gridCol w:w="1082"/>
        <w:gridCol w:w="1210"/>
        <w:gridCol w:w="2109"/>
        <w:gridCol w:w="1954"/>
        <w:gridCol w:w="2847"/>
      </w:tblGrid>
      <w:tr>
        <w:tblPrEx>
          <w:tblCellMar>
            <w:top w:w="15" w:type="dxa"/>
            <w:left w:w="15" w:type="dxa"/>
            <w:bottom w:w="15" w:type="dxa"/>
            <w:right w:w="15" w:type="dxa"/>
          </w:tblCellMar>
        </w:tblPrEx>
        <w:trPr>
          <w:trHeight w:val="631" w:hRule="atLeast"/>
        </w:trPr>
        <w:tc>
          <w:tcPr>
            <w:tcW w:w="9900" w:type="dxa"/>
            <w:gridSpan w:val="6"/>
            <w:shd w:val="clear" w:color="auto" w:fill="auto"/>
            <w:vAlign w:val="center"/>
          </w:tcPr>
          <w:p>
            <w:pPr>
              <w:widowControl/>
              <w:jc w:val="center"/>
              <w:textAlignment w:val="center"/>
              <w:rPr>
                <w:rFonts w:ascii="宋体" w:hAnsi="宋体" w:cs="宋体"/>
                <w:b/>
                <w:color w:val="000000"/>
                <w:sz w:val="32"/>
                <w:szCs w:val="32"/>
              </w:rPr>
            </w:pPr>
            <w:r>
              <w:rPr>
                <w:rFonts w:hint="eastAsia" w:ascii="宋体" w:hAnsi="宋体" w:eastAsia="宋体" w:cs="宋体"/>
                <w:b/>
                <w:color w:val="000000"/>
                <w:kern w:val="0"/>
                <w:sz w:val="32"/>
                <w:szCs w:val="32"/>
                <w:lang w:bidi="ar"/>
              </w:rPr>
              <w:t>乌鲁木齐县财政项目支出绩效自评表</w:t>
            </w:r>
          </w:p>
        </w:tc>
      </w:tr>
      <w:tr>
        <w:tblPrEx>
          <w:tblCellMar>
            <w:top w:w="15" w:type="dxa"/>
            <w:left w:w="15" w:type="dxa"/>
            <w:bottom w:w="15" w:type="dxa"/>
            <w:right w:w="15" w:type="dxa"/>
          </w:tblCellMar>
        </w:tblPrEx>
        <w:trPr>
          <w:trHeight w:val="631" w:hRule="atLeast"/>
        </w:trPr>
        <w:tc>
          <w:tcPr>
            <w:tcW w:w="9900" w:type="dxa"/>
            <w:gridSpan w:val="6"/>
            <w:shd w:val="clear" w:color="auto" w:fill="auto"/>
            <w:vAlign w:val="center"/>
          </w:tcPr>
          <w:p>
            <w:pPr>
              <w:widowControl/>
              <w:jc w:val="center"/>
              <w:textAlignment w:val="center"/>
              <w:rPr>
                <w:rFonts w:hint="eastAsia" w:ascii="宋体" w:hAnsi="宋体" w:cs="宋体"/>
                <w:b/>
                <w:color w:val="000000"/>
                <w:kern w:val="0"/>
                <w:sz w:val="32"/>
                <w:szCs w:val="32"/>
                <w:lang w:bidi="ar"/>
              </w:rPr>
            </w:pPr>
          </w:p>
        </w:tc>
      </w:tr>
      <w:tr>
        <w:tblPrEx>
          <w:tblCellMar>
            <w:top w:w="15" w:type="dxa"/>
            <w:left w:w="15" w:type="dxa"/>
            <w:bottom w:w="15" w:type="dxa"/>
            <w:right w:w="15" w:type="dxa"/>
          </w:tblCellMar>
        </w:tblPrEx>
        <w:trPr>
          <w:trHeight w:val="348" w:hRule="atLeast"/>
        </w:trPr>
        <w:tc>
          <w:tcPr>
            <w:tcW w:w="9900" w:type="dxa"/>
            <w:gridSpan w:val="6"/>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w:t>
            </w:r>
            <w:r>
              <w:rPr>
                <w:rFonts w:ascii="Times New Roman" w:hAnsi="Times New Roman" w:eastAsia="宋体" w:cs="Times New Roman"/>
                <w:color w:val="000000"/>
                <w:kern w:val="0"/>
                <w:sz w:val="24"/>
                <w:szCs w:val="24"/>
                <w:lang w:bidi="ar"/>
              </w:rPr>
              <w:t xml:space="preserve">   2018 </w:t>
            </w:r>
            <w:r>
              <w:rPr>
                <w:rFonts w:hint="eastAsia" w:ascii="宋体" w:hAnsi="宋体" w:eastAsia="宋体" w:cs="宋体"/>
                <w:color w:val="000000"/>
                <w:kern w:val="0"/>
                <w:sz w:val="24"/>
                <w:szCs w:val="24"/>
                <w:lang w:bidi="ar"/>
              </w:rPr>
              <w:t>年度）</w:t>
            </w:r>
          </w:p>
        </w:tc>
      </w:tr>
      <w:tr>
        <w:tblPrEx>
          <w:tblCellMar>
            <w:top w:w="15" w:type="dxa"/>
            <w:left w:w="15" w:type="dxa"/>
            <w:bottom w:w="15" w:type="dxa"/>
            <w:right w:w="15" w:type="dxa"/>
          </w:tblCellMar>
        </w:tblPrEx>
        <w:trPr>
          <w:trHeight w:val="401" w:hRule="atLeast"/>
        </w:trPr>
        <w:tc>
          <w:tcPr>
            <w:tcW w:w="2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项目名称</w:t>
            </w:r>
          </w:p>
        </w:tc>
        <w:tc>
          <w:tcPr>
            <w:tcW w:w="69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基层政权和社区建设</w:t>
            </w:r>
          </w:p>
        </w:tc>
      </w:tr>
      <w:tr>
        <w:tblPrEx>
          <w:tblCellMar>
            <w:top w:w="15" w:type="dxa"/>
            <w:left w:w="15" w:type="dxa"/>
            <w:bottom w:w="15" w:type="dxa"/>
            <w:right w:w="15" w:type="dxa"/>
          </w:tblCellMar>
        </w:tblPrEx>
        <w:trPr>
          <w:trHeight w:val="444" w:hRule="atLeast"/>
        </w:trPr>
        <w:tc>
          <w:tcPr>
            <w:tcW w:w="2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预算单位</w:t>
            </w:r>
          </w:p>
        </w:tc>
        <w:tc>
          <w:tcPr>
            <w:tcW w:w="69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政协乌鲁木齐县委员会</w:t>
            </w:r>
          </w:p>
        </w:tc>
      </w:tr>
      <w:tr>
        <w:tblPrEx>
          <w:tblCellMar>
            <w:top w:w="15" w:type="dxa"/>
            <w:left w:w="15" w:type="dxa"/>
            <w:bottom w:w="15" w:type="dxa"/>
            <w:right w:w="15" w:type="dxa"/>
          </w:tblCellMar>
        </w:tblPrEx>
        <w:trPr>
          <w:trHeight w:val="444"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预算</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执行</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情况</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16"/>
                <w:szCs w:val="16"/>
                <w:lang w:bidi="ar"/>
              </w:rPr>
              <w:t>（万元）</w:t>
            </w: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eastAsia="宋体" w:cs="宋体"/>
                <w:color w:val="000000"/>
                <w:kern w:val="0"/>
                <w:sz w:val="24"/>
                <w:szCs w:val="24"/>
                <w:lang w:bidi="ar"/>
              </w:rPr>
              <w:t xml:space="preserve"> 预算数：</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2</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eastAsia="宋体" w:cs="宋体"/>
                <w:color w:val="000000"/>
                <w:kern w:val="0"/>
                <w:sz w:val="24"/>
                <w:szCs w:val="24"/>
                <w:lang w:bidi="ar"/>
              </w:rPr>
              <w:t xml:space="preserve"> 执行数：</w:t>
            </w:r>
          </w:p>
        </w:tc>
        <w:tc>
          <w:tcPr>
            <w:tcW w:w="28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2</w:t>
            </w:r>
          </w:p>
        </w:tc>
      </w:tr>
      <w:tr>
        <w:tblPrEx>
          <w:tblCellMar>
            <w:top w:w="15" w:type="dxa"/>
            <w:left w:w="15" w:type="dxa"/>
            <w:bottom w:w="15" w:type="dxa"/>
            <w:right w:w="15" w:type="dxa"/>
          </w:tblCellMar>
        </w:tblPrEx>
        <w:trPr>
          <w:trHeight w:val="618" w:hRule="atLeast"/>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rPr>
            </w:pPr>
            <w:r>
              <w:rPr>
                <w:rFonts w:hint="eastAsia" w:ascii="宋体" w:hAnsi="宋体" w:eastAsia="宋体" w:cs="宋体"/>
                <w:color w:val="000000"/>
                <w:kern w:val="0"/>
                <w:sz w:val="22"/>
                <w:lang w:bidi="ar"/>
              </w:rPr>
              <w:t>其中：财政拨款</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2</w:t>
            </w:r>
          </w:p>
        </w:tc>
        <w:tc>
          <w:tcPr>
            <w:tcW w:w="1954" w:type="dxa"/>
            <w:tcBorders>
              <w:top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rPr>
            </w:pPr>
            <w:r>
              <w:rPr>
                <w:rFonts w:hint="eastAsia" w:ascii="宋体" w:hAnsi="宋体" w:eastAsia="宋体" w:cs="宋体"/>
                <w:color w:val="000000"/>
                <w:kern w:val="0"/>
                <w:sz w:val="22"/>
                <w:lang w:bidi="ar"/>
              </w:rPr>
              <w:t>其中：财政拨款</w:t>
            </w:r>
          </w:p>
        </w:tc>
        <w:tc>
          <w:tcPr>
            <w:tcW w:w="28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2</w:t>
            </w:r>
          </w:p>
        </w:tc>
      </w:tr>
      <w:tr>
        <w:tblPrEx>
          <w:tblCellMar>
            <w:top w:w="15" w:type="dxa"/>
            <w:left w:w="15" w:type="dxa"/>
            <w:bottom w:w="15" w:type="dxa"/>
            <w:right w:w="15" w:type="dxa"/>
          </w:tblCellMar>
        </w:tblPrEx>
        <w:trPr>
          <w:trHeight w:val="560" w:hRule="atLeast"/>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22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rPr>
            </w:pPr>
            <w:r>
              <w:rPr>
                <w:rFonts w:hint="eastAsia" w:ascii="宋体" w:hAnsi="宋体" w:eastAsia="宋体" w:cs="宋体"/>
                <w:color w:val="000000"/>
                <w:kern w:val="0"/>
                <w:sz w:val="22"/>
                <w:lang w:bidi="ar"/>
              </w:rPr>
              <w:t>其他资金</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954" w:type="dxa"/>
            <w:tcBorders>
              <w:top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2"/>
              </w:rPr>
            </w:pPr>
            <w:r>
              <w:rPr>
                <w:rFonts w:hint="eastAsia" w:ascii="宋体" w:hAnsi="宋体" w:eastAsia="宋体" w:cs="宋体"/>
                <w:color w:val="000000"/>
                <w:kern w:val="0"/>
                <w:sz w:val="22"/>
                <w:lang w:bidi="ar"/>
              </w:rPr>
              <w:t>其他资金</w:t>
            </w:r>
          </w:p>
        </w:tc>
        <w:tc>
          <w:tcPr>
            <w:tcW w:w="28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4"/>
              </w:rPr>
            </w:pPr>
          </w:p>
        </w:tc>
      </w:tr>
      <w:tr>
        <w:tblPrEx>
          <w:tblCellMar>
            <w:top w:w="15" w:type="dxa"/>
            <w:left w:w="15" w:type="dxa"/>
            <w:bottom w:w="15" w:type="dxa"/>
            <w:right w:w="15" w:type="dxa"/>
          </w:tblCellMar>
        </w:tblPrEx>
        <w:trPr>
          <w:trHeight w:val="589"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年度</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目标</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完成</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情况</w:t>
            </w:r>
          </w:p>
        </w:tc>
        <w:tc>
          <w:tcPr>
            <w:tcW w:w="44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预期目标</w:t>
            </w:r>
          </w:p>
        </w:tc>
        <w:tc>
          <w:tcPr>
            <w:tcW w:w="48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实际完成目标</w:t>
            </w:r>
          </w:p>
        </w:tc>
      </w:tr>
      <w:tr>
        <w:tblPrEx>
          <w:tblCellMar>
            <w:top w:w="15" w:type="dxa"/>
            <w:left w:w="15" w:type="dxa"/>
            <w:bottom w:w="15" w:type="dxa"/>
            <w:right w:w="15" w:type="dxa"/>
          </w:tblCellMar>
        </w:tblPrEx>
        <w:trPr>
          <w:trHeight w:val="1545" w:hRule="atLeast"/>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4401"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24"/>
              </w:rPr>
            </w:pPr>
            <w:r>
              <w:rPr>
                <w:rFonts w:hint="eastAsia" w:ascii="宋体" w:hAnsi="宋体" w:eastAsia="宋体" w:cs="宋体"/>
                <w:color w:val="000000"/>
                <w:kern w:val="0"/>
                <w:sz w:val="24"/>
                <w:szCs w:val="24"/>
                <w:lang w:bidi="ar"/>
              </w:rPr>
              <w:t xml:space="preserve">    扎实为群众工作，为当地老百姓办实事办好事，开展群众性文体活动、举办各类技能培训、开展党员及群团组织活动等。</w:t>
            </w:r>
          </w:p>
        </w:tc>
        <w:tc>
          <w:tcPr>
            <w:tcW w:w="4801"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24"/>
              </w:rPr>
            </w:pPr>
            <w:r>
              <w:rPr>
                <w:rFonts w:hint="eastAsia" w:ascii="宋体" w:hAnsi="宋体" w:eastAsia="宋体" w:cs="宋体"/>
                <w:color w:val="000000"/>
                <w:kern w:val="0"/>
                <w:sz w:val="24"/>
                <w:szCs w:val="24"/>
                <w:lang w:bidi="ar"/>
              </w:rPr>
              <w:t xml:space="preserve">   本年度工作队给村民带来了便利，开展各项活动，支付坪菜窖和挖渠费用等，做的实事好事都得到当地百姓认可。</w:t>
            </w:r>
          </w:p>
        </w:tc>
      </w:tr>
      <w:tr>
        <w:tblPrEx>
          <w:tblCellMar>
            <w:top w:w="15" w:type="dxa"/>
            <w:left w:w="15" w:type="dxa"/>
            <w:bottom w:w="15" w:type="dxa"/>
            <w:right w:w="15" w:type="dxa"/>
          </w:tblCellMar>
        </w:tblPrEx>
        <w:trPr>
          <w:trHeight w:val="641" w:hRule="atLeast"/>
        </w:trPr>
        <w:tc>
          <w:tcPr>
            <w:tcW w:w="6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年度</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绩效</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指标</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完成</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情况</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一级指标</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二级指标</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三级指标</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预期指标值（包含数字及文字描述）</w:t>
            </w:r>
          </w:p>
        </w:tc>
        <w:tc>
          <w:tcPr>
            <w:tcW w:w="28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实际完成指标值（包含数字及文字描述）</w:t>
            </w:r>
          </w:p>
        </w:tc>
      </w:tr>
      <w:tr>
        <w:tblPrEx>
          <w:tblCellMar>
            <w:top w:w="15" w:type="dxa"/>
            <w:left w:w="15" w:type="dxa"/>
            <w:bottom w:w="15" w:type="dxa"/>
            <w:right w:w="15" w:type="dxa"/>
          </w:tblCellMar>
        </w:tblPrEx>
        <w:trPr>
          <w:trHeight w:val="618" w:hRule="atLeast"/>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0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项目完成指标</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数量指标</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 xml:space="preserve"> 办实事办好事</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 xml:space="preserve"> ≧1</w:t>
            </w:r>
          </w:p>
        </w:tc>
        <w:tc>
          <w:tcPr>
            <w:tcW w:w="28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 xml:space="preserve"> ≧1</w:t>
            </w:r>
          </w:p>
        </w:tc>
      </w:tr>
      <w:tr>
        <w:tblPrEx>
          <w:tblCellMar>
            <w:top w:w="15" w:type="dxa"/>
            <w:left w:w="15" w:type="dxa"/>
            <w:bottom w:w="15" w:type="dxa"/>
            <w:right w:w="15" w:type="dxa"/>
          </w:tblCellMar>
        </w:tblPrEx>
        <w:trPr>
          <w:trHeight w:val="632" w:hRule="atLeast"/>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质量指标</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 xml:space="preserve"> 圆满完成各项工作</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达标</w:t>
            </w:r>
          </w:p>
        </w:tc>
        <w:tc>
          <w:tcPr>
            <w:tcW w:w="28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比较满意</w:t>
            </w:r>
          </w:p>
        </w:tc>
      </w:tr>
      <w:tr>
        <w:tblPrEx>
          <w:tblCellMar>
            <w:top w:w="15" w:type="dxa"/>
            <w:left w:w="15" w:type="dxa"/>
            <w:bottom w:w="15" w:type="dxa"/>
            <w:right w:w="15" w:type="dxa"/>
          </w:tblCellMar>
        </w:tblPrEx>
        <w:trPr>
          <w:trHeight w:val="502" w:hRule="atLeast"/>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时效指标</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全年</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全年</w:t>
            </w:r>
          </w:p>
        </w:tc>
        <w:tc>
          <w:tcPr>
            <w:tcW w:w="28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ascii="宋体" w:hAnsi="宋体" w:eastAsia="宋体" w:cs="宋体"/>
                <w:color w:val="000000"/>
                <w:kern w:val="0"/>
                <w:sz w:val="24"/>
                <w:szCs w:val="24"/>
                <w:lang w:bidi="ar"/>
              </w:rPr>
              <w:t>全年</w:t>
            </w:r>
          </w:p>
        </w:tc>
      </w:tr>
      <w:tr>
        <w:tblPrEx>
          <w:tblCellMar>
            <w:top w:w="15" w:type="dxa"/>
            <w:left w:w="15" w:type="dxa"/>
            <w:bottom w:w="15" w:type="dxa"/>
            <w:right w:w="15" w:type="dxa"/>
          </w:tblCellMar>
        </w:tblPrEx>
        <w:trPr>
          <w:trHeight w:val="502" w:hRule="atLeast"/>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成本指标</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秉着勤俭、节约原则</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2万</w:t>
            </w:r>
          </w:p>
        </w:tc>
        <w:tc>
          <w:tcPr>
            <w:tcW w:w="28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2万元</w:t>
            </w:r>
          </w:p>
        </w:tc>
      </w:tr>
      <w:tr>
        <w:tblPrEx>
          <w:tblCellMar>
            <w:top w:w="15" w:type="dxa"/>
            <w:left w:w="15" w:type="dxa"/>
            <w:bottom w:w="15" w:type="dxa"/>
            <w:right w:w="15" w:type="dxa"/>
          </w:tblCellMar>
        </w:tblPrEx>
        <w:trPr>
          <w:trHeight w:val="980" w:hRule="atLeast"/>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0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项目效果指标</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经济效益</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指标</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eastAsia="宋体" w:cs="宋体"/>
                <w:color w:val="000000"/>
                <w:kern w:val="0"/>
                <w:sz w:val="24"/>
                <w:szCs w:val="24"/>
                <w:lang w:bidi="ar"/>
              </w:rPr>
              <w:t xml:space="preserve">    积极协助基层解决与群众切实利益息息相关的生产生活</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明显</w:t>
            </w:r>
          </w:p>
        </w:tc>
        <w:tc>
          <w:tcPr>
            <w:tcW w:w="28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明显</w:t>
            </w:r>
          </w:p>
        </w:tc>
      </w:tr>
      <w:tr>
        <w:tblPrEx>
          <w:tblCellMar>
            <w:top w:w="15" w:type="dxa"/>
            <w:left w:w="15" w:type="dxa"/>
            <w:bottom w:w="15" w:type="dxa"/>
            <w:right w:w="15" w:type="dxa"/>
          </w:tblCellMar>
        </w:tblPrEx>
        <w:trPr>
          <w:trHeight w:val="748" w:hRule="atLeast"/>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社会效益</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指标</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为老百姓办实事好事</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明显</w:t>
            </w:r>
          </w:p>
        </w:tc>
        <w:tc>
          <w:tcPr>
            <w:tcW w:w="28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明显</w:t>
            </w:r>
          </w:p>
        </w:tc>
      </w:tr>
      <w:tr>
        <w:tblPrEx>
          <w:tblCellMar>
            <w:top w:w="15" w:type="dxa"/>
            <w:left w:w="15" w:type="dxa"/>
            <w:bottom w:w="15" w:type="dxa"/>
            <w:right w:w="15" w:type="dxa"/>
          </w:tblCellMar>
        </w:tblPrEx>
        <w:trPr>
          <w:trHeight w:val="1243" w:hRule="atLeast"/>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生态效益</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指标</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eastAsia="宋体" w:cs="宋体"/>
                <w:color w:val="000000"/>
                <w:kern w:val="0"/>
                <w:sz w:val="24"/>
                <w:szCs w:val="24"/>
                <w:lang w:bidi="ar"/>
              </w:rPr>
              <w:t xml:space="preserve">    把握群众思想观念转变、抓实民族团结教育、抓好惠民项目落实</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明显</w:t>
            </w:r>
          </w:p>
        </w:tc>
        <w:tc>
          <w:tcPr>
            <w:tcW w:w="28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明显</w:t>
            </w:r>
          </w:p>
        </w:tc>
      </w:tr>
      <w:tr>
        <w:tblPrEx>
          <w:tblCellMar>
            <w:top w:w="15" w:type="dxa"/>
            <w:left w:w="15" w:type="dxa"/>
            <w:bottom w:w="15" w:type="dxa"/>
            <w:right w:w="15" w:type="dxa"/>
          </w:tblCellMar>
        </w:tblPrEx>
        <w:trPr>
          <w:trHeight w:val="3049" w:hRule="atLeast"/>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可持续影响</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指标</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eastAsia="宋体" w:cs="宋体"/>
                <w:color w:val="000000"/>
                <w:kern w:val="0"/>
                <w:sz w:val="24"/>
                <w:szCs w:val="24"/>
                <w:lang w:bidi="ar"/>
              </w:rPr>
              <w:t xml:space="preserve">    通过入户走访、宣传党的政策，有效解决群众的利益诉求，最大限度延伸党的触角，使各级党组织掌握社情民意的渠道得到有效拓宽，应急处突能力不断提高，对辖区的掌控能力不断加强。</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明显</w:t>
            </w:r>
          </w:p>
        </w:tc>
        <w:tc>
          <w:tcPr>
            <w:tcW w:w="28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明显</w:t>
            </w:r>
          </w:p>
        </w:tc>
      </w:tr>
      <w:tr>
        <w:tblPrEx>
          <w:tblCellMar>
            <w:top w:w="15" w:type="dxa"/>
            <w:left w:w="15" w:type="dxa"/>
            <w:bottom w:w="15" w:type="dxa"/>
            <w:right w:w="15" w:type="dxa"/>
          </w:tblCellMar>
        </w:tblPrEx>
        <w:trPr>
          <w:trHeight w:val="873" w:hRule="atLeast"/>
        </w:trPr>
        <w:tc>
          <w:tcPr>
            <w:tcW w:w="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满意度</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指标</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满意度指标</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eastAsia="宋体" w:cs="宋体"/>
                <w:color w:val="000000"/>
                <w:kern w:val="0"/>
                <w:sz w:val="24"/>
                <w:szCs w:val="24"/>
                <w:lang w:bidi="ar"/>
              </w:rPr>
              <w:t xml:space="preserve">    当地百姓满意度</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98%以上</w:t>
            </w:r>
          </w:p>
        </w:tc>
        <w:tc>
          <w:tcPr>
            <w:tcW w:w="28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eastAsia="宋体" w:cs="宋体"/>
                <w:color w:val="000000"/>
                <w:kern w:val="0"/>
                <w:sz w:val="24"/>
                <w:szCs w:val="24"/>
                <w:lang w:bidi="ar"/>
              </w:rPr>
              <w:t>98%</w:t>
            </w:r>
          </w:p>
        </w:tc>
      </w:tr>
    </w:tbl>
    <w:p>
      <w:pPr>
        <w:spacing w:line="540" w:lineRule="exact"/>
        <w:rPr>
          <w:rFonts w:hint="eastAsia" w:ascii="仿宋_GB2312" w:eastAsia="仿宋_GB2312"/>
          <w:sz w:val="32"/>
          <w:szCs w:val="32"/>
        </w:rPr>
      </w:pPr>
    </w:p>
    <w:p>
      <w:pPr>
        <w:spacing w:line="540" w:lineRule="exact"/>
        <w:jc w:val="center"/>
        <w:rPr>
          <w:rFonts w:ascii="黑体" w:hAnsi="黑体" w:eastAsia="黑体"/>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第三部分 专业名词解释</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财政拨款收入：指同级财政当年拨付的资金。</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上级补助收入：指事业单位从主管部门和上级单位取得的非财政补助收入。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事业收入：指事业单位开展专业业务活动及其辅助活动所取得的收入。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经营收入：指事业单位在专业业务活动及其辅助活动之外开展非独立核算经营活动取得的收入。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附属单位上缴收入：指事业单位附属的独立核算单位按有关规定上缴的收入。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其他收入：指除上述“财政拨款收入”、“事业收入”、“经营收入”、“附属单位上缴收入”等之外取得的收入。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用事业基金弥补收支差额：指事业单位在当年的“财政拨款收入”、“财政拨款结转和结余资金”、“事业收入”、“事业单位经营收入”、“其他收入”不足以安排当年支出的情况下，使用以前年度积累的事业基金（即事业单位当年收支相抵后按国家规定提取、用于弥补以后年度收支差额的基金）弥补本年度收支缺口的资金。</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上年结转和结余：指以前年度支出预算因客观条件变化未执行完毕、结转到本年度按有关规定继续使用的资金，既包括财政拨款结转和结余，也包括事业收入、经营收入、其他收入的结转和结余。</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结余分配：反映单位当年结余的分配情况。</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基本支出：指为保障机构正常运转、完成日常工作任务而发生的人员支出和公用支出。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项目支出：指在基本支出之外为完成特定行政任务和事业发展目标所发生的支出。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经营支出：指事业单位在专业业务活动及其辅助活动之外开展非独立核算经营活动发生的支出。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对附属单位补助支出：指事业单位发生的用非财政预算资金对附属单位的补助支出。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三公”经费：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ind w:firstLine="640" w:firstLineChars="200"/>
        <w:rPr>
          <w:rFonts w:ascii="仿宋_GB2312" w:hAnsi="Calibri" w:eastAsia="仿宋_GB2312"/>
          <w:sz w:val="32"/>
          <w:szCs w:val="32"/>
          <w:lang w:val="en-GB"/>
        </w:rPr>
      </w:pPr>
      <w:r>
        <w:rPr>
          <w:rFonts w:hint="eastAsia" w:ascii="仿宋_GB2312" w:eastAsia="仿宋_GB2312"/>
          <w:sz w:val="32"/>
          <w:szCs w:val="32"/>
        </w:rPr>
        <w:t>本单位支出功能分类说明</w:t>
      </w:r>
      <w:r>
        <w:rPr>
          <w:rFonts w:hint="eastAsia" w:ascii="仿宋_GB2312" w:hAnsi="Calibri" w:eastAsia="仿宋_GB2312"/>
          <w:sz w:val="32"/>
          <w:szCs w:val="32"/>
          <w:lang w:val="en-GB"/>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2080505指关事业单位基本养老保险缴费支出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2100301指市社区卫生机构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2100302指乡镇卫生院</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2100399指其他基层医疗卫生机构支出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2100408指基本公共卫生服务</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2100409指重大公共卫生专项</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2100499指其他公共卫生支出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2100601指中医（民族</w:t>
      </w:r>
      <w:bookmarkStart w:id="0" w:name="_GoBack"/>
      <w:bookmarkEnd w:id="0"/>
      <w:r>
        <w:rPr>
          <w:rFonts w:hint="eastAsia" w:ascii="仿宋_GB2312" w:eastAsia="仿宋_GB2312"/>
          <w:sz w:val="32"/>
          <w:szCs w:val="32"/>
        </w:rPr>
        <w:t>医)药专项</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2296002指用于社会福利的彩票公益金支出</w:t>
      </w:r>
    </w:p>
    <w:p>
      <w:pPr>
        <w:spacing w:line="540" w:lineRule="exact"/>
        <w:ind w:firstLine="640" w:firstLineChars="200"/>
        <w:rPr>
          <w:rFonts w:ascii="仿宋_GB2312" w:hAnsi="Calibri" w:eastAsia="仿宋_GB2312"/>
          <w:sz w:val="32"/>
          <w:szCs w:val="32"/>
          <w:lang w:val="en-GB"/>
        </w:rPr>
      </w:pPr>
      <w:r>
        <w:rPr>
          <w:rFonts w:hint="eastAsia" w:ascii="仿宋_GB2312" w:eastAsia="仿宋_GB2312"/>
          <w:sz w:val="32"/>
          <w:szCs w:val="32"/>
        </w:rPr>
        <w:t>其他有关说明内容</w:t>
      </w:r>
      <w:r>
        <w:rPr>
          <w:rFonts w:hint="eastAsia" w:ascii="仿宋_GB2312" w:hAnsi="Calibri" w:eastAsia="仿宋_GB2312"/>
          <w:sz w:val="32"/>
          <w:szCs w:val="32"/>
          <w:lang w:val="en-GB"/>
        </w:rPr>
        <w:t>。</w:t>
      </w:r>
    </w:p>
    <w:p>
      <w:pPr>
        <w:spacing w:line="540" w:lineRule="exact"/>
        <w:ind w:firstLine="643" w:firstLineChars="200"/>
        <w:rPr>
          <w:rFonts w:ascii="仿宋_GB2312" w:eastAsia="仿宋_GB2312"/>
          <w:b/>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第四部分 部门决算公开的8张报表（见附表）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二、《收入决算表》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四、《财政拨款收入支出决算总表》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五、《一般公共预算财政拨款支出决算表》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六、《一般公共预算财政拨款基本支出决算表》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七、《一般公共预算财政拨款“三公”经费支出决算表》</w:t>
      </w:r>
    </w:p>
    <w:p>
      <w:pPr>
        <w:spacing w:line="540" w:lineRule="exact"/>
        <w:ind w:firstLine="640" w:firstLineChars="200"/>
        <w:rPr>
          <w:rFonts w:ascii="仿宋_GB2312" w:eastAsia="仿宋_GB2312"/>
          <w:sz w:val="32"/>
          <w:szCs w:val="32"/>
        </w:rPr>
      </w:pPr>
      <w:r>
        <w:rPr>
          <w:rFonts w:hint="eastAsia" w:ascii="仿宋_GB2312" w:hAnsi="宋体" w:eastAsia="仿宋_GB2312"/>
          <w:sz w:val="32"/>
          <w:szCs w:val="32"/>
        </w:rPr>
        <w:t>八、</w:t>
      </w:r>
      <w:r>
        <w:rPr>
          <w:rFonts w:hint="eastAsia" w:ascii="仿宋_GB2312" w:eastAsia="仿宋_GB2312"/>
          <w:sz w:val="32"/>
          <w:szCs w:val="32"/>
        </w:rPr>
        <w:t>《政府性基金预算财政拨款收入支出决算表》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3C"/>
    <w:rsid w:val="001500E6"/>
    <w:rsid w:val="001A2B4A"/>
    <w:rsid w:val="002C387F"/>
    <w:rsid w:val="00417058"/>
    <w:rsid w:val="004642B9"/>
    <w:rsid w:val="004763B2"/>
    <w:rsid w:val="004A2F26"/>
    <w:rsid w:val="004D02FE"/>
    <w:rsid w:val="004F0216"/>
    <w:rsid w:val="0058643C"/>
    <w:rsid w:val="006059F7"/>
    <w:rsid w:val="0070610F"/>
    <w:rsid w:val="007E6FF2"/>
    <w:rsid w:val="009A4996"/>
    <w:rsid w:val="00BE7FE7"/>
    <w:rsid w:val="00C477CA"/>
    <w:rsid w:val="00CE0C1D"/>
    <w:rsid w:val="00CF028A"/>
    <w:rsid w:val="00CF0B90"/>
    <w:rsid w:val="00CF769E"/>
    <w:rsid w:val="00D642A3"/>
    <w:rsid w:val="00D923F6"/>
    <w:rsid w:val="00F21610"/>
    <w:rsid w:val="0BF1771D"/>
    <w:rsid w:val="258E066C"/>
    <w:rsid w:val="4572647A"/>
    <w:rsid w:val="7DCE2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7"/>
    <w:qFormat/>
    <w:uiPriority w:val="0"/>
    <w:pPr>
      <w:jc w:val="left"/>
    </w:pPr>
    <w:rPr>
      <w:rFonts w:ascii="Times New Roman" w:hAnsi="Times New Roman" w:eastAsia="宋体" w:cs="Times New Roman"/>
      <w:szCs w:val="24"/>
    </w:rPr>
  </w:style>
  <w:style w:type="paragraph" w:styleId="3">
    <w:name w:val="Balloon Text"/>
    <w:basedOn w:val="1"/>
    <w:link w:val="8"/>
    <w:semiHidden/>
    <w:unhideWhenUsed/>
    <w:qFormat/>
    <w:uiPriority w:val="99"/>
    <w:rPr>
      <w:sz w:val="18"/>
      <w:szCs w:val="18"/>
    </w:rPr>
  </w:style>
  <w:style w:type="character" w:styleId="6">
    <w:name w:val="annotation reference"/>
    <w:basedOn w:val="5"/>
    <w:semiHidden/>
    <w:unhideWhenUsed/>
    <w:qFormat/>
    <w:uiPriority w:val="99"/>
    <w:rPr>
      <w:sz w:val="21"/>
      <w:szCs w:val="21"/>
    </w:rPr>
  </w:style>
  <w:style w:type="character" w:customStyle="1" w:styleId="7">
    <w:name w:val="批注文字 字符"/>
    <w:basedOn w:val="5"/>
    <w:link w:val="2"/>
    <w:qFormat/>
    <w:uiPriority w:val="0"/>
    <w:rPr>
      <w:rFonts w:ascii="Times New Roman" w:hAnsi="Times New Roman" w:eastAsia="宋体" w:cs="Times New Roman"/>
      <w:szCs w:val="24"/>
    </w:rPr>
  </w:style>
  <w:style w:type="character" w:customStyle="1" w:styleId="8">
    <w:name w:val="批注框文本 字符"/>
    <w:basedOn w:val="5"/>
    <w:link w:val="3"/>
    <w:semiHidden/>
    <w:qFormat/>
    <w:uiPriority w:val="99"/>
    <w:rPr>
      <w:sz w:val="18"/>
      <w:szCs w:val="18"/>
    </w:rPr>
  </w:style>
  <w:style w:type="character" w:customStyle="1" w:styleId="9">
    <w:name w:val="font11"/>
    <w:basedOn w:val="5"/>
    <w:qFormat/>
    <w:uiPriority w:val="0"/>
    <w:rPr>
      <w:rFonts w:hint="eastAsia" w:ascii="宋体" w:hAnsi="宋体" w:eastAsia="宋体" w:cs="宋体"/>
      <w:color w:val="000000"/>
      <w:sz w:val="24"/>
      <w:szCs w:val="24"/>
      <w:u w:val="none"/>
    </w:rPr>
  </w:style>
  <w:style w:type="character" w:customStyle="1" w:styleId="10">
    <w:name w:val="font41"/>
    <w:basedOn w:val="5"/>
    <w:qFormat/>
    <w:uiPriority w:val="0"/>
    <w:rPr>
      <w:rFonts w:hint="default" w:ascii="Times New Roman" w:hAnsi="Times New Roman" w:cs="Times New Roman"/>
      <w:color w:val="000000"/>
      <w:sz w:val="24"/>
      <w:szCs w:val="24"/>
      <w:u w:val="none"/>
    </w:rPr>
  </w:style>
  <w:style w:type="character" w:customStyle="1" w:styleId="11">
    <w:name w:val="font31"/>
    <w:basedOn w:val="5"/>
    <w:qFormat/>
    <w:uiPriority w:val="0"/>
    <w:rPr>
      <w:rFonts w:hint="eastAsia" w:ascii="宋体" w:hAnsi="宋体" w:eastAsia="宋体" w:cs="宋体"/>
      <w:color w:val="000000"/>
      <w:sz w:val="16"/>
      <w:szCs w:val="16"/>
      <w:u w:val="none"/>
    </w:rPr>
  </w:style>
  <w:style w:type="character" w:customStyle="1" w:styleId="12">
    <w:name w:val="font51"/>
    <w:basedOn w:val="5"/>
    <w:qFormat/>
    <w:uiPriority w:val="0"/>
    <w:rPr>
      <w:rFonts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20</Pages>
  <Words>1564</Words>
  <Characters>8917</Characters>
  <Lines>74</Lines>
  <Paragraphs>20</Paragraphs>
  <TotalTime>12</TotalTime>
  <ScaleCrop>false</ScaleCrop>
  <LinksUpToDate>false</LinksUpToDate>
  <CharactersWithSpaces>10461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2019-07-23T11:27:00Z</dcterms:created>
  <dc:creator>admin</dc:creator>
  <cp:lastModifiedBy>秣</cp:lastModifiedBy>
  <dcterms:modified xsi:type="dcterms:W3CDTF">2021-05-18T13:50:29Z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A5F0585A8CA3427BABF2C1BCBC4F7D9F</vt:lpwstr>
  </property>
</Properties>
</file>