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2018年度新疆乌鲁木齐县水电林业局汇总部门决算公开说明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1、负责全县水资源保护和监督管理工作；会同有关部门编制水资源保护规划并监督实施。</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2、负责权限内水务行业监督管理工作；组织、指导和监督权限内供排水、污水处理、中水回用工作及相关设施的管理和维护；负责县域内给水设施改建、迁建、拆除的行政许可和管理工作，以及给水管线停水的核准工作。</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3、负责河道新建、改建、扩建和管理工作，组织指导水利设施、水域和岸线的管理与保护；编制审查水利基础项目建议书和可行性报告。</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4、组织、协调、指导监督防洪抗旱工作，强化预案体系和应急机制建设，减轻水旱灾害损失。</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5、指导农村水利工作，组织协调农牧区水电基本建设、农村饮水安全、节水灌溉等工作。</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6、负责防止水土流失工作，负责区域内水土保持项目立项申请，以及项目建设行政许可和管理工作。</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7、组织、协调、指导、和监督造林绿化工作；承担对森林资源保护、利用、更新实施监督管理的责任等；</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8、负责权限内林地林权管理；监督管理陆生野生动植物资源的保护和合理开发利用；组织指导森林病虫害的防治，负责退耕还林工作，承担组织、协调、指导和建都管理护林防火工作的责任编制护林防火工作规划和应急预案。</w:t>
      </w:r>
    </w:p>
    <w:p>
      <w:pPr>
        <w:widowControl/>
        <w:spacing w:line="560" w:lineRule="exact"/>
        <w:ind w:firstLine="640"/>
        <w:jc w:val="left"/>
        <w:rPr>
          <w:rFonts w:ascii="仿宋" w:hAnsi="仿宋" w:eastAsia="仿宋" w:cs="仿宋"/>
          <w:sz w:val="32"/>
          <w:szCs w:val="32"/>
          <w:lang w:val="zh-CN"/>
        </w:rPr>
      </w:pPr>
      <w:r>
        <w:rPr>
          <w:rFonts w:hint="eastAsia" w:ascii="仿宋" w:hAnsi="仿宋" w:eastAsia="仿宋" w:cs="仿宋"/>
          <w:sz w:val="32"/>
          <w:szCs w:val="32"/>
          <w:lang w:val="zh-CN"/>
        </w:rPr>
        <w:t>9、负责园林绿化管理工作，组织实施花卉基地、苗木基地的建设。</w:t>
      </w:r>
    </w:p>
    <w:p>
      <w:pPr>
        <w:widowControl/>
        <w:spacing w:line="560" w:lineRule="exact"/>
        <w:ind w:firstLine="640"/>
        <w:jc w:val="left"/>
        <w:rPr>
          <w:rFonts w:ascii="仿宋_GB2312" w:eastAsia="仿宋_GB2312"/>
          <w:sz w:val="32"/>
          <w:szCs w:val="32"/>
        </w:rPr>
      </w:pPr>
      <w:r>
        <w:rPr>
          <w:rFonts w:hint="eastAsia" w:ascii="仿宋" w:hAnsi="仿宋" w:eastAsia="仿宋" w:cs="仿宋"/>
          <w:sz w:val="32"/>
          <w:szCs w:val="32"/>
          <w:lang w:val="zh-CN"/>
        </w:rPr>
        <w:t>10、负责确定可用于养殖业的水域和滩涂等工作。</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从决算单位构成看，新疆乌鲁木齐县水电林业局汇总部门决算包括：新疆乌鲁木齐县水电林业局汇总部门本级决算、所属单位决算等。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新疆乌鲁木齐县水电林业局汇总编制数100个，包括行政编制16个，事业编制84个。年末实有人数83人，其中：行政在职17人，事业在职66人。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纳入新疆乌鲁木齐县水电林业局汇总2018年部门决算编制范围的单位名单见下表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新疆乌鲁木齐县水电林业局汇总</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新疆乌鲁木齐县水电林业局</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hint="eastAsia" w:ascii="仿宋_GB2312" w:eastAsia="仿宋_GB2312"/>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3</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新疆乌鲁木齐县水利管理站</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2018年度收入24,827.72万元,与上年相比，增加24827.72万元，增长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；支出28,604.95万元,与上年相比，增加28604.95万元，增长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；结余15,241.17万元，与上年相比，增加15241.17万元，增长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24,827.72万元，其中：财政拨款收入18,034.60万元，占72.64%；上级补助收入0.00万元，占0.00%；事业收入0.00万元，占0.00%；经营收入296.91万元，占1.20%；附属单位缴款0.00万元，占0.00%；其他收入6,496.21万元，占26.17%。</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与年初预算数相比情况：本年收入年初预算数2,161.67万元，决算数24,827.72万元，预决算差异率1,048.54%，差异主要原因基金支出的专项增加。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本年支出合计28,604.95万元，其中：基本支出1,422.80万元，占4.97%；项目支出26,932.73万元，占94.15%；上缴上级支出0.00万元，占0.00%；</w:t>
      </w:r>
      <w:r>
        <w:rPr>
          <w:rFonts w:hint="eastAsia" w:ascii="仿宋_GB2312" w:eastAsia="仿宋_GB2312"/>
          <w:spacing w:val="-6"/>
          <w:sz w:val="32"/>
          <w:szCs w:val="32"/>
        </w:rPr>
        <w:t>经营支出249.42万元，占0.87%；对附属单位补助支出0.00万元，占0.00%。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与年初预算数相比情况：本年支出年初预算数2,161.67万元，决算数28,604.95万元，预决算差异率1,223.28%，差异主要原因基金支出的专项增加。</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2018年度财政拨款收入18,034.60万元，与上年相比，增加18034.6万元，增长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。财政拨款支出20,122.80万元，与上年相比，增加20122.8万元，增长</w:t>
      </w:r>
      <w:r>
        <w:rPr>
          <w:rFonts w:hint="eastAsia" w:ascii="仿宋_GB2312" w:eastAsia="仿宋_GB2312"/>
          <w:sz w:val="32"/>
          <w:szCs w:val="32"/>
          <w:lang w:val="en-US" w:eastAsia="zh-CN"/>
        </w:rPr>
        <w:t>100</w:t>
      </w:r>
      <w:r>
        <w:rPr>
          <w:rFonts w:hint="eastAsia" w:ascii="仿宋_GB2312" w:eastAsia="仿宋_GB2312"/>
          <w:sz w:val="32"/>
          <w:szCs w:val="32"/>
        </w:rPr>
        <w:t>%，增减变化的主要原因是：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。其中：基本支出1,416.21万元，项目支出18,706.59万元。财政拨款结转结余10,487.64万元，与上年相比，增加10487.64万元，</w:t>
      </w:r>
      <w:r>
        <w:rPr>
          <w:rFonts w:hint="eastAsia" w:ascii="仿宋_GB2312" w:eastAsia="仿宋_GB2312"/>
          <w:sz w:val="32"/>
          <w:szCs w:val="32"/>
          <w:lang w:eastAsia="zh-CN"/>
        </w:rPr>
        <w:t>本年度新增叠加汇总表。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2,161.67万元，决算数18,034.60万元，预决算差异率734.29%，差异主要原因基金支出的专项增加。财政拨款支出年初预算数2,161.67万元，决算数20,122.80万元，预决算差异率830.89%，差异主要原因基金支出的专项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2018年度一般公共预算财政拨款收入5,083.84万元。与上年相比，增加5083.84万元，增长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。一般公共预算财政拨款支出7,252.35万元。与上年相比，增加7252.35万元，增长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其中：按功能分类科目（按类级科目公开），201一般公共服务支出0.92万元，204公共安全支出3.41万元，208社会保障和就业支出143.45万元，211节能环保支出736.68万元，213农林水支出6,212.68万元，229其他支出155.21万元。按经济分类科目（按类级科目公开），工资福利支出1,240.46万元，商品和服务支出130.27万元，对个人和家庭的支出125.27万元，资本性支出5,756.35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2,161.67万元，决算数5,083.84万元，预决算差异率135.18%，差异主要原因专项增加，增加拨款。一般公共预算财政拨款支出年初预算数2,161.67万元，决算数7,252.35万元，预决算差异率235.50%，差异主要原因专项增加，增加拨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2018年度政府性基金预算财政拨款收入12,950.76万元，与上年相比，增加12950.76万元，增长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。政府性基金预算支出12,870.45万元。与上年相比，增加12,870.45万元，增长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。其中：按功能分类科目（按类级科目公开），212城乡社区支出12,870.45万元。按经济分类科目（按类级科目公开），资本性支出12,870.45万元</w:t>
      </w:r>
      <w:r>
        <w:rPr>
          <w:rFonts w:hint="eastAsia" w:ascii="仿宋_GB2312" w:eastAsia="仿宋_GB2312"/>
          <w:sz w:val="32"/>
          <w:szCs w:val="32"/>
          <w:lang w:eastAsia="zh-CN"/>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与年初预算数相比情况：政府性基金预算财政拨款收入年初预算数0.00万元，决算数12,950.76万元，预决算差异率0.00%，差异主要原因</w:t>
      </w:r>
      <w:r>
        <w:rPr>
          <w:rFonts w:hint="eastAsia" w:ascii="仿宋_GB2312" w:eastAsia="仿宋_GB2312"/>
          <w:sz w:val="32"/>
          <w:szCs w:val="32"/>
          <w:lang w:eastAsia="zh-CN"/>
        </w:rPr>
        <w:t>年初无预算安排，年中追加经费</w:t>
      </w:r>
      <w:r>
        <w:rPr>
          <w:rFonts w:hint="eastAsia" w:ascii="仿宋_GB2312" w:eastAsia="仿宋_GB2312"/>
          <w:sz w:val="32"/>
          <w:szCs w:val="32"/>
        </w:rPr>
        <w:t>。。政府性基金预算财政拨款支出年初预算数0.00万元，决算数12,870.45万元，预决算差异率0.00%，差异主要原因</w:t>
      </w:r>
      <w:r>
        <w:rPr>
          <w:rFonts w:hint="eastAsia" w:ascii="仿宋_GB2312" w:eastAsia="仿宋_GB2312"/>
          <w:sz w:val="32"/>
          <w:szCs w:val="32"/>
          <w:lang w:eastAsia="zh-CN"/>
        </w:rPr>
        <w:t>年初无预算安排，年中追加经费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年末结转结余15,241.17万元。与上年相比，增加15241.17万元，降低0%。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其中财政拨款结转结余10,487.64万元。与上年相比，增加10487.64万元，降低0%。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2018年度一般公共预算“三公”经费支出决算39.50万元，比上年减少0万元，降低0%，减少原因是</w:t>
      </w:r>
      <w:r>
        <w:rPr>
          <w:rFonts w:hint="eastAsia" w:ascii="仿宋_GB2312" w:eastAsia="仿宋_GB2312"/>
          <w:sz w:val="32"/>
          <w:szCs w:val="32"/>
          <w:lang w:eastAsia="zh-CN"/>
        </w:rPr>
        <w:t>与上年保持一致</w:t>
      </w:r>
      <w:r>
        <w:rPr>
          <w:rFonts w:hint="eastAsia" w:ascii="仿宋_GB2312" w:eastAsia="仿宋_GB2312"/>
          <w:sz w:val="32"/>
          <w:szCs w:val="32"/>
        </w:rPr>
        <w:t>。其中，因公出国（境）费支出0.00万元，占0.00%，比上年减少0.0万元，降低0%，减少原因是</w:t>
      </w:r>
      <w:r>
        <w:rPr>
          <w:rFonts w:hint="eastAsia" w:ascii="仿宋_GB2312" w:eastAsia="仿宋_GB2312"/>
          <w:sz w:val="32"/>
          <w:szCs w:val="32"/>
          <w:lang w:eastAsia="zh-CN"/>
        </w:rPr>
        <w:t>无</w:t>
      </w:r>
      <w:r>
        <w:rPr>
          <w:rFonts w:hint="eastAsia" w:ascii="仿宋_GB2312" w:eastAsia="仿宋_GB2312"/>
          <w:sz w:val="32"/>
          <w:szCs w:val="32"/>
        </w:rPr>
        <w:t>因公出国（境）费；公务用车购置及运行维护费支出39.50万元，占100.00%，比上年减少0万元，降低0%，减少原因是</w:t>
      </w:r>
      <w:r>
        <w:rPr>
          <w:rFonts w:hint="eastAsia" w:ascii="仿宋_GB2312" w:eastAsia="仿宋_GB2312"/>
          <w:sz w:val="32"/>
          <w:szCs w:val="32"/>
          <w:lang w:eastAsia="zh-CN"/>
        </w:rPr>
        <w:t>与上年保持一致</w:t>
      </w:r>
      <w:r>
        <w:rPr>
          <w:rFonts w:hint="eastAsia" w:ascii="仿宋_GB2312" w:eastAsia="仿宋_GB2312"/>
          <w:sz w:val="32"/>
          <w:szCs w:val="32"/>
        </w:rPr>
        <w:t>；公务接待费支出0.00万元，占0.00%，比上年减少0.0万元，降低0%，减少原因是</w:t>
      </w:r>
      <w:r>
        <w:rPr>
          <w:rFonts w:hint="eastAsia" w:ascii="仿宋_GB2312" w:eastAsia="仿宋_GB2312"/>
          <w:sz w:val="32"/>
          <w:szCs w:val="32"/>
          <w:lang w:eastAsia="zh-CN"/>
        </w:rPr>
        <w:t>无</w:t>
      </w:r>
      <w:r>
        <w:rPr>
          <w:rFonts w:hint="eastAsia" w:ascii="仿宋_GB2312" w:eastAsia="仿宋_GB2312"/>
          <w:sz w:val="32"/>
          <w:szCs w:val="32"/>
        </w:rPr>
        <w:t>公务接待费。具体情况如下：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因公出国（境）费支出0.00万元。新疆乌鲁木齐县水电林业局全年使用一般公共预算财政拨款安排的出国（境）团组0个，累计0人次。开支内容包括：</w:t>
      </w:r>
      <w:r>
        <w:rPr>
          <w:rFonts w:hint="eastAsia" w:ascii="仿宋_GB2312" w:eastAsia="仿宋_GB2312"/>
          <w:sz w:val="32"/>
          <w:szCs w:val="32"/>
          <w:lang w:eastAsia="zh-CN"/>
        </w:rPr>
        <w:t>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公务用车购置及运行维护费39.50万元,其中，公务用车购置0.00万元，公务用车运行维护费39.50万元。主要用于公务用车燃料费、维修费、保险费等。单位一般公共财政拨款安排的公务用车购置量0辆，保有量为17辆。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无</w:t>
      </w:r>
      <w:r>
        <w:rPr>
          <w:rFonts w:hint="eastAsia" w:ascii="仿宋_GB2312" w:eastAsia="仿宋_GB2312"/>
          <w:sz w:val="32"/>
          <w:szCs w:val="32"/>
        </w:rPr>
        <w:t>公务接待费等。新疆乌鲁木齐县水电林业局国内公务接待0批次，0人次。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与年初预算数相比情况：一般公共预算“三公”经费支出年初预算数39.50万元，决算数39.50万元，预决算差异率0.00%，差异主要原因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无差异，预算未安排</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预算数39.50万元，决算数39.50万元，预决算差异率0.00%，差异主要原因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无差异，严格按预算执行</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2018年度新疆乌鲁木齐县水电林业局汇总日常公用经费99.12万元，比上年增加99.12万元，增长</w:t>
      </w:r>
      <w:r>
        <w:rPr>
          <w:rFonts w:hint="eastAsia" w:ascii="仿宋_GB2312" w:eastAsia="仿宋_GB2312"/>
          <w:sz w:val="32"/>
          <w:szCs w:val="32"/>
          <w:lang w:val="en-US" w:eastAsia="zh-CN"/>
        </w:rPr>
        <w:t>100</w:t>
      </w:r>
      <w:r>
        <w:rPr>
          <w:rFonts w:hint="eastAsia" w:ascii="仿宋_GB2312" w:eastAsia="仿宋_GB2312"/>
          <w:sz w:val="32"/>
          <w:szCs w:val="32"/>
        </w:rPr>
        <w:t>%，增减变化主要原因是：</w:t>
      </w:r>
      <w:r>
        <w:rPr>
          <w:rFonts w:hint="eastAsia" w:ascii="仿宋_GB2312" w:eastAsia="仿宋_GB2312"/>
          <w:sz w:val="32"/>
          <w:szCs w:val="32"/>
          <w:lang w:eastAsia="zh-CN"/>
        </w:rPr>
        <w:t>本年度新增叠加汇总表</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bookmarkStart w:id="0" w:name="_GoBack"/>
      <w:r>
        <w:rPr>
          <w:rFonts w:hint="eastAsia" w:ascii="仿宋_GB2312" w:eastAsia="仿宋_GB2312"/>
          <w:sz w:val="32"/>
          <w:szCs w:val="32"/>
        </w:rPr>
        <w:t>2018年度政府采购支出总额3,685.63万元，其中：政府采购货物支出3,278.35万元、政府采购工程支出0.00万元、政府采购服务支出407.28万元。</w:t>
      </w:r>
    </w:p>
    <w:bookmarkEnd w:id="0"/>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21辆，价值386.48万元，其中：副部（省）级及以上领导用车0辆、主要领导干部用车0辆、机要通信用车0辆、应急保障用车1辆、执法执勤用车0辆、特种专业技术用车0辆、离退休干部用车0辆、其他用车20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；单位价值50万元以上通用设备2台（套）、单位价值100万元以上专用设备0台（套）。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2018年度，本部门单位预算绩效自评情况：自述有关预算绩效管理和绩效自评开展情况。</w:t>
      </w:r>
      <w:r>
        <w:rPr>
          <w:rFonts w:hint="eastAsia" w:ascii="仿宋_GB2312" w:eastAsia="仿宋_GB2312"/>
          <w:sz w:val="32"/>
          <w:szCs w:val="32"/>
          <w:lang w:eastAsia="zh-CN"/>
        </w:rPr>
        <w:t>我单位共涉及</w:t>
      </w:r>
      <w:r>
        <w:rPr>
          <w:rFonts w:hint="eastAsia" w:ascii="仿宋_GB2312" w:eastAsia="仿宋_GB2312"/>
          <w:sz w:val="32"/>
          <w:szCs w:val="32"/>
          <w:lang w:val="en-US" w:eastAsia="zh-CN"/>
        </w:rPr>
        <w:t>52个绩效评价项目。详见附件。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乌河湖泊生态环境保护实施项目永丰区域污水收集利用项目项目绩效自评综述：根据年初设定的绩效目标，乌河湖泊生态环境保护实施项目永丰区域污水收集利用项目目绩效自评得分为90分。项目全年预算数为641.49万元，执行数为641.49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乌河湖泊污水处理项目绩效自评综述：根据年初设定的绩效目标，乌河湖泊污水处理目绩效自评得分为88分。项目全年预算数为95万元，执行数为95万元，完成预算的1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护林防火经费项目绩效自评综述：根据年初设定的绩效目标，护林防火经费目绩效自评得分为92分。项目全年预算数为12.89万元，执行数为12.89万元，完成预算的1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2017年林地变更调查工作经费项目绩效自评综述：根据年初设定的绩效目标，2017年林地变更调查工作经费目绩效自评得分为90分。项目全年预算数为8万元，执行数为8万元，完成预算的1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乌板乌水公路两侧及103省道两侧防护林管护经费项目绩效自评综述：根据年初设定的绩效目标，乌板乌水公路两侧及103省道两侧防护林管护经费目绩效自评得分为89分。项目全年预算数为500万元，执行数为500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森林病虫害防治检疫经费项目绩效自评综述：根据年初设定的绩效目标，森林病虫害防治检疫经费目绩效自评得分为87分。项目全年预算数为20万元，执行数为20万元，完成预算的1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森林派出所办公楼运行费项目绩效自评综述：根据年初设定的绩效目标，森林派出所办公楼运行费目绩效自评得分为87分。项目全年预算数为35万元，执行数为35万元，完成预算的1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城郊五万亩生态绿化基地建设资金项目绩效自评综述：根据年初设定的绩效目标，城郊五万亩生态绿化基地建设资金目绩效自评得分为89分。项目全年预算数为478.1万元，执行数为478.1万元，完成预算的1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河长制工作经费项目绩效自评综述：根据年初设定的绩效目标，河长制工作经费目绩效自评得分为91分。项目全年预算数为100万元，执行数为100万元，完成预算的1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照壁山水库运行费项目绩效自评综述：根据年初设定的绩效目标，照壁山水库运行费目绩效自评得分为91分。项目全年预算数为30万元，执行数为30万元，完成预算的1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野生动植物管理费项目绩效自评综述：根据年初设定的绩效目标，野生动植物管理费目绩效自评得分为90分。项目全年预算数为1万元，执行数为1万元，完成预算的1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水土保持监督检查项目绩效自评综述：根据年初设定的绩效目标，水土保持监督检查目绩效自评得分为93分。项目全年预算数为3万元，执行数为3万元，完成预算的1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井电双控远程数据传输系统安装项目绩效自评综述：根据年初设定的绩效目标，井电双控远程数据传输系统安装目绩效自评得分为91分。项目全年预算数为20万元，执行数为20万元，完成预算的1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乌县重点水利设施保险费项目绩效自评综述：根据年初设定的绩效目标，乌县重点水利设施保险费目绩效自评得分为93分。项目全年预算数为75万元，执行数为75万元，完成预算的1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2012年山洪灾害项目监测预警平台年度运行维护费项目绩效自评综述：根据年初设定的绩效目标，2012年山洪灾害项目监测预警平台年度运行维护费目绩效自评得分为85分。项目全年预算数为5万元，执行数为5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2018年度防洪物资储备项目绩效自评综述：根据年初设定的绩效目标，2018年度防洪物资储备目绩效自评得分为86分。项目全年预算数为20万元，执行数为71.77万元，完成预算的358.85</w:t>
      </w:r>
      <w:r>
        <w:rPr>
          <w:rFonts w:hint="eastAsia" w:ascii="仿宋_GB2312" w:eastAsia="仿宋_GB2312"/>
          <w:sz w:val="32"/>
          <w:szCs w:val="32"/>
          <w:lang w:val="en-US" w:eastAsia="zh-CN"/>
        </w:rPr>
        <w:t>%</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抗旱服务队年度运行维护费项目绩效自评综述：根据年初设定的绩效目标，抗旱服务队年度运行维护费目绩效自评得分为89分。项目全年预算数为2万元，执行数为2万元，完成预算的1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三角地游园车禁系统及划线经费项目绩效自评综述：根据年初设定的绩效目标，三角地游园车禁系统及划线经费目绩效自评得分为87分。项目全年预算数为13.42万元，执行数为13.42万元，完成预算的1</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2013299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其他组织事务支出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2040106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森林</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其他公共安全支出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2080208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2110302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水体</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2110401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生态保护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2110602</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退耕现金</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2110605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退耕还林工程建设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2110699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其他退耕还林支出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2119901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其他节能环保支出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2120199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其他城乡社区管理事务支出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2120803</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城市建设支出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2121100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农业土地开发资金及对应专项债务收入安排的支出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2130108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病虫害控制</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2130199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其他农业支出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林业事业机构</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森林培育</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林业技术推广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2130209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森林生态效益补偿</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2130211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动植物保护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2130213</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林业执法与监督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林业检疫检测</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2130234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林业防灾减灾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2130299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其他林业支出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水利行业业务管理</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水利工程建设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水利工程运行与维护</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2130310</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水土保持</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防汛</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抗旱</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2130316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农田水利</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2130335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农村人畜饮水</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2130399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其他水利支出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2160599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其他旅游业管理与服务支出</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2299901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其他支出</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1034118C"/>
    <w:rsid w:val="19EA1D90"/>
    <w:rsid w:val="3304709D"/>
    <w:rsid w:val="4572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ody Text Indent"/>
    <w:basedOn w:val="1"/>
    <w:qFormat/>
    <w:uiPriority w:val="0"/>
    <w:pPr>
      <w:spacing w:after="120"/>
      <w:ind w:left="200" w:leftChars="200"/>
    </w:pPr>
  </w:style>
  <w:style w:type="paragraph" w:styleId="4">
    <w:name w:val="Balloon Text"/>
    <w:basedOn w:val="1"/>
    <w:link w:val="10"/>
    <w:semiHidden/>
    <w:unhideWhenUsed/>
    <w:qFormat/>
    <w:uiPriority w:val="99"/>
    <w:rPr>
      <w:sz w:val="18"/>
      <w:szCs w:val="18"/>
    </w:rPr>
  </w:style>
  <w:style w:type="paragraph" w:styleId="5">
    <w:name w:val="Body Text First Indent 2"/>
    <w:basedOn w:val="3"/>
    <w:qFormat/>
    <w:uiPriority w:val="0"/>
    <w:pPr>
      <w:spacing w:before="100" w:beforeAutospacing="1" w:after="100" w:afterAutospacing="1"/>
      <w:ind w:firstLine="200" w:firstLineChars="200"/>
    </w:p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qFormat/>
    <w:uiPriority w:val="0"/>
    <w:rPr>
      <w:rFonts w:ascii="Times New Roman" w:hAnsi="Times New Roman" w:eastAsia="宋体" w:cs="Times New Roman"/>
      <w:szCs w:val="24"/>
    </w:rPr>
  </w:style>
  <w:style w:type="character" w:customStyle="1" w:styleId="10">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1</TotalTime>
  <ScaleCrop>false</ScaleCrop>
  <LinksUpToDate>false</LinksUpToDate>
  <CharactersWithSpaces>5246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GXR</cp:lastModifiedBy>
  <dcterms:modified xsi:type="dcterms:W3CDTF">2019-09-09T23:47:23Z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