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2018年度新疆乌鲁木齐县人民检察院部门决算公开说明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（一）依照法律规定对有关刑事案件行使侦查权；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（二）对刑事案件进行审查，批准或者决定是否逮捕犯罪嫌疑人；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（三）对刑事案件进行审查，决定是否提公诉，对决定提起公诉的案件支持公诉；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（四）依照法律规定提起公益诉讼；</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（五）对诉讼活动实行法律监督；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（六）对判决、裁定等生效法律文书的执行工作实行法律监督；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（七）对监狱、看守所的执行活动实行法律监督；</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（八）法律规定的其他职权。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从决算单位构成看，新疆乌鲁木齐县人民检察院部门决算包括：新疆乌鲁木齐县人民检察院部门本级决算、所属单位决算等。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新疆乌鲁木齐县人民检察院编制数42个，包括行政编制42个，事业编制0个。年末实有人数39人，其中：行政在职39人，事业在职0人。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纳入新疆乌鲁木齐县人民检察院2018年部门决算编制范围的单位名单见下表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新疆乌鲁木齐县人民检察院</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1,562.45万元,与上年相比，增加365.17万元，增长30.5%，增减变化主要原因是：项目资金中拨新办公楼购置办公购置款692860元，高低压柜和变压器设备款803046.43元，农村基础设施款2762200元；支出1,415.54万元,与上年相比，增加257.39万元，增长22.22%，增减变化主要原因是：支付上年项目经费149.58万元及清欠款271.2万元；结余300.52万元，与上年相比，增加146.91万元，增长95.64%。增减变化主要原因是：职工各类奖金未发放及项目正在招标中，尚未支付。</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1,562.45万元，其中：财政拨款收入1,551.28万元，占99.28%；上级补助收入0.00万元，占0.00%；事业收入0.00万元，占0.00%；经营收入0.00万元，占0.00%；附属单位缴款0.00万元，占0.00%；其他收入11.17万元，占0.72%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924.23万元，决算数1,562.45万元，预决算差异率69.05%，差异主要原因项目资金中拨新办公楼购置办公购置款692860元，高低压柜和变压器设备款803046.43元，农村基础设施款2762200元。</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本年支出合计1,415.54万元，其中：基本支出927.75万元，占65.54%；项目支出487.79万元，占34.46%；上缴上级支出0.00万元，占0.00%；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924.23万元，决算数1,415.54万元，预决算差异率53.16%，差异主要原因项目资金中拨新办公楼购置办公购置款692860元，高低压柜和变压器设备款803046.43元，农村基础设施款2762200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1,551.28万元，与上年相比，增加506.44万元，增长48.47%。增减变化的主要原因是：项目资金中拨新办公楼购置办公购置款692860元，高低压柜和变压器设备款803046.43元，农村基础设施款2762200元。财政拨款支出1,415.54万元，与上年相比，增加391.25万元，增长38.2%，增减变化的主要原因是：项目资金中拨新办公楼购置办公购置款692860元，高低压柜和变压器设备款803046.43元，农村基础设施款2762200元。其中：基本支出927.75万元，项目支出487.79万元。财政拨款结转结余263.23万元，与上年相比，增加135.74万元，增长106.47%。增减变化的主要原因是：项目正在招标中，尚未支付。</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924.23万元，决算数1,551.28万元，预决算差异率67.85%，差异主要原因项目资金中拨新办公楼购置办公购置款692860元，高低压柜和变压器设备款803046.43元，农村基础设施款2762200元。财政拨款支出年初预算数924.23万元，决算数1,415.54万元，预决算差异率53.16%，差异主要原因项目资金中拨新办公楼购置办公购置款692860元，高低压柜和变压器设备款803046.43元，农村基础设施款2762200元。</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1,275.06万元。与上年相比，增加230.22万元，增长22.03%。增减变化的主要原因是：项目资金中拨新办公楼购置办公购置款692860元，高低压柜和变压器设备款803046.43元，农村基础设施款2762200元。一般公共预算财政拨款支出1,144.33万元。与上年相比，增加120.04万元，增长11.72%。增减变化的主要原因是：项目资金中拨新办公楼购置办公购置款692860元，高低压柜和变压器设备款803046.43元，农村基础设施款2762200元。其中：按功能分类科目（按类级科目公开），2040401行政运行762.92万元，2040404查办和预防职务犯罪5.00万元，2040405公诉和审判监督5.00万元，2040406侦查监督10.00万元，2040407执行监督10.00万元，2040408控告申诉10.00万元，2040499其他检察支出266.02万元，2080505机关事业单位基本养老保险缴费支出61.96万元，2080506机关事业单位职业年金缴费支出4.36万元，2299901其他支出9.06万元。按经济分类科目（按类级科目公开），工资福利支出691.01万元，商品和服务支出152.36万元，对个人和家庭的支出124.38万元，资本性支出176.58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924.23万元，决算数1,275.06万元，预决算差异率37.96%，差异主要原因项目资金中拨新办公楼购置办公购置款692860元，高低压柜和变压器设备款803046.43元，农村基础设施款2762200元。一般公共预算财政拨款支出年初预算数924.23万元，决算数1,144.33万元，预决算差异率23.81%，差异主要原因项目资金中拨新办公楼购置办公购置款692860元，高低压柜和变压器设备款803046.43元，农村基础设施款2762200元。</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2018年度政府性基金预算财政拨款收入276.22万元，与上年相比，增加276.22万元，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10</w:t>
      </w:r>
      <w:r>
        <w:rPr>
          <w:rFonts w:hint="eastAsia" w:ascii="仿宋_GB2312" w:eastAsia="仿宋_GB2312"/>
          <w:sz w:val="32"/>
          <w:szCs w:val="32"/>
        </w:rPr>
        <w:t>0%。增减变化的主要原因是：</w:t>
      </w:r>
      <w:r>
        <w:rPr>
          <w:rFonts w:hint="eastAsia" w:ascii="仿宋_GB2312" w:eastAsia="仿宋_GB2312"/>
          <w:sz w:val="32"/>
          <w:szCs w:val="32"/>
          <w:lang w:eastAsia="zh-CN"/>
        </w:rPr>
        <w:t>上年度无</w:t>
      </w:r>
      <w:r>
        <w:rPr>
          <w:rFonts w:hint="eastAsia" w:ascii="仿宋_GB2312" w:eastAsia="仿宋_GB2312"/>
          <w:sz w:val="32"/>
          <w:szCs w:val="32"/>
        </w:rPr>
        <w:t>政府性基金预算财政拨款收入。政府性基金预算支出271.21万元。与上年相比，增加271.21万元，</w:t>
      </w:r>
      <w:r>
        <w:rPr>
          <w:rFonts w:hint="eastAsia" w:ascii="仿宋_GB2312" w:eastAsia="仿宋_GB2312"/>
          <w:sz w:val="32"/>
          <w:szCs w:val="32"/>
          <w:lang w:eastAsia="zh-CN"/>
        </w:rPr>
        <w:t>增长</w:t>
      </w:r>
      <w:r>
        <w:rPr>
          <w:rFonts w:hint="eastAsia" w:ascii="仿宋_GB2312" w:eastAsia="仿宋_GB2312"/>
          <w:sz w:val="32"/>
          <w:szCs w:val="32"/>
          <w:lang w:val="en-US" w:eastAsia="zh-CN"/>
        </w:rPr>
        <w:t>10</w:t>
      </w:r>
      <w:r>
        <w:rPr>
          <w:rFonts w:hint="eastAsia" w:ascii="仿宋_GB2312" w:eastAsia="仿宋_GB2312"/>
          <w:sz w:val="32"/>
          <w:szCs w:val="32"/>
        </w:rPr>
        <w:t>0%。增减变化的主要原因是：</w:t>
      </w:r>
      <w:r>
        <w:rPr>
          <w:rFonts w:hint="eastAsia" w:ascii="仿宋_GB2312" w:eastAsia="仿宋_GB2312"/>
          <w:sz w:val="32"/>
          <w:szCs w:val="32"/>
          <w:lang w:eastAsia="zh-CN"/>
        </w:rPr>
        <w:t>上年度无</w:t>
      </w:r>
      <w:r>
        <w:rPr>
          <w:rFonts w:hint="eastAsia" w:ascii="仿宋_GB2312" w:eastAsia="仿宋_GB2312"/>
          <w:sz w:val="32"/>
          <w:szCs w:val="32"/>
        </w:rPr>
        <w:t>政府性基金预算支出。其中：按功能分类科目（按类级科目公开），2120804农村基础设施建设支出271.21万元。按经济分类科目（按类级科目公开），资本性支出271.21万元。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与年初预算数相比情况：政府性基金预算财政拨款收入年初预算数0.00万元，决算数276.22万元，预决算差异率0.00%，差异主要原因</w:t>
      </w:r>
      <w:r>
        <w:rPr>
          <w:rFonts w:hint="eastAsia" w:ascii="仿宋_GB2312" w:eastAsia="仿宋_GB2312"/>
          <w:sz w:val="32"/>
          <w:szCs w:val="32"/>
          <w:lang w:eastAsia="zh-CN"/>
        </w:rPr>
        <w:t>年初无预算安排，年中追加经费</w:t>
      </w:r>
      <w:r>
        <w:rPr>
          <w:rFonts w:hint="eastAsia" w:ascii="仿宋_GB2312" w:eastAsia="仿宋_GB2312"/>
          <w:sz w:val="32"/>
          <w:szCs w:val="32"/>
        </w:rPr>
        <w:t>。政府性基金预算财政拨款支出年初预算数0.00万元，决算数271.21万元，预决算差异率0.00%，差异主要原因</w:t>
      </w:r>
      <w:r>
        <w:rPr>
          <w:rFonts w:hint="eastAsia" w:ascii="仿宋_GB2312" w:eastAsia="仿宋_GB2312"/>
          <w:sz w:val="32"/>
          <w:szCs w:val="32"/>
          <w:lang w:eastAsia="zh-CN"/>
        </w:rPr>
        <w:t>年初无预算安排，年中追加经费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年末结转结余300.52万元。与上年相比，增加146.91万元，增长95.64%。</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其中财政拨款结转结余263.23万元。与上年相比，增加135.74万元，增长106.47%。</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2018年度一般公共预算“三公”经费支出决算30.00万元，比上年减少11.4万元，降低27.54%，减少原因是开源节流。其中，因公出国（境）费支出0.00万元，占0.00%，比上年增加0.0万元，增长0%，增加原因是</w:t>
      </w:r>
      <w:r>
        <w:rPr>
          <w:rFonts w:hint="eastAsia" w:ascii="仿宋_GB2312" w:eastAsia="仿宋_GB2312"/>
          <w:sz w:val="32"/>
          <w:szCs w:val="32"/>
          <w:lang w:eastAsia="zh-CN"/>
        </w:rPr>
        <w:t>无</w:t>
      </w:r>
      <w:r>
        <w:rPr>
          <w:rFonts w:hint="eastAsia" w:ascii="仿宋_GB2312" w:eastAsia="仿宋_GB2312"/>
          <w:sz w:val="32"/>
          <w:szCs w:val="32"/>
        </w:rPr>
        <w:t>因公出国（境）费；公务用车购置及运行维护费支出30.00万元，占100.00%，比上年减少11.4万元，降低27.54%，减少原因是开源节流；公务接待费支出0.00万元，占0.00%，比上年增加0.0万元，增长0%，增加原因是</w:t>
      </w:r>
      <w:r>
        <w:rPr>
          <w:rFonts w:hint="eastAsia" w:ascii="仿宋_GB2312" w:eastAsia="仿宋_GB2312"/>
          <w:sz w:val="32"/>
          <w:szCs w:val="32"/>
          <w:lang w:eastAsia="zh-CN"/>
        </w:rPr>
        <w:t>无</w:t>
      </w:r>
      <w:r>
        <w:rPr>
          <w:rFonts w:hint="eastAsia" w:ascii="仿宋_GB2312" w:eastAsia="仿宋_GB2312"/>
          <w:sz w:val="32"/>
          <w:szCs w:val="32"/>
        </w:rPr>
        <w:t>公务接待费。具体情况如下：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因公出国（境）费支出0.00万元。新疆乌鲁木齐县人民检察院全年使用一般公共预算财政拨款安排的出国（境）团组0个，累计0人次。开支内容包括：</w:t>
      </w:r>
      <w:r>
        <w:rPr>
          <w:rFonts w:hint="eastAsia" w:ascii="仿宋_GB2312" w:eastAsia="仿宋_GB2312"/>
          <w:sz w:val="32"/>
          <w:szCs w:val="32"/>
          <w:lang w:eastAsia="zh-CN"/>
        </w:rPr>
        <w:t>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公务用车购置及运行维护费30.00万元,其中，公务用车购置0.00万元，公务用车运行维护费30.00万元。主要用于公务用车燃料费、维修费、保险费等。单位一般公共财政拨款安排的公务用车购置量0辆，保有量为12辆。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w:t>
      </w:r>
      <w:r>
        <w:rPr>
          <w:rFonts w:hint="eastAsia" w:ascii="仿宋_GB2312" w:eastAsia="仿宋_GB2312"/>
          <w:sz w:val="32"/>
          <w:szCs w:val="32"/>
          <w:lang w:eastAsia="zh-CN"/>
        </w:rPr>
        <w:t>无</w:t>
      </w:r>
      <w:r>
        <w:rPr>
          <w:rFonts w:hint="eastAsia" w:ascii="仿宋_GB2312" w:eastAsia="仿宋_GB2312"/>
          <w:sz w:val="32"/>
          <w:szCs w:val="32"/>
        </w:rPr>
        <w:t>公务接待费等。新疆乌鲁木齐县人民检察院国内公务接待0批次，0人次。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与年初预算数相比情况：一般公共预算“三公”经费支出年初预算数30.50万元，决算数30.00万元，预决算差异率-1.64%，差异主要原因</w:t>
      </w:r>
      <w:r>
        <w:rPr>
          <w:rFonts w:hint="eastAsia" w:ascii="仿宋_GB2312" w:eastAsia="仿宋_GB2312"/>
          <w:sz w:val="32"/>
          <w:szCs w:val="32"/>
          <w:lang w:eastAsia="zh-CN"/>
        </w:rPr>
        <w:t>严格按预算执行，节俭开支</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无</w:t>
      </w:r>
      <w:r>
        <w:rPr>
          <w:rFonts w:hint="eastAsia" w:ascii="仿宋_GB2312" w:hAnsi="宋体" w:eastAsia="仿宋_GB2312" w:cs="宋体"/>
          <w:kern w:val="0"/>
          <w:sz w:val="32"/>
          <w:szCs w:val="32"/>
        </w:rPr>
        <w:t>因公出国（境）费</w:t>
      </w:r>
      <w:r>
        <w:rPr>
          <w:rFonts w:hint="eastAsia" w:ascii="仿宋_GB2312" w:eastAsia="仿宋_GB2312"/>
          <w:sz w:val="32"/>
          <w:szCs w:val="32"/>
        </w:rPr>
        <w:t>；</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预算数30.00万元，决算数30.00万元，预决算差异率0.00%，差异主要原因</w:t>
      </w:r>
      <w:r>
        <w:rPr>
          <w:rFonts w:hint="eastAsia" w:ascii="仿宋_GB2312" w:eastAsia="仿宋_GB2312"/>
          <w:sz w:val="32"/>
          <w:szCs w:val="32"/>
          <w:lang w:eastAsia="zh-CN"/>
        </w:rPr>
        <w:t>严格按预算执行，节俭开支</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预算数0.50万元，决算数0.00万元，预决算差异率-100.00%，差异主要原因</w:t>
      </w:r>
      <w:r>
        <w:rPr>
          <w:rFonts w:hint="eastAsia" w:ascii="仿宋_GB2312" w:eastAsia="仿宋_GB2312"/>
          <w:sz w:val="32"/>
          <w:szCs w:val="32"/>
          <w:lang w:eastAsia="zh-CN"/>
        </w:rPr>
        <w:t>严格按预算执行，节俭开支</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2018年度新疆乌鲁木齐县人民检察院（行政单位和参照公务员法管理事业单位）机关运行经费支出112.36万元，比上年增加13.78万元，增长13.98%，主要原因是</w:t>
      </w:r>
      <w:r>
        <w:rPr>
          <w:rFonts w:hint="eastAsia" w:ascii="仿宋_GB2312" w:eastAsia="仿宋_GB2312"/>
          <w:sz w:val="32"/>
          <w:szCs w:val="32"/>
          <w:lang w:eastAsia="zh-CN"/>
        </w:rPr>
        <w:t>日常公用经费增加</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2018年度政府采购支出总额58.92万元，其中：政府采购货物支出42.30万元、政府采购工程支出0.00万元、政府采购服务支出16.62万元。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12辆，价值263.92万元，其中：副部（省）级及以上领导用车0辆、主要领导干部用车0辆、机要通信用车0辆、应急保障用车0辆、执法执勤用车11辆、特种专业技术用车0辆、离退休干部用车0辆、其他用车1辆，其他用车主要是：</w:t>
      </w:r>
      <w:r>
        <w:rPr>
          <w:rFonts w:hint="eastAsia" w:ascii="仿宋_GB2312" w:eastAsia="仿宋_GB2312"/>
          <w:sz w:val="32"/>
          <w:szCs w:val="32"/>
          <w:lang w:eastAsia="zh-CN"/>
        </w:rPr>
        <w:t>业务用车</w:t>
      </w:r>
      <w:r>
        <w:rPr>
          <w:rFonts w:hint="eastAsia" w:ascii="仿宋_GB2312" w:eastAsia="仿宋_GB2312"/>
          <w:sz w:val="32"/>
          <w:szCs w:val="32"/>
        </w:rPr>
        <w:t>；单位价值50万元以上通用设备0台（套）、单位价值100万元以上专用设备0台（套）。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查办和预防职务犯罪项目绩效自评综述：根据年初设定的绩效目标，查办和预防职务犯罪目绩效自评得分为91分。项目全年预算数为5万元，执行数为5万元，完成预算的1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积极建立与监察委的工作衔接机制，依法办理监察委移送案件3件3人，经审查，提起公诉1件1人，并作出有罪判决；正在办理2件2人。2018年项目资金实际支出数：查办和预防职务犯罪项目5万元。主要用于办案经费不足，如办公费1.43万元、印刷费1万元、电、邮电0.4万元、培训费0.52万元、其他交通费1.3万元、其他支出0.25万元。下一步改进措施：一是牢牢把握总目标要求，全力维护首府社会大局稳定。二是牢牢把握检察机关的宪法定位，全面提升新时代检察监督水平。三是牢牢把握司法体制改革新机遇，着力推动检察工作科学发展。四是牢牢把握“五个过硬”要求，全面加强检察队伍建设。</w:t>
      </w:r>
    </w:p>
    <w:tbl>
      <w:tblPr>
        <w:tblStyle w:val="4"/>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kern w:val="0"/>
                <w:sz w:val="24"/>
                <w:szCs w:val="24"/>
              </w:rPr>
            </w:pPr>
            <w:r>
              <w:rPr>
                <w:rFonts w:hint="eastAsia" w:ascii="宋体" w:hAnsi="宋体" w:cs="宋体"/>
                <w:kern w:val="0"/>
                <w:sz w:val="24"/>
                <w:szCs w:val="24"/>
              </w:rPr>
              <w:t>（</w:t>
            </w:r>
            <w:r>
              <w:rPr>
                <w:kern w:val="0"/>
                <w:sz w:val="24"/>
                <w:szCs w:val="24"/>
              </w:rPr>
              <w:t xml:space="preserve"> 2018  </w:t>
            </w:r>
            <w:r>
              <w:rPr>
                <w:rFonts w:hint="eastAsia" w:ascii="宋体" w:hAnsi="宋体" w:cs="宋体"/>
                <w:kern w:val="0"/>
                <w:sz w:val="24"/>
                <w:szCs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kern w:val="0"/>
                <w:sz w:val="24"/>
                <w:szCs w:val="24"/>
              </w:rPr>
            </w:pPr>
          </w:p>
        </w:tc>
        <w:tc>
          <w:tcPr>
            <w:tcW w:w="1140" w:type="dxa"/>
            <w:tcBorders>
              <w:top w:val="nil"/>
              <w:left w:val="nil"/>
              <w:bottom w:val="nil"/>
              <w:right w:val="nil"/>
            </w:tcBorders>
            <w:noWrap w:val="0"/>
            <w:vAlign w:val="center"/>
          </w:tcPr>
          <w:p>
            <w:pPr>
              <w:widowControl/>
              <w:jc w:val="center"/>
              <w:rPr>
                <w:rFonts w:ascii="宋体"/>
                <w:kern w:val="0"/>
                <w:sz w:val="24"/>
                <w:szCs w:val="24"/>
              </w:rPr>
            </w:pPr>
          </w:p>
        </w:tc>
        <w:tc>
          <w:tcPr>
            <w:tcW w:w="1360" w:type="dxa"/>
            <w:tcBorders>
              <w:top w:val="nil"/>
              <w:left w:val="nil"/>
              <w:bottom w:val="nil"/>
              <w:right w:val="nil"/>
            </w:tcBorders>
            <w:noWrap w:val="0"/>
            <w:vAlign w:val="center"/>
          </w:tcPr>
          <w:p>
            <w:pPr>
              <w:widowControl/>
              <w:jc w:val="center"/>
              <w:rPr>
                <w:rFonts w:ascii="宋体"/>
                <w:kern w:val="0"/>
                <w:sz w:val="24"/>
                <w:szCs w:val="24"/>
              </w:rPr>
            </w:pPr>
          </w:p>
        </w:tc>
        <w:tc>
          <w:tcPr>
            <w:tcW w:w="1080" w:type="dxa"/>
            <w:tcBorders>
              <w:top w:val="nil"/>
              <w:left w:val="nil"/>
              <w:bottom w:val="nil"/>
              <w:right w:val="nil"/>
            </w:tcBorders>
            <w:noWrap w:val="0"/>
            <w:vAlign w:val="center"/>
          </w:tcPr>
          <w:p>
            <w:pPr>
              <w:widowControl/>
              <w:jc w:val="center"/>
              <w:rPr>
                <w:rFonts w:ascii="宋体"/>
                <w:kern w:val="0"/>
                <w:sz w:val="24"/>
                <w:szCs w:val="24"/>
              </w:rPr>
            </w:pPr>
          </w:p>
        </w:tc>
        <w:tc>
          <w:tcPr>
            <w:tcW w:w="880" w:type="dxa"/>
            <w:tcBorders>
              <w:top w:val="nil"/>
              <w:left w:val="nil"/>
              <w:bottom w:val="nil"/>
              <w:right w:val="nil"/>
            </w:tcBorders>
            <w:noWrap w:val="0"/>
            <w:vAlign w:val="center"/>
          </w:tcPr>
          <w:p>
            <w:pPr>
              <w:widowControl/>
              <w:jc w:val="center"/>
              <w:rPr>
                <w:rFonts w:ascii="宋体"/>
                <w:kern w:val="0"/>
                <w:sz w:val="24"/>
                <w:szCs w:val="24"/>
              </w:rPr>
            </w:pPr>
          </w:p>
        </w:tc>
        <w:tc>
          <w:tcPr>
            <w:tcW w:w="2060" w:type="dxa"/>
            <w:tcBorders>
              <w:top w:val="nil"/>
              <w:left w:val="nil"/>
              <w:bottom w:val="nil"/>
              <w:right w:val="nil"/>
            </w:tcBorders>
            <w:noWrap w:val="0"/>
            <w:vAlign w:val="center"/>
          </w:tcPr>
          <w:p>
            <w:pPr>
              <w:widowControl/>
              <w:jc w:val="center"/>
              <w:rPr>
                <w:rFonts w:ascii="宋体"/>
                <w:kern w:val="0"/>
                <w:sz w:val="24"/>
                <w:szCs w:val="24"/>
              </w:rPr>
            </w:pPr>
          </w:p>
        </w:tc>
        <w:tc>
          <w:tcPr>
            <w:tcW w:w="1780" w:type="dxa"/>
            <w:tcBorders>
              <w:top w:val="nil"/>
              <w:left w:val="nil"/>
              <w:bottom w:val="nil"/>
              <w:right w:val="nil"/>
            </w:tcBorders>
            <w:noWrap w:val="0"/>
            <w:vAlign w:val="center"/>
          </w:tcPr>
          <w:p>
            <w:pPr>
              <w:widowControl/>
              <w:jc w:val="center"/>
              <w:rPr>
                <w:rFonts w:ascii="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查办和预防职务犯罪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乌鲁木齐县人民检察院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预算</w:t>
            </w:r>
            <w:r>
              <w:rPr>
                <w:rFonts w:ascii="宋体"/>
                <w:kern w:val="0"/>
                <w:sz w:val="20"/>
                <w:szCs w:val="20"/>
              </w:rPr>
              <w:br w:type="textWrapping"/>
            </w:r>
            <w:r>
              <w:rPr>
                <w:rFonts w:hint="eastAsia" w:ascii="宋体" w:hAnsi="宋体" w:cs="宋体"/>
                <w:kern w:val="0"/>
                <w:sz w:val="20"/>
                <w:szCs w:val="20"/>
              </w:rPr>
              <w:t>执行</w:t>
            </w:r>
            <w:r>
              <w:rPr>
                <w:rFonts w:ascii="宋体"/>
                <w:kern w:val="0"/>
                <w:sz w:val="20"/>
                <w:szCs w:val="20"/>
              </w:rPr>
              <w:br w:type="textWrapping"/>
            </w:r>
            <w:r>
              <w:rPr>
                <w:rFonts w:hint="eastAsia" w:ascii="宋体" w:hAnsi="宋体" w:cs="宋体"/>
                <w:kern w:val="0"/>
                <w:sz w:val="20"/>
                <w:szCs w:val="20"/>
              </w:rPr>
              <w:t>情况</w:t>
            </w:r>
            <w:r>
              <w:rPr>
                <w:rFonts w:ascii="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5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5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kern w:val="0"/>
                <w:sz w:val="20"/>
                <w:szCs w:val="20"/>
              </w:rPr>
            </w:pPr>
            <w:r>
              <w:rPr>
                <w:rFonts w:hint="eastAsia" w:ascii="宋体" w:hAnsi="宋体" w:cs="宋体"/>
                <w:kern w:val="0"/>
                <w:sz w:val="20"/>
                <w:szCs w:val="20"/>
              </w:rPr>
              <w:t>5</w:t>
            </w:r>
          </w:p>
        </w:tc>
        <w:tc>
          <w:tcPr>
            <w:tcW w:w="2060" w:type="dxa"/>
            <w:tcBorders>
              <w:top w:val="nil"/>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5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目标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主要用于办案经费不足，如办公费、水、电、邮电、差旅、公务车辆维护费、培训费等。</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办公费1.43万元、印刷费1万元、电、邮电0.4万元、培训费0.52万元、其他交通费1.3万元、其他支出0.25万元</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绩效</w:t>
            </w:r>
            <w:r>
              <w:rPr>
                <w:rFonts w:ascii="宋体"/>
                <w:kern w:val="0"/>
                <w:sz w:val="20"/>
                <w:szCs w:val="20"/>
              </w:rPr>
              <w:br w:type="textWrapping"/>
            </w:r>
            <w:r>
              <w:rPr>
                <w:rFonts w:hint="eastAsia" w:ascii="宋体" w:hAnsi="宋体" w:cs="宋体"/>
                <w:kern w:val="0"/>
                <w:sz w:val="20"/>
                <w:szCs w:val="20"/>
              </w:rPr>
              <w:t>指标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：办案数量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仿宋"/>
                <w:sz w:val="20"/>
                <w:szCs w:val="20"/>
              </w:rPr>
              <w:t>办理监察委移送案件3件3人</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top"/>
          </w:tcPr>
          <w:p>
            <w:pPr>
              <w:widowControl/>
              <w:spacing w:line="240" w:lineRule="exact"/>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：办案质量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全年无错案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：法定时效</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均在法定期限内审结</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经济效益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社会效益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：履职能力</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提高执法部门的履职能力</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生态效益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ascii="宋体"/>
                <w:kern w:val="0"/>
                <w:sz w:val="20"/>
                <w:szCs w:val="20"/>
              </w:rPr>
              <w:t xml:space="preserve">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可持续影响</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w:t>
            </w:r>
            <w:r>
              <w:rPr>
                <w:rFonts w:ascii="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检察机关满意度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：当事人</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案件当事人满意度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公诉和审判监督项目绩效自评综述：根据年初设定的绩效目标，公诉和审判监督目绩效自评得分为90分。项目全年预算数为5万元，执行数为5万元，完成预算的1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严厉打击各类刑事犯罪。受理审查逮捕案件57件89人，经审查，批准逮捕40件61人，不批准逮捕18件30人；受理移送审查起诉案件166件230人，经审查，提起公诉149件180人，不起诉4件15人。高度重视扫黑除恶、涉暴涉恐专项斗争工作，及时成立专项工作领导小组，依法办理涉黑涉恶犯罪案件7件19人，涉暴涉恐案件5件10人。通过严打，切实为全县经济发展保驾护航。2018年项目资金实际支出数：公诉和审判监督项目5万元。主要用于办案经费不足，如办公费0.78万元、邮电0.37万元、培训费0.92万元、其他交通费2.4万元、其他支出0.53万元。</w:t>
      </w:r>
    </w:p>
    <w:tbl>
      <w:tblPr>
        <w:tblStyle w:val="4"/>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kern w:val="0"/>
                <w:sz w:val="24"/>
                <w:szCs w:val="24"/>
              </w:rPr>
            </w:pPr>
            <w:r>
              <w:rPr>
                <w:rFonts w:hint="eastAsia" w:ascii="宋体" w:hAnsi="宋体" w:cs="宋体"/>
                <w:kern w:val="0"/>
                <w:sz w:val="24"/>
                <w:szCs w:val="24"/>
              </w:rPr>
              <w:t>（</w:t>
            </w:r>
            <w:r>
              <w:rPr>
                <w:kern w:val="0"/>
                <w:sz w:val="24"/>
                <w:szCs w:val="24"/>
              </w:rPr>
              <w:t xml:space="preserve"> 2018  </w:t>
            </w:r>
            <w:r>
              <w:rPr>
                <w:rFonts w:hint="eastAsia" w:ascii="宋体" w:hAnsi="宋体" w:cs="宋体"/>
                <w:kern w:val="0"/>
                <w:sz w:val="24"/>
                <w:szCs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kern w:val="0"/>
                <w:sz w:val="24"/>
                <w:szCs w:val="24"/>
              </w:rPr>
            </w:pPr>
          </w:p>
        </w:tc>
        <w:tc>
          <w:tcPr>
            <w:tcW w:w="1140" w:type="dxa"/>
            <w:tcBorders>
              <w:top w:val="nil"/>
              <w:left w:val="nil"/>
              <w:bottom w:val="nil"/>
              <w:right w:val="nil"/>
            </w:tcBorders>
            <w:noWrap w:val="0"/>
            <w:vAlign w:val="center"/>
          </w:tcPr>
          <w:p>
            <w:pPr>
              <w:widowControl/>
              <w:jc w:val="center"/>
              <w:rPr>
                <w:rFonts w:ascii="宋体"/>
                <w:kern w:val="0"/>
                <w:sz w:val="24"/>
                <w:szCs w:val="24"/>
              </w:rPr>
            </w:pPr>
          </w:p>
        </w:tc>
        <w:tc>
          <w:tcPr>
            <w:tcW w:w="1360" w:type="dxa"/>
            <w:tcBorders>
              <w:top w:val="nil"/>
              <w:left w:val="nil"/>
              <w:bottom w:val="nil"/>
              <w:right w:val="nil"/>
            </w:tcBorders>
            <w:noWrap w:val="0"/>
            <w:vAlign w:val="center"/>
          </w:tcPr>
          <w:p>
            <w:pPr>
              <w:widowControl/>
              <w:jc w:val="center"/>
              <w:rPr>
                <w:rFonts w:ascii="宋体"/>
                <w:kern w:val="0"/>
                <w:sz w:val="24"/>
                <w:szCs w:val="24"/>
              </w:rPr>
            </w:pPr>
          </w:p>
        </w:tc>
        <w:tc>
          <w:tcPr>
            <w:tcW w:w="1080" w:type="dxa"/>
            <w:tcBorders>
              <w:top w:val="nil"/>
              <w:left w:val="nil"/>
              <w:bottom w:val="nil"/>
              <w:right w:val="nil"/>
            </w:tcBorders>
            <w:noWrap w:val="0"/>
            <w:vAlign w:val="center"/>
          </w:tcPr>
          <w:p>
            <w:pPr>
              <w:widowControl/>
              <w:jc w:val="center"/>
              <w:rPr>
                <w:rFonts w:ascii="宋体"/>
                <w:kern w:val="0"/>
                <w:sz w:val="24"/>
                <w:szCs w:val="24"/>
              </w:rPr>
            </w:pPr>
          </w:p>
        </w:tc>
        <w:tc>
          <w:tcPr>
            <w:tcW w:w="880" w:type="dxa"/>
            <w:tcBorders>
              <w:top w:val="nil"/>
              <w:left w:val="nil"/>
              <w:bottom w:val="nil"/>
              <w:right w:val="nil"/>
            </w:tcBorders>
            <w:noWrap w:val="0"/>
            <w:vAlign w:val="center"/>
          </w:tcPr>
          <w:p>
            <w:pPr>
              <w:widowControl/>
              <w:jc w:val="center"/>
              <w:rPr>
                <w:rFonts w:ascii="宋体"/>
                <w:kern w:val="0"/>
                <w:sz w:val="24"/>
                <w:szCs w:val="24"/>
              </w:rPr>
            </w:pPr>
          </w:p>
        </w:tc>
        <w:tc>
          <w:tcPr>
            <w:tcW w:w="2060" w:type="dxa"/>
            <w:tcBorders>
              <w:top w:val="nil"/>
              <w:left w:val="nil"/>
              <w:bottom w:val="nil"/>
              <w:right w:val="nil"/>
            </w:tcBorders>
            <w:noWrap w:val="0"/>
            <w:vAlign w:val="center"/>
          </w:tcPr>
          <w:p>
            <w:pPr>
              <w:widowControl/>
              <w:jc w:val="center"/>
              <w:rPr>
                <w:rFonts w:ascii="宋体"/>
                <w:kern w:val="0"/>
                <w:sz w:val="24"/>
                <w:szCs w:val="24"/>
              </w:rPr>
            </w:pPr>
          </w:p>
        </w:tc>
        <w:tc>
          <w:tcPr>
            <w:tcW w:w="1780" w:type="dxa"/>
            <w:tcBorders>
              <w:top w:val="nil"/>
              <w:left w:val="nil"/>
              <w:bottom w:val="nil"/>
              <w:right w:val="nil"/>
            </w:tcBorders>
            <w:noWrap w:val="0"/>
            <w:vAlign w:val="center"/>
          </w:tcPr>
          <w:p>
            <w:pPr>
              <w:widowControl/>
              <w:jc w:val="center"/>
              <w:rPr>
                <w:rFonts w:ascii="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公诉和审判监督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乌鲁木齐县人民检察院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预算</w:t>
            </w:r>
            <w:r>
              <w:rPr>
                <w:rFonts w:ascii="宋体"/>
                <w:kern w:val="0"/>
                <w:sz w:val="20"/>
                <w:szCs w:val="20"/>
              </w:rPr>
              <w:br w:type="textWrapping"/>
            </w:r>
            <w:r>
              <w:rPr>
                <w:rFonts w:hint="eastAsia" w:ascii="宋体" w:hAnsi="宋体" w:cs="宋体"/>
                <w:kern w:val="0"/>
                <w:sz w:val="20"/>
                <w:szCs w:val="20"/>
              </w:rPr>
              <w:t>执行</w:t>
            </w:r>
            <w:r>
              <w:rPr>
                <w:rFonts w:ascii="宋体"/>
                <w:kern w:val="0"/>
                <w:sz w:val="20"/>
                <w:szCs w:val="20"/>
              </w:rPr>
              <w:br w:type="textWrapping"/>
            </w:r>
            <w:r>
              <w:rPr>
                <w:rFonts w:hint="eastAsia" w:ascii="宋体" w:hAnsi="宋体" w:cs="宋体"/>
                <w:kern w:val="0"/>
                <w:sz w:val="20"/>
                <w:szCs w:val="20"/>
              </w:rPr>
              <w:t>情况</w:t>
            </w:r>
            <w:r>
              <w:rPr>
                <w:rFonts w:ascii="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5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5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kern w:val="0"/>
                <w:sz w:val="20"/>
                <w:szCs w:val="20"/>
              </w:rPr>
            </w:pPr>
            <w:r>
              <w:rPr>
                <w:rFonts w:hint="eastAsia" w:ascii="宋体" w:hAnsi="宋体" w:cs="宋体"/>
                <w:kern w:val="0"/>
                <w:sz w:val="20"/>
                <w:szCs w:val="20"/>
              </w:rPr>
              <w:t>　5</w:t>
            </w:r>
          </w:p>
        </w:tc>
        <w:tc>
          <w:tcPr>
            <w:tcW w:w="2060" w:type="dxa"/>
            <w:tcBorders>
              <w:top w:val="nil"/>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lang w:val="en-US" w:eastAsia="zh-CN"/>
              </w:rPr>
              <w:t>5</w:t>
            </w:r>
            <w:bookmarkStart w:id="0" w:name="_GoBack"/>
            <w:bookmarkEnd w:id="0"/>
            <w:r>
              <w:rPr>
                <w:rFonts w:hint="eastAsia" w:ascii="宋体" w:hAnsi="宋体" w:cs="宋体"/>
                <w:kern w:val="0"/>
                <w:sz w:val="20"/>
                <w:szCs w:val="20"/>
              </w:rPr>
              <w:t>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目标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27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主要用于办案经费不足，如办公费、水、电、邮电、差旅、公务车辆维护费、培训费等。</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办公费0.78万元、邮电0.37万元、培训费0.92万元、其他交通费2.4万元、其他支出0.53万元</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绩效</w:t>
            </w:r>
            <w:r>
              <w:rPr>
                <w:rFonts w:ascii="宋体"/>
                <w:kern w:val="0"/>
                <w:sz w:val="20"/>
                <w:szCs w:val="20"/>
              </w:rPr>
              <w:br w:type="textWrapping"/>
            </w:r>
            <w:r>
              <w:rPr>
                <w:rFonts w:hint="eastAsia" w:ascii="宋体" w:hAnsi="宋体" w:cs="宋体"/>
                <w:kern w:val="0"/>
                <w:sz w:val="20"/>
                <w:szCs w:val="20"/>
              </w:rPr>
              <w:t>指标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：办案数量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sz w:val="20"/>
                <w:szCs w:val="20"/>
              </w:rPr>
              <w:t>审查逮捕案件</w:t>
            </w:r>
            <w:r>
              <w:rPr>
                <w:rFonts w:ascii="宋体" w:hAnsi="宋体" w:cs="宋体"/>
                <w:sz w:val="20"/>
                <w:szCs w:val="20"/>
              </w:rPr>
              <w:t>57</w:t>
            </w:r>
            <w:r>
              <w:rPr>
                <w:rFonts w:hint="eastAsia" w:ascii="宋体" w:hAnsi="宋体" w:cs="宋体"/>
                <w:sz w:val="20"/>
                <w:szCs w:val="20"/>
              </w:rPr>
              <w:t>件</w:t>
            </w:r>
            <w:r>
              <w:rPr>
                <w:rFonts w:ascii="宋体" w:hAnsi="宋体" w:cs="宋体"/>
                <w:sz w:val="20"/>
                <w:szCs w:val="20"/>
              </w:rPr>
              <w:t>89</w:t>
            </w:r>
            <w:r>
              <w:rPr>
                <w:rFonts w:hint="eastAsia" w:ascii="宋体" w:hAnsi="宋体" w:cs="宋体"/>
                <w:sz w:val="20"/>
                <w:szCs w:val="20"/>
              </w:rPr>
              <w:t>人、审查起诉案件</w:t>
            </w:r>
            <w:r>
              <w:rPr>
                <w:rFonts w:ascii="宋体" w:hAnsi="宋体" w:cs="宋体"/>
                <w:sz w:val="20"/>
                <w:szCs w:val="20"/>
              </w:rPr>
              <w:t>166</w:t>
            </w:r>
            <w:r>
              <w:rPr>
                <w:rFonts w:hint="eastAsia" w:ascii="宋体" w:hAnsi="宋体" w:cs="宋体"/>
                <w:sz w:val="20"/>
                <w:szCs w:val="20"/>
              </w:rPr>
              <w:t>件</w:t>
            </w:r>
            <w:r>
              <w:rPr>
                <w:rFonts w:ascii="宋体" w:hAnsi="宋体" w:cs="宋体"/>
                <w:sz w:val="20"/>
                <w:szCs w:val="20"/>
              </w:rPr>
              <w:t>230</w:t>
            </w:r>
            <w:r>
              <w:rPr>
                <w:rFonts w:hint="eastAsia" w:ascii="宋体" w:hAnsi="宋体" w:cs="宋体"/>
                <w:sz w:val="20"/>
                <w:szCs w:val="20"/>
              </w:rPr>
              <w:t>人</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top"/>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：办案质量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全年无错案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：办案时效</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均在法定期限内审结</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经济效益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社会效益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：办案成果</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严厉打击刑事犯罪，维护辖区安定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生态效益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可持续影响</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w:t>
            </w:r>
            <w:r>
              <w:rPr>
                <w:rFonts w:ascii="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检察机关满意度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：案件当事人</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案件当事人满意度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侦查监督项目绩效自评综述：根据年初设定的绩效目标，侦查监督目绩效自评得分为90分。项目全年预算数为10万元，执行数为10万元，完成预算的1</w:t>
      </w:r>
      <w:r>
        <w:rPr>
          <w:rFonts w:hint="eastAsia" w:ascii="仿宋_GB2312" w:eastAsia="仿宋_GB2312"/>
          <w:sz w:val="32"/>
          <w:szCs w:val="32"/>
          <w:lang w:val="en-US" w:eastAsia="zh-CN"/>
        </w:rPr>
        <w:t>00%</w:t>
      </w:r>
      <w:r>
        <w:rPr>
          <w:rFonts w:hint="eastAsia" w:ascii="仿宋_GB2312" w:eastAsia="仿宋_GB2312"/>
          <w:sz w:val="32"/>
          <w:szCs w:val="32"/>
        </w:rPr>
        <w:t>。强力推动刑事检察监督。主要产出和效果：积极构建检警、检法、检律良性互动工作机制。在县公安局挂牌成立侦查监督检察室，并集中对辖区6个基层派出所上半年办理的31起刑事案件及667起治安案件开展了专项执法监督，先后办理立案监督案件7件，侦查监督案件1件。2018年项目资金实际支出数：侦查监督项目10万元。主要用于办案经费不足，如办公费1.23万元、电1.33万元、邮电0.37万元、差旅1.2万元、培训费0.87万元、其他交通费用2.8万元、其他支出2.2万元。</w:t>
      </w:r>
    </w:p>
    <w:tbl>
      <w:tblPr>
        <w:tblStyle w:val="4"/>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kern w:val="0"/>
                <w:sz w:val="24"/>
                <w:szCs w:val="24"/>
              </w:rPr>
            </w:pPr>
            <w:r>
              <w:rPr>
                <w:rFonts w:hint="eastAsia" w:ascii="宋体" w:hAnsi="宋体" w:cs="宋体"/>
                <w:kern w:val="0"/>
                <w:sz w:val="24"/>
                <w:szCs w:val="24"/>
              </w:rPr>
              <w:t>（</w:t>
            </w:r>
            <w:r>
              <w:rPr>
                <w:kern w:val="0"/>
                <w:sz w:val="24"/>
                <w:szCs w:val="24"/>
              </w:rPr>
              <w:t xml:space="preserve"> 2018  </w:t>
            </w:r>
            <w:r>
              <w:rPr>
                <w:rFonts w:hint="eastAsia" w:ascii="宋体" w:hAnsi="宋体" w:cs="宋体"/>
                <w:kern w:val="0"/>
                <w:sz w:val="24"/>
                <w:szCs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kern w:val="0"/>
                <w:sz w:val="24"/>
                <w:szCs w:val="24"/>
              </w:rPr>
            </w:pPr>
          </w:p>
        </w:tc>
        <w:tc>
          <w:tcPr>
            <w:tcW w:w="1140" w:type="dxa"/>
            <w:tcBorders>
              <w:top w:val="nil"/>
              <w:left w:val="nil"/>
              <w:bottom w:val="nil"/>
              <w:right w:val="nil"/>
            </w:tcBorders>
            <w:noWrap w:val="0"/>
            <w:vAlign w:val="center"/>
          </w:tcPr>
          <w:p>
            <w:pPr>
              <w:widowControl/>
              <w:jc w:val="center"/>
              <w:rPr>
                <w:rFonts w:ascii="宋体"/>
                <w:kern w:val="0"/>
                <w:sz w:val="24"/>
                <w:szCs w:val="24"/>
              </w:rPr>
            </w:pPr>
          </w:p>
        </w:tc>
        <w:tc>
          <w:tcPr>
            <w:tcW w:w="1360" w:type="dxa"/>
            <w:tcBorders>
              <w:top w:val="nil"/>
              <w:left w:val="nil"/>
              <w:bottom w:val="nil"/>
              <w:right w:val="nil"/>
            </w:tcBorders>
            <w:noWrap w:val="0"/>
            <w:vAlign w:val="center"/>
          </w:tcPr>
          <w:p>
            <w:pPr>
              <w:widowControl/>
              <w:jc w:val="center"/>
              <w:rPr>
                <w:rFonts w:ascii="宋体"/>
                <w:kern w:val="0"/>
                <w:sz w:val="24"/>
                <w:szCs w:val="24"/>
              </w:rPr>
            </w:pPr>
          </w:p>
        </w:tc>
        <w:tc>
          <w:tcPr>
            <w:tcW w:w="1080" w:type="dxa"/>
            <w:tcBorders>
              <w:top w:val="nil"/>
              <w:left w:val="nil"/>
              <w:bottom w:val="nil"/>
              <w:right w:val="nil"/>
            </w:tcBorders>
            <w:noWrap w:val="0"/>
            <w:vAlign w:val="center"/>
          </w:tcPr>
          <w:p>
            <w:pPr>
              <w:widowControl/>
              <w:jc w:val="center"/>
              <w:rPr>
                <w:rFonts w:ascii="宋体"/>
                <w:kern w:val="0"/>
                <w:sz w:val="24"/>
                <w:szCs w:val="24"/>
              </w:rPr>
            </w:pPr>
          </w:p>
        </w:tc>
        <w:tc>
          <w:tcPr>
            <w:tcW w:w="880" w:type="dxa"/>
            <w:tcBorders>
              <w:top w:val="nil"/>
              <w:left w:val="nil"/>
              <w:bottom w:val="nil"/>
              <w:right w:val="nil"/>
            </w:tcBorders>
            <w:noWrap w:val="0"/>
            <w:vAlign w:val="center"/>
          </w:tcPr>
          <w:p>
            <w:pPr>
              <w:widowControl/>
              <w:jc w:val="center"/>
              <w:rPr>
                <w:rFonts w:ascii="宋体"/>
                <w:kern w:val="0"/>
                <w:sz w:val="24"/>
                <w:szCs w:val="24"/>
              </w:rPr>
            </w:pPr>
          </w:p>
        </w:tc>
        <w:tc>
          <w:tcPr>
            <w:tcW w:w="2060" w:type="dxa"/>
            <w:tcBorders>
              <w:top w:val="nil"/>
              <w:left w:val="nil"/>
              <w:bottom w:val="nil"/>
              <w:right w:val="nil"/>
            </w:tcBorders>
            <w:noWrap w:val="0"/>
            <w:vAlign w:val="center"/>
          </w:tcPr>
          <w:p>
            <w:pPr>
              <w:widowControl/>
              <w:jc w:val="center"/>
              <w:rPr>
                <w:rFonts w:ascii="宋体"/>
                <w:kern w:val="0"/>
                <w:sz w:val="24"/>
                <w:szCs w:val="24"/>
              </w:rPr>
            </w:pPr>
          </w:p>
        </w:tc>
        <w:tc>
          <w:tcPr>
            <w:tcW w:w="1780" w:type="dxa"/>
            <w:tcBorders>
              <w:top w:val="nil"/>
              <w:left w:val="nil"/>
              <w:bottom w:val="nil"/>
              <w:right w:val="nil"/>
            </w:tcBorders>
            <w:noWrap w:val="0"/>
            <w:vAlign w:val="center"/>
          </w:tcPr>
          <w:p>
            <w:pPr>
              <w:widowControl/>
              <w:jc w:val="center"/>
              <w:rPr>
                <w:rFonts w:ascii="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侦查监督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乌鲁木齐县人民检察院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预算</w:t>
            </w:r>
            <w:r>
              <w:rPr>
                <w:rFonts w:ascii="宋体"/>
                <w:kern w:val="0"/>
                <w:sz w:val="20"/>
                <w:szCs w:val="20"/>
              </w:rPr>
              <w:br w:type="textWrapping"/>
            </w:r>
            <w:r>
              <w:rPr>
                <w:rFonts w:hint="eastAsia" w:ascii="宋体" w:hAnsi="宋体" w:cs="宋体"/>
                <w:kern w:val="0"/>
                <w:sz w:val="20"/>
                <w:szCs w:val="20"/>
              </w:rPr>
              <w:t>执行</w:t>
            </w:r>
            <w:r>
              <w:rPr>
                <w:rFonts w:ascii="宋体"/>
                <w:kern w:val="0"/>
                <w:sz w:val="20"/>
                <w:szCs w:val="20"/>
              </w:rPr>
              <w:br w:type="textWrapping"/>
            </w:r>
            <w:r>
              <w:rPr>
                <w:rFonts w:hint="eastAsia" w:ascii="宋体" w:hAnsi="宋体" w:cs="宋体"/>
                <w:kern w:val="0"/>
                <w:sz w:val="20"/>
                <w:szCs w:val="20"/>
              </w:rPr>
              <w:t>情况</w:t>
            </w:r>
            <w:r>
              <w:rPr>
                <w:rFonts w:ascii="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kern w:val="0"/>
                <w:sz w:val="20"/>
                <w:szCs w:val="20"/>
              </w:rPr>
            </w:pPr>
            <w:r>
              <w:rPr>
                <w:rFonts w:hint="eastAsia" w:ascii="宋体" w:hAnsi="宋体" w:cs="宋体"/>
                <w:kern w:val="0"/>
                <w:sz w:val="20"/>
                <w:szCs w:val="20"/>
              </w:rPr>
              <w:t>10</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10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kern w:val="0"/>
                <w:sz w:val="20"/>
                <w:szCs w:val="20"/>
              </w:rPr>
            </w:pPr>
            <w:r>
              <w:rPr>
                <w:rFonts w:hint="eastAsia" w:ascii="宋体" w:hAnsi="宋体" w:cs="宋体"/>
                <w:kern w:val="0"/>
                <w:sz w:val="20"/>
                <w:szCs w:val="20"/>
              </w:rPr>
              <w:t>　10</w:t>
            </w:r>
          </w:p>
        </w:tc>
        <w:tc>
          <w:tcPr>
            <w:tcW w:w="2060" w:type="dxa"/>
            <w:tcBorders>
              <w:top w:val="nil"/>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10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目标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主要用于办案经费不足，如办公费、水、电、邮电、差旅、公务车辆维护费、培训费等。</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办公费1.23万元、电1.33万元、邮电0.37万元、差旅1.2万元、培训费0.87万元、其他交通费用2.8万元、其他支出2.2万元</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绩效</w:t>
            </w:r>
            <w:r>
              <w:rPr>
                <w:rFonts w:ascii="宋体"/>
                <w:kern w:val="0"/>
                <w:sz w:val="20"/>
                <w:szCs w:val="20"/>
              </w:rPr>
              <w:br w:type="textWrapping"/>
            </w:r>
            <w:r>
              <w:rPr>
                <w:rFonts w:hint="eastAsia" w:ascii="宋体" w:hAnsi="宋体" w:cs="宋体"/>
                <w:kern w:val="0"/>
                <w:sz w:val="20"/>
                <w:szCs w:val="20"/>
              </w:rPr>
              <w:t>指标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：办案数量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仿宋" w:hAnsi="仿宋" w:eastAsia="仿宋" w:cs="仿宋"/>
                <w:sz w:val="20"/>
                <w:szCs w:val="20"/>
              </w:rPr>
              <w:t>在县公安局挂牌成立侦查监督检察室，并集中对辖区</w:t>
            </w:r>
            <w:r>
              <w:rPr>
                <w:rFonts w:ascii="仿宋" w:hAnsi="仿宋" w:eastAsia="仿宋" w:cs="仿宋"/>
                <w:sz w:val="20"/>
                <w:szCs w:val="20"/>
              </w:rPr>
              <w:t>6</w:t>
            </w:r>
            <w:r>
              <w:rPr>
                <w:rFonts w:hint="eastAsia" w:ascii="仿宋" w:hAnsi="仿宋" w:eastAsia="仿宋" w:cs="仿宋"/>
                <w:sz w:val="20"/>
                <w:szCs w:val="20"/>
              </w:rPr>
              <w:t>个基层派出所上半年办理的</w:t>
            </w:r>
            <w:r>
              <w:rPr>
                <w:rFonts w:ascii="仿宋" w:hAnsi="仿宋" w:eastAsia="仿宋" w:cs="仿宋"/>
                <w:sz w:val="20"/>
                <w:szCs w:val="20"/>
              </w:rPr>
              <w:t>31</w:t>
            </w:r>
            <w:r>
              <w:rPr>
                <w:rFonts w:hint="eastAsia" w:ascii="仿宋" w:hAnsi="仿宋" w:eastAsia="仿宋" w:cs="仿宋"/>
                <w:sz w:val="20"/>
                <w:szCs w:val="20"/>
              </w:rPr>
              <w:t>起刑事案件及</w:t>
            </w:r>
            <w:r>
              <w:rPr>
                <w:rFonts w:ascii="仿宋" w:hAnsi="仿宋" w:eastAsia="仿宋" w:cs="仿宋"/>
                <w:sz w:val="20"/>
                <w:szCs w:val="20"/>
              </w:rPr>
              <w:t>667</w:t>
            </w:r>
            <w:r>
              <w:rPr>
                <w:rFonts w:hint="eastAsia" w:ascii="仿宋" w:hAnsi="仿宋" w:eastAsia="仿宋" w:cs="仿宋"/>
                <w:sz w:val="20"/>
                <w:szCs w:val="20"/>
              </w:rPr>
              <w:t>起治安案件开展了专项执法监督</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top"/>
          </w:tcPr>
          <w:p>
            <w:pPr>
              <w:widowControl/>
              <w:spacing w:line="240" w:lineRule="exact"/>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：办案质量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全年无错案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：办案时效</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均在法定期限内审结</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经济效益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社会效益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：办案成果</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对刑事案件抽查情况进行监督，防止错案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生态效益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可持续影响</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w:t>
            </w:r>
            <w:r>
              <w:rPr>
                <w:rFonts w:ascii="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检察机关满意度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：案件当事人</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保障当事人合法权益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指标3：公安机关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侦查过程严格按法定程序办理</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执行监督项目绩效自评综述：根据年初设定的绩效目标，执行监督目绩效自评得分为87分。项目全年预算数为10万元，执行数为10万元，完成预算的1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持续深化民事检察监督。办理生效判决、裁定文书监督案件14件，其中提请抗诉案件3件，作出不支持监督决定11件；立案行政公益诉讼案件2件；对县环保局2017年度20件行政执法案件开展行政检察监督；针对县环保局、县市场监督管理局怠于履行职责案发放检察建议2份，被建议机关均予以回复，并进行了整改；积极开展“保障千家万户舌尖上的安全”公益诉讼活动，对全县12家入网餐饮提供者经营活动开展检察监督，护卫食品安全。2018年项目资金实际支出数：执行监督项目10万元。主要用于办案经费不足，如办公费1.37万元、电1.99万元、邮电0.37万元、培训费0.7万元、其他交通费用4.62万元、其他支出0.95万元。</w:t>
      </w:r>
    </w:p>
    <w:tbl>
      <w:tblPr>
        <w:tblStyle w:val="4"/>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kern w:val="0"/>
                <w:sz w:val="24"/>
                <w:szCs w:val="24"/>
              </w:rPr>
            </w:pPr>
            <w:r>
              <w:rPr>
                <w:rFonts w:hint="eastAsia" w:ascii="宋体" w:hAnsi="宋体" w:cs="宋体"/>
                <w:kern w:val="0"/>
                <w:sz w:val="24"/>
                <w:szCs w:val="24"/>
              </w:rPr>
              <w:t>（</w:t>
            </w:r>
            <w:r>
              <w:rPr>
                <w:kern w:val="0"/>
                <w:sz w:val="24"/>
                <w:szCs w:val="24"/>
              </w:rPr>
              <w:t xml:space="preserve"> 2018  </w:t>
            </w:r>
            <w:r>
              <w:rPr>
                <w:rFonts w:hint="eastAsia" w:ascii="宋体" w:hAnsi="宋体" w:cs="宋体"/>
                <w:kern w:val="0"/>
                <w:sz w:val="24"/>
                <w:szCs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kern w:val="0"/>
                <w:sz w:val="24"/>
                <w:szCs w:val="24"/>
              </w:rPr>
            </w:pPr>
          </w:p>
        </w:tc>
        <w:tc>
          <w:tcPr>
            <w:tcW w:w="1140" w:type="dxa"/>
            <w:tcBorders>
              <w:top w:val="nil"/>
              <w:left w:val="nil"/>
              <w:bottom w:val="nil"/>
              <w:right w:val="nil"/>
            </w:tcBorders>
            <w:noWrap w:val="0"/>
            <w:vAlign w:val="center"/>
          </w:tcPr>
          <w:p>
            <w:pPr>
              <w:widowControl/>
              <w:jc w:val="center"/>
              <w:rPr>
                <w:rFonts w:ascii="宋体"/>
                <w:kern w:val="0"/>
                <w:sz w:val="24"/>
                <w:szCs w:val="24"/>
              </w:rPr>
            </w:pPr>
          </w:p>
        </w:tc>
        <w:tc>
          <w:tcPr>
            <w:tcW w:w="1360" w:type="dxa"/>
            <w:tcBorders>
              <w:top w:val="nil"/>
              <w:left w:val="nil"/>
              <w:bottom w:val="nil"/>
              <w:right w:val="nil"/>
            </w:tcBorders>
            <w:noWrap w:val="0"/>
            <w:vAlign w:val="center"/>
          </w:tcPr>
          <w:p>
            <w:pPr>
              <w:widowControl/>
              <w:jc w:val="center"/>
              <w:rPr>
                <w:rFonts w:ascii="宋体"/>
                <w:kern w:val="0"/>
                <w:sz w:val="24"/>
                <w:szCs w:val="24"/>
              </w:rPr>
            </w:pPr>
          </w:p>
        </w:tc>
        <w:tc>
          <w:tcPr>
            <w:tcW w:w="1080" w:type="dxa"/>
            <w:tcBorders>
              <w:top w:val="nil"/>
              <w:left w:val="nil"/>
              <w:bottom w:val="nil"/>
              <w:right w:val="nil"/>
            </w:tcBorders>
            <w:noWrap w:val="0"/>
            <w:vAlign w:val="center"/>
          </w:tcPr>
          <w:p>
            <w:pPr>
              <w:widowControl/>
              <w:jc w:val="center"/>
              <w:rPr>
                <w:rFonts w:ascii="宋体"/>
                <w:kern w:val="0"/>
                <w:sz w:val="24"/>
                <w:szCs w:val="24"/>
              </w:rPr>
            </w:pPr>
          </w:p>
        </w:tc>
        <w:tc>
          <w:tcPr>
            <w:tcW w:w="880" w:type="dxa"/>
            <w:tcBorders>
              <w:top w:val="nil"/>
              <w:left w:val="nil"/>
              <w:bottom w:val="nil"/>
              <w:right w:val="nil"/>
            </w:tcBorders>
            <w:noWrap w:val="0"/>
            <w:vAlign w:val="center"/>
          </w:tcPr>
          <w:p>
            <w:pPr>
              <w:widowControl/>
              <w:jc w:val="center"/>
              <w:rPr>
                <w:rFonts w:ascii="宋体"/>
                <w:kern w:val="0"/>
                <w:sz w:val="24"/>
                <w:szCs w:val="24"/>
              </w:rPr>
            </w:pPr>
          </w:p>
        </w:tc>
        <w:tc>
          <w:tcPr>
            <w:tcW w:w="2060" w:type="dxa"/>
            <w:tcBorders>
              <w:top w:val="nil"/>
              <w:left w:val="nil"/>
              <w:bottom w:val="nil"/>
              <w:right w:val="nil"/>
            </w:tcBorders>
            <w:noWrap w:val="0"/>
            <w:vAlign w:val="center"/>
          </w:tcPr>
          <w:p>
            <w:pPr>
              <w:widowControl/>
              <w:jc w:val="center"/>
              <w:rPr>
                <w:rFonts w:ascii="宋体"/>
                <w:kern w:val="0"/>
                <w:sz w:val="24"/>
                <w:szCs w:val="24"/>
              </w:rPr>
            </w:pPr>
          </w:p>
        </w:tc>
        <w:tc>
          <w:tcPr>
            <w:tcW w:w="1780" w:type="dxa"/>
            <w:tcBorders>
              <w:top w:val="nil"/>
              <w:left w:val="nil"/>
              <w:bottom w:val="nil"/>
              <w:right w:val="nil"/>
            </w:tcBorders>
            <w:noWrap w:val="0"/>
            <w:vAlign w:val="center"/>
          </w:tcPr>
          <w:p>
            <w:pPr>
              <w:widowControl/>
              <w:jc w:val="center"/>
              <w:rPr>
                <w:rFonts w:ascii="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执行监督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乌鲁木齐县人民检察院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预算</w:t>
            </w:r>
            <w:r>
              <w:rPr>
                <w:rFonts w:ascii="宋体"/>
                <w:kern w:val="0"/>
                <w:sz w:val="20"/>
                <w:szCs w:val="20"/>
              </w:rPr>
              <w:br w:type="textWrapping"/>
            </w:r>
            <w:r>
              <w:rPr>
                <w:rFonts w:hint="eastAsia" w:ascii="宋体" w:hAnsi="宋体" w:cs="宋体"/>
                <w:kern w:val="0"/>
                <w:sz w:val="20"/>
                <w:szCs w:val="20"/>
              </w:rPr>
              <w:t>执行</w:t>
            </w:r>
            <w:r>
              <w:rPr>
                <w:rFonts w:ascii="宋体"/>
                <w:kern w:val="0"/>
                <w:sz w:val="20"/>
                <w:szCs w:val="20"/>
              </w:rPr>
              <w:br w:type="textWrapping"/>
            </w:r>
            <w:r>
              <w:rPr>
                <w:rFonts w:hint="eastAsia" w:ascii="宋体" w:hAnsi="宋体" w:cs="宋体"/>
                <w:kern w:val="0"/>
                <w:sz w:val="20"/>
                <w:szCs w:val="20"/>
              </w:rPr>
              <w:t>情况</w:t>
            </w:r>
            <w:r>
              <w:rPr>
                <w:rFonts w:ascii="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10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kern w:val="0"/>
                <w:sz w:val="20"/>
                <w:szCs w:val="20"/>
              </w:rPr>
            </w:pPr>
            <w:r>
              <w:rPr>
                <w:rFonts w:hint="eastAsia" w:ascii="宋体" w:hAnsi="宋体" w:cs="宋体"/>
                <w:kern w:val="0"/>
                <w:sz w:val="20"/>
                <w:szCs w:val="20"/>
              </w:rPr>
              <w:t>　10</w:t>
            </w:r>
          </w:p>
        </w:tc>
        <w:tc>
          <w:tcPr>
            <w:tcW w:w="2060" w:type="dxa"/>
            <w:tcBorders>
              <w:top w:val="nil"/>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10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目标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主要用于办案经费不足，如办公费、水、电、邮电、差旅、公务车辆维护费、培训费等。</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办公费1.37万元、电1.99万元、邮电0.37万元、培训费0.7万元、其他交通费用4.62万元、其他支出0.95万元。</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绩效</w:t>
            </w:r>
            <w:r>
              <w:rPr>
                <w:rFonts w:ascii="宋体"/>
                <w:kern w:val="0"/>
                <w:sz w:val="20"/>
                <w:szCs w:val="20"/>
              </w:rPr>
              <w:br w:type="textWrapping"/>
            </w:r>
            <w:r>
              <w:rPr>
                <w:rFonts w:hint="eastAsia" w:ascii="宋体" w:hAnsi="宋体" w:cs="宋体"/>
                <w:kern w:val="0"/>
                <w:sz w:val="20"/>
                <w:szCs w:val="20"/>
              </w:rPr>
              <w:t>指标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：办案数量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宋体" w:hAnsi="宋体" w:cs="宋体"/>
                <w:sz w:val="20"/>
                <w:szCs w:val="20"/>
              </w:rPr>
              <w:t>办理生效判决、裁定文书监督案件</w:t>
            </w:r>
            <w:r>
              <w:rPr>
                <w:rFonts w:ascii="宋体" w:hAnsi="宋体" w:cs="宋体"/>
                <w:sz w:val="20"/>
                <w:szCs w:val="20"/>
              </w:rPr>
              <w:t>14</w:t>
            </w:r>
            <w:r>
              <w:rPr>
                <w:rFonts w:hint="eastAsia" w:ascii="宋体" w:hAnsi="宋体" w:cs="宋体"/>
                <w:sz w:val="20"/>
                <w:szCs w:val="20"/>
              </w:rPr>
              <w:t>件</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c>
          <w:tcPr>
            <w:tcW w:w="1780" w:type="dxa"/>
            <w:tcBorders>
              <w:top w:val="nil"/>
              <w:left w:val="nil"/>
              <w:bottom w:val="single" w:color="auto" w:sz="4" w:space="0"/>
              <w:right w:val="single" w:color="auto" w:sz="4" w:space="0"/>
            </w:tcBorders>
            <w:noWrap w:val="0"/>
            <w:vAlign w:val="top"/>
          </w:tcPr>
          <w:p>
            <w:pPr>
              <w:widowControl/>
              <w:spacing w:line="240" w:lineRule="exact"/>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：办案质量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全年无错案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：办案时效</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均在法定期限内审结</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经济效益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社会效益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：办案成果</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保障当事人的合法权益，及执法机关的履职能力</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生态效益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可持续影响</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w:t>
            </w:r>
            <w:r>
              <w:rPr>
                <w:rFonts w:ascii="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检察机关满意度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：当事人合法权益</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保障当事人合法权益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指标3：法院</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严格案法定程序执法监督</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控告申诉项目绩效自评综述：根据年初设定的绩效目标，控告申诉目绩效自评得分为87分。项目全年预算数为10万元，执行数为10万元，完成预算的1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依法推进控告申诉检察监督。加强12309检察服务中心利民惠民平台建设，邀请三级人大代表现场体验。依法办理司法救助案件1件，办结申诉案件3件。建立了县司法局法律援助驻县人民检察院工作站。2018年项目资金实际支出数：控告申诉项目10万元。主要用于办案经费不足，如办公费1.78万元、水0.29万元、电2.06万元、邮电0.37万元、培训费0.6万元、其他交通费用3.2万元、其他支出1.7万元。</w:t>
      </w:r>
    </w:p>
    <w:tbl>
      <w:tblPr>
        <w:tblStyle w:val="4"/>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kern w:val="0"/>
                <w:sz w:val="24"/>
                <w:szCs w:val="24"/>
              </w:rPr>
            </w:pPr>
            <w:r>
              <w:rPr>
                <w:rFonts w:hint="eastAsia" w:ascii="宋体" w:hAnsi="宋体" w:cs="宋体"/>
                <w:kern w:val="0"/>
                <w:sz w:val="24"/>
                <w:szCs w:val="24"/>
              </w:rPr>
              <w:t>（</w:t>
            </w:r>
            <w:r>
              <w:rPr>
                <w:kern w:val="0"/>
                <w:sz w:val="24"/>
                <w:szCs w:val="24"/>
              </w:rPr>
              <w:t xml:space="preserve"> 2018  </w:t>
            </w:r>
            <w:r>
              <w:rPr>
                <w:rFonts w:hint="eastAsia" w:ascii="宋体" w:hAnsi="宋体" w:cs="宋体"/>
                <w:kern w:val="0"/>
                <w:sz w:val="24"/>
                <w:szCs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kern w:val="0"/>
                <w:sz w:val="24"/>
                <w:szCs w:val="24"/>
              </w:rPr>
            </w:pPr>
          </w:p>
        </w:tc>
        <w:tc>
          <w:tcPr>
            <w:tcW w:w="1140" w:type="dxa"/>
            <w:tcBorders>
              <w:top w:val="nil"/>
              <w:left w:val="nil"/>
              <w:bottom w:val="nil"/>
              <w:right w:val="nil"/>
            </w:tcBorders>
            <w:noWrap w:val="0"/>
            <w:vAlign w:val="center"/>
          </w:tcPr>
          <w:p>
            <w:pPr>
              <w:widowControl/>
              <w:jc w:val="center"/>
              <w:rPr>
                <w:rFonts w:ascii="宋体"/>
                <w:kern w:val="0"/>
                <w:sz w:val="24"/>
                <w:szCs w:val="24"/>
              </w:rPr>
            </w:pPr>
          </w:p>
        </w:tc>
        <w:tc>
          <w:tcPr>
            <w:tcW w:w="1360" w:type="dxa"/>
            <w:tcBorders>
              <w:top w:val="nil"/>
              <w:left w:val="nil"/>
              <w:bottom w:val="nil"/>
              <w:right w:val="nil"/>
            </w:tcBorders>
            <w:noWrap w:val="0"/>
            <w:vAlign w:val="center"/>
          </w:tcPr>
          <w:p>
            <w:pPr>
              <w:widowControl/>
              <w:jc w:val="center"/>
              <w:rPr>
                <w:rFonts w:ascii="宋体"/>
                <w:kern w:val="0"/>
                <w:sz w:val="24"/>
                <w:szCs w:val="24"/>
              </w:rPr>
            </w:pPr>
          </w:p>
        </w:tc>
        <w:tc>
          <w:tcPr>
            <w:tcW w:w="1080" w:type="dxa"/>
            <w:tcBorders>
              <w:top w:val="nil"/>
              <w:left w:val="nil"/>
              <w:bottom w:val="nil"/>
              <w:right w:val="nil"/>
            </w:tcBorders>
            <w:noWrap w:val="0"/>
            <w:vAlign w:val="center"/>
          </w:tcPr>
          <w:p>
            <w:pPr>
              <w:widowControl/>
              <w:jc w:val="center"/>
              <w:rPr>
                <w:rFonts w:ascii="宋体"/>
                <w:kern w:val="0"/>
                <w:sz w:val="24"/>
                <w:szCs w:val="24"/>
              </w:rPr>
            </w:pPr>
          </w:p>
        </w:tc>
        <w:tc>
          <w:tcPr>
            <w:tcW w:w="880" w:type="dxa"/>
            <w:tcBorders>
              <w:top w:val="nil"/>
              <w:left w:val="nil"/>
              <w:bottom w:val="nil"/>
              <w:right w:val="nil"/>
            </w:tcBorders>
            <w:noWrap w:val="0"/>
            <w:vAlign w:val="center"/>
          </w:tcPr>
          <w:p>
            <w:pPr>
              <w:widowControl/>
              <w:jc w:val="center"/>
              <w:rPr>
                <w:rFonts w:ascii="宋体"/>
                <w:kern w:val="0"/>
                <w:sz w:val="24"/>
                <w:szCs w:val="24"/>
              </w:rPr>
            </w:pPr>
          </w:p>
        </w:tc>
        <w:tc>
          <w:tcPr>
            <w:tcW w:w="2060" w:type="dxa"/>
            <w:tcBorders>
              <w:top w:val="nil"/>
              <w:left w:val="nil"/>
              <w:bottom w:val="nil"/>
              <w:right w:val="nil"/>
            </w:tcBorders>
            <w:noWrap w:val="0"/>
            <w:vAlign w:val="center"/>
          </w:tcPr>
          <w:p>
            <w:pPr>
              <w:widowControl/>
              <w:jc w:val="center"/>
              <w:rPr>
                <w:rFonts w:ascii="宋体"/>
                <w:kern w:val="0"/>
                <w:sz w:val="24"/>
                <w:szCs w:val="24"/>
              </w:rPr>
            </w:pPr>
          </w:p>
        </w:tc>
        <w:tc>
          <w:tcPr>
            <w:tcW w:w="1780" w:type="dxa"/>
            <w:tcBorders>
              <w:top w:val="nil"/>
              <w:left w:val="nil"/>
              <w:bottom w:val="nil"/>
              <w:right w:val="nil"/>
            </w:tcBorders>
            <w:noWrap w:val="0"/>
            <w:vAlign w:val="center"/>
          </w:tcPr>
          <w:p>
            <w:pPr>
              <w:widowControl/>
              <w:jc w:val="center"/>
              <w:rPr>
                <w:rFonts w:ascii="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控告申诉项目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乌鲁木齐县人民检察院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预算</w:t>
            </w:r>
            <w:r>
              <w:rPr>
                <w:rFonts w:ascii="宋体"/>
                <w:kern w:val="0"/>
                <w:sz w:val="20"/>
                <w:szCs w:val="20"/>
              </w:rPr>
              <w:br w:type="textWrapping"/>
            </w:r>
            <w:r>
              <w:rPr>
                <w:rFonts w:hint="eastAsia" w:ascii="宋体" w:hAnsi="宋体" w:cs="宋体"/>
                <w:kern w:val="0"/>
                <w:sz w:val="20"/>
                <w:szCs w:val="20"/>
              </w:rPr>
              <w:t>执行</w:t>
            </w:r>
            <w:r>
              <w:rPr>
                <w:rFonts w:ascii="宋体"/>
                <w:kern w:val="0"/>
                <w:sz w:val="20"/>
                <w:szCs w:val="20"/>
              </w:rPr>
              <w:br w:type="textWrapping"/>
            </w:r>
            <w:r>
              <w:rPr>
                <w:rFonts w:hint="eastAsia" w:ascii="宋体" w:hAnsi="宋体" w:cs="宋体"/>
                <w:kern w:val="0"/>
                <w:sz w:val="20"/>
                <w:szCs w:val="20"/>
              </w:rPr>
              <w:t>情况</w:t>
            </w:r>
            <w:r>
              <w:rPr>
                <w:rFonts w:ascii="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10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　</w:t>
            </w:r>
          </w:p>
        </w:tc>
        <w:tc>
          <w:tcPr>
            <w:tcW w:w="2060" w:type="dxa"/>
            <w:tcBorders>
              <w:top w:val="nil"/>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10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目标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主要用于办案经费不足，如办公费、水、电、邮电、差旅、公务车辆维护费、培训费等。</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w:t>
            </w:r>
            <w:r>
              <w:rPr>
                <w:rStyle w:val="6"/>
                <w:rFonts w:hint="eastAsia" w:ascii="宋体" w:hAnsi="宋体" w:cs="宋体"/>
                <w:b w:val="0"/>
                <w:bCs w:val="0"/>
                <w:spacing w:val="-4"/>
                <w:sz w:val="20"/>
                <w:szCs w:val="20"/>
              </w:rPr>
              <w:t>办公费1.78万元、水0.29万元、电2.06万元、邮电0.37万元、培训费0.6万元、其他交通费用3.2万元、其他支出1.7万元。</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绩效</w:t>
            </w:r>
            <w:r>
              <w:rPr>
                <w:rFonts w:ascii="宋体"/>
                <w:kern w:val="0"/>
                <w:sz w:val="20"/>
                <w:szCs w:val="20"/>
              </w:rPr>
              <w:br w:type="textWrapping"/>
            </w:r>
            <w:r>
              <w:rPr>
                <w:rFonts w:hint="eastAsia" w:ascii="宋体" w:hAnsi="宋体" w:cs="宋体"/>
                <w:kern w:val="0"/>
                <w:sz w:val="20"/>
                <w:szCs w:val="20"/>
              </w:rPr>
              <w:t>指标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：办案数量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cs="宋体"/>
                <w:kern w:val="0"/>
                <w:sz w:val="20"/>
                <w:szCs w:val="20"/>
              </w:rPr>
            </w:pPr>
            <w:r>
              <w:rPr>
                <w:rFonts w:hint="eastAsia" w:ascii="仿宋" w:hAnsi="仿宋" w:eastAsia="仿宋" w:cs="仿宋"/>
                <w:sz w:val="20"/>
                <w:szCs w:val="20"/>
              </w:rPr>
              <w:t>办理司法救助案件</w:t>
            </w:r>
            <w:r>
              <w:rPr>
                <w:rFonts w:ascii="仿宋" w:hAnsi="仿宋" w:eastAsia="仿宋" w:cs="仿宋"/>
                <w:sz w:val="20"/>
                <w:szCs w:val="20"/>
              </w:rPr>
              <w:t>1</w:t>
            </w:r>
            <w:r>
              <w:rPr>
                <w:rFonts w:hint="eastAsia" w:ascii="仿宋" w:hAnsi="仿宋" w:eastAsia="仿宋" w:cs="仿宋"/>
                <w:sz w:val="20"/>
                <w:szCs w:val="20"/>
              </w:rPr>
              <w:t>件，办结申诉案件</w:t>
            </w:r>
            <w:r>
              <w:rPr>
                <w:rFonts w:ascii="仿宋" w:hAnsi="仿宋" w:eastAsia="仿宋" w:cs="仿宋"/>
                <w:sz w:val="20"/>
                <w:szCs w:val="20"/>
              </w:rPr>
              <w:t>3</w:t>
            </w:r>
            <w:r>
              <w:rPr>
                <w:rFonts w:hint="eastAsia" w:ascii="仿宋" w:hAnsi="仿宋" w:eastAsia="仿宋" w:cs="仿宋"/>
                <w:sz w:val="20"/>
                <w:szCs w:val="20"/>
              </w:rPr>
              <w:t>件</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c>
          <w:tcPr>
            <w:tcW w:w="1780" w:type="dxa"/>
            <w:tcBorders>
              <w:top w:val="nil"/>
              <w:left w:val="nil"/>
              <w:bottom w:val="single" w:color="auto" w:sz="4" w:space="0"/>
              <w:right w:val="single" w:color="auto" w:sz="4" w:space="0"/>
            </w:tcBorders>
            <w:noWrap w:val="0"/>
            <w:vAlign w:val="top"/>
          </w:tcPr>
          <w:p>
            <w:pPr>
              <w:widowControl/>
              <w:spacing w:line="240" w:lineRule="exact"/>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：办案质量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全年无错案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：办案时效</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均在法定期限内审结</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经济效益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社会效益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：办案成果</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接待群众来信来访，防范冤假错案</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生态效益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可持续影响</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w:t>
            </w:r>
            <w:r>
              <w:rPr>
                <w:rFonts w:ascii="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检察机关满意度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：当事人合法权益</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案件当事人满意度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高低压柜和变压器项目绩效自评综述：根据年初设定的绩效目标，高低压柜和变压器目绩效自评得分为90分。项目全年预算数为80.3万元，执行数为80.3万元，完成预算的1</w:t>
      </w:r>
      <w:r>
        <w:rPr>
          <w:rFonts w:hint="eastAsia" w:ascii="仿宋_GB2312" w:eastAsia="仿宋_GB2312"/>
          <w:sz w:val="32"/>
          <w:szCs w:val="32"/>
          <w:lang w:val="en-US" w:eastAsia="zh-CN"/>
        </w:rPr>
        <w:t>00%</w:t>
      </w:r>
      <w:r>
        <w:rPr>
          <w:rFonts w:hint="eastAsia" w:ascii="仿宋_GB2312" w:eastAsia="仿宋_GB2312"/>
          <w:sz w:val="32"/>
          <w:szCs w:val="32"/>
        </w:rPr>
        <w:t>。主要产出和效果：高低压柜和变压器项目已全部完成设定目标并投入使用。 2018年6月，新办案用房和技术用房已正式投入使用。高低压柜和变压器项目按施工进度支付，2016年12月申请支付93.53万元，2018年申请支付80.3万元，现余6.17万元。</w:t>
      </w:r>
    </w:p>
    <w:tbl>
      <w:tblPr>
        <w:tblStyle w:val="4"/>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kern w:val="0"/>
                <w:sz w:val="24"/>
                <w:szCs w:val="24"/>
              </w:rPr>
            </w:pPr>
            <w:r>
              <w:rPr>
                <w:rFonts w:hint="eastAsia" w:ascii="宋体" w:hAnsi="宋体" w:cs="宋体"/>
                <w:kern w:val="0"/>
                <w:sz w:val="24"/>
                <w:szCs w:val="24"/>
              </w:rPr>
              <w:t>（</w:t>
            </w:r>
            <w:r>
              <w:rPr>
                <w:kern w:val="0"/>
                <w:sz w:val="24"/>
                <w:szCs w:val="24"/>
              </w:rPr>
              <w:t xml:space="preserve"> 2018  </w:t>
            </w:r>
            <w:r>
              <w:rPr>
                <w:rFonts w:hint="eastAsia" w:ascii="宋体" w:hAnsi="宋体" w:cs="宋体"/>
                <w:kern w:val="0"/>
                <w:sz w:val="24"/>
                <w:szCs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kern w:val="0"/>
                <w:sz w:val="24"/>
                <w:szCs w:val="24"/>
              </w:rPr>
            </w:pPr>
          </w:p>
        </w:tc>
        <w:tc>
          <w:tcPr>
            <w:tcW w:w="1140" w:type="dxa"/>
            <w:tcBorders>
              <w:top w:val="nil"/>
              <w:left w:val="nil"/>
              <w:bottom w:val="nil"/>
              <w:right w:val="nil"/>
            </w:tcBorders>
            <w:noWrap w:val="0"/>
            <w:vAlign w:val="center"/>
          </w:tcPr>
          <w:p>
            <w:pPr>
              <w:widowControl/>
              <w:jc w:val="center"/>
              <w:rPr>
                <w:rFonts w:ascii="宋体"/>
                <w:kern w:val="0"/>
                <w:sz w:val="24"/>
                <w:szCs w:val="24"/>
              </w:rPr>
            </w:pPr>
          </w:p>
        </w:tc>
        <w:tc>
          <w:tcPr>
            <w:tcW w:w="1360" w:type="dxa"/>
            <w:tcBorders>
              <w:top w:val="nil"/>
              <w:left w:val="nil"/>
              <w:bottom w:val="nil"/>
              <w:right w:val="nil"/>
            </w:tcBorders>
            <w:noWrap w:val="0"/>
            <w:vAlign w:val="center"/>
          </w:tcPr>
          <w:p>
            <w:pPr>
              <w:widowControl/>
              <w:jc w:val="center"/>
              <w:rPr>
                <w:rFonts w:ascii="宋体"/>
                <w:kern w:val="0"/>
                <w:sz w:val="24"/>
                <w:szCs w:val="24"/>
              </w:rPr>
            </w:pPr>
          </w:p>
        </w:tc>
        <w:tc>
          <w:tcPr>
            <w:tcW w:w="1080" w:type="dxa"/>
            <w:tcBorders>
              <w:top w:val="nil"/>
              <w:left w:val="nil"/>
              <w:bottom w:val="nil"/>
              <w:right w:val="nil"/>
            </w:tcBorders>
            <w:noWrap w:val="0"/>
            <w:vAlign w:val="center"/>
          </w:tcPr>
          <w:p>
            <w:pPr>
              <w:widowControl/>
              <w:jc w:val="center"/>
              <w:rPr>
                <w:rFonts w:ascii="宋体"/>
                <w:kern w:val="0"/>
                <w:sz w:val="24"/>
                <w:szCs w:val="24"/>
              </w:rPr>
            </w:pPr>
          </w:p>
        </w:tc>
        <w:tc>
          <w:tcPr>
            <w:tcW w:w="880" w:type="dxa"/>
            <w:tcBorders>
              <w:top w:val="nil"/>
              <w:left w:val="nil"/>
              <w:bottom w:val="nil"/>
              <w:right w:val="nil"/>
            </w:tcBorders>
            <w:noWrap w:val="0"/>
            <w:vAlign w:val="center"/>
          </w:tcPr>
          <w:p>
            <w:pPr>
              <w:widowControl/>
              <w:jc w:val="center"/>
              <w:rPr>
                <w:rFonts w:ascii="宋体"/>
                <w:kern w:val="0"/>
                <w:sz w:val="24"/>
                <w:szCs w:val="24"/>
              </w:rPr>
            </w:pPr>
          </w:p>
        </w:tc>
        <w:tc>
          <w:tcPr>
            <w:tcW w:w="2060" w:type="dxa"/>
            <w:tcBorders>
              <w:top w:val="nil"/>
              <w:left w:val="nil"/>
              <w:bottom w:val="nil"/>
              <w:right w:val="nil"/>
            </w:tcBorders>
            <w:noWrap w:val="0"/>
            <w:vAlign w:val="center"/>
          </w:tcPr>
          <w:p>
            <w:pPr>
              <w:widowControl/>
              <w:jc w:val="center"/>
              <w:rPr>
                <w:rFonts w:ascii="宋体"/>
                <w:kern w:val="0"/>
                <w:sz w:val="24"/>
                <w:szCs w:val="24"/>
              </w:rPr>
            </w:pPr>
          </w:p>
        </w:tc>
        <w:tc>
          <w:tcPr>
            <w:tcW w:w="1780" w:type="dxa"/>
            <w:tcBorders>
              <w:top w:val="nil"/>
              <w:left w:val="nil"/>
              <w:bottom w:val="nil"/>
              <w:right w:val="nil"/>
            </w:tcBorders>
            <w:noWrap w:val="0"/>
            <w:vAlign w:val="center"/>
          </w:tcPr>
          <w:p>
            <w:pPr>
              <w:widowControl/>
              <w:jc w:val="center"/>
              <w:rPr>
                <w:rFonts w:ascii="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高低压柜和变压器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乌鲁木齐县人民检察院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预算</w:t>
            </w:r>
            <w:r>
              <w:rPr>
                <w:rFonts w:ascii="宋体"/>
                <w:kern w:val="0"/>
                <w:sz w:val="20"/>
                <w:szCs w:val="20"/>
              </w:rPr>
              <w:br w:type="textWrapping"/>
            </w:r>
            <w:r>
              <w:rPr>
                <w:rFonts w:hint="eastAsia" w:ascii="宋体" w:hAnsi="宋体" w:cs="宋体"/>
                <w:kern w:val="0"/>
                <w:sz w:val="20"/>
                <w:szCs w:val="20"/>
              </w:rPr>
              <w:t>执行</w:t>
            </w:r>
            <w:r>
              <w:rPr>
                <w:rFonts w:ascii="宋体"/>
                <w:kern w:val="0"/>
                <w:sz w:val="20"/>
                <w:szCs w:val="20"/>
              </w:rPr>
              <w:br w:type="textWrapping"/>
            </w:r>
            <w:r>
              <w:rPr>
                <w:rFonts w:hint="eastAsia" w:ascii="宋体" w:hAnsi="宋体" w:cs="宋体"/>
                <w:kern w:val="0"/>
                <w:sz w:val="20"/>
                <w:szCs w:val="20"/>
              </w:rPr>
              <w:t>情况</w:t>
            </w:r>
            <w:r>
              <w:rPr>
                <w:rFonts w:ascii="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80.3</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80.3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kern w:val="0"/>
                <w:sz w:val="20"/>
                <w:szCs w:val="20"/>
              </w:rPr>
            </w:pPr>
            <w:r>
              <w:rPr>
                <w:rFonts w:hint="eastAsia" w:ascii="宋体"/>
                <w:kern w:val="0"/>
                <w:sz w:val="20"/>
                <w:szCs w:val="20"/>
              </w:rPr>
              <w:t>80.3</w:t>
            </w:r>
          </w:p>
        </w:tc>
        <w:tc>
          <w:tcPr>
            <w:tcW w:w="2060" w:type="dxa"/>
            <w:tcBorders>
              <w:top w:val="nil"/>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80.3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目标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满足新办案用房和技术用房及县档案局正常供电的需要。</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满足新办案用房和技术用房及县档案局正常供电的需要。</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绩效</w:t>
            </w:r>
            <w:r>
              <w:rPr>
                <w:rFonts w:ascii="宋体"/>
                <w:kern w:val="0"/>
                <w:sz w:val="20"/>
                <w:szCs w:val="20"/>
              </w:rPr>
              <w:br w:type="textWrapping"/>
            </w:r>
            <w:r>
              <w:rPr>
                <w:rFonts w:hint="eastAsia" w:ascii="宋体" w:hAnsi="宋体" w:cs="宋体"/>
                <w:kern w:val="0"/>
                <w:sz w:val="20"/>
                <w:szCs w:val="20"/>
              </w:rPr>
              <w:t>指标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：购买数量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cs="宋体"/>
                <w:kern w:val="0"/>
                <w:sz w:val="20"/>
                <w:szCs w:val="20"/>
              </w:rPr>
            </w:pPr>
            <w:r>
              <w:rPr>
                <w:rFonts w:hint="eastAsia" w:ascii="宋体" w:cs="宋体"/>
                <w:kern w:val="0"/>
                <w:sz w:val="20"/>
                <w:szCs w:val="20"/>
              </w:rPr>
              <w:t>按招标数量执行</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top"/>
          </w:tcPr>
          <w:p>
            <w:pPr>
              <w:widowControl/>
              <w:spacing w:line="240" w:lineRule="exact"/>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：供货质量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项目完成验收合格</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：合同执行时间</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hint="eastAsia" w:ascii="宋体"/>
                <w:kern w:val="0"/>
                <w:sz w:val="20"/>
                <w:szCs w:val="20"/>
              </w:rPr>
            </w:pPr>
            <w:r>
              <w:rPr>
                <w:rFonts w:hint="eastAsia" w:ascii="宋体"/>
                <w:kern w:val="0"/>
                <w:sz w:val="20"/>
                <w:szCs w:val="20"/>
              </w:rPr>
              <w:t>按招标约定时间完成</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经济效益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社会效益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：项目成果</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保障县检察院及档案局等多家单位的供电</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生态效益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可持续影响</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w:t>
            </w:r>
            <w:r>
              <w:rPr>
                <w:rFonts w:ascii="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检察机关、档案局满意</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：施工方</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noWrap w:val="0"/>
            <w:vAlign w:val="center"/>
          </w:tcPr>
          <w:p>
            <w:pPr>
              <w:widowControl/>
              <w:jc w:val="left"/>
              <w:rPr>
                <w:rFonts w:hint="eastAsia" w:ascii="宋体"/>
                <w:kern w:val="0"/>
                <w:sz w:val="20"/>
                <w:szCs w:val="20"/>
              </w:rPr>
            </w:pPr>
            <w:r>
              <w:rPr>
                <w:rFonts w:hint="eastAsia" w:ascii="宋体"/>
                <w:kern w:val="0"/>
                <w:sz w:val="20"/>
                <w:szCs w:val="20"/>
              </w:rPr>
              <w:t>施工单位满意</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“两房”建设项目绩效自评综述：根据年初设定的绩效目标，“两房”建设目绩效自评得分为89分。项目全年预算数为276.22万元，执行数为271.21万元，完成预算的98.1</w:t>
      </w:r>
      <w:r>
        <w:rPr>
          <w:rFonts w:hint="eastAsia" w:ascii="仿宋_GB2312" w:eastAsia="仿宋_GB2312"/>
          <w:sz w:val="32"/>
          <w:szCs w:val="32"/>
          <w:lang w:val="en-US" w:eastAsia="zh-CN"/>
        </w:rPr>
        <w:t>9%</w:t>
      </w:r>
      <w:r>
        <w:rPr>
          <w:rFonts w:hint="eastAsia" w:ascii="仿宋_GB2312" w:eastAsia="仿宋_GB2312"/>
          <w:sz w:val="32"/>
          <w:szCs w:val="32"/>
        </w:rPr>
        <w:t>。主要产出和效果：清理新办案用房和技术用房基建欠款以及工程监理、设计、电梯费用。2018年，县财政安排资金276.22万元用于清理我院新办公用房和技术用房欠款，现已清理工程欠款、监理费、电梯费共计271.21万元。尚有设计费5万元余元未支付。</w:t>
      </w:r>
    </w:p>
    <w:tbl>
      <w:tblPr>
        <w:tblStyle w:val="4"/>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kern w:val="0"/>
                <w:sz w:val="24"/>
                <w:szCs w:val="24"/>
              </w:rPr>
            </w:pPr>
            <w:r>
              <w:rPr>
                <w:rFonts w:hint="eastAsia" w:ascii="宋体" w:hAnsi="宋体" w:cs="宋体"/>
                <w:kern w:val="0"/>
                <w:sz w:val="24"/>
                <w:szCs w:val="24"/>
              </w:rPr>
              <w:t>（</w:t>
            </w:r>
            <w:r>
              <w:rPr>
                <w:kern w:val="0"/>
                <w:sz w:val="24"/>
                <w:szCs w:val="24"/>
              </w:rPr>
              <w:t xml:space="preserve"> 2018  </w:t>
            </w:r>
            <w:r>
              <w:rPr>
                <w:rFonts w:hint="eastAsia" w:ascii="宋体" w:hAnsi="宋体" w:cs="宋体"/>
                <w:kern w:val="0"/>
                <w:sz w:val="24"/>
                <w:szCs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kern w:val="0"/>
                <w:sz w:val="24"/>
                <w:szCs w:val="24"/>
              </w:rPr>
            </w:pPr>
          </w:p>
        </w:tc>
        <w:tc>
          <w:tcPr>
            <w:tcW w:w="1140" w:type="dxa"/>
            <w:tcBorders>
              <w:top w:val="nil"/>
              <w:left w:val="nil"/>
              <w:bottom w:val="nil"/>
              <w:right w:val="nil"/>
            </w:tcBorders>
            <w:noWrap w:val="0"/>
            <w:vAlign w:val="center"/>
          </w:tcPr>
          <w:p>
            <w:pPr>
              <w:widowControl/>
              <w:jc w:val="center"/>
              <w:rPr>
                <w:rFonts w:ascii="宋体"/>
                <w:kern w:val="0"/>
                <w:sz w:val="24"/>
                <w:szCs w:val="24"/>
              </w:rPr>
            </w:pPr>
          </w:p>
        </w:tc>
        <w:tc>
          <w:tcPr>
            <w:tcW w:w="1360" w:type="dxa"/>
            <w:tcBorders>
              <w:top w:val="nil"/>
              <w:left w:val="nil"/>
              <w:bottom w:val="nil"/>
              <w:right w:val="nil"/>
            </w:tcBorders>
            <w:noWrap w:val="0"/>
            <w:vAlign w:val="center"/>
          </w:tcPr>
          <w:p>
            <w:pPr>
              <w:widowControl/>
              <w:jc w:val="center"/>
              <w:rPr>
                <w:rFonts w:ascii="宋体"/>
                <w:kern w:val="0"/>
                <w:sz w:val="24"/>
                <w:szCs w:val="24"/>
              </w:rPr>
            </w:pPr>
          </w:p>
        </w:tc>
        <w:tc>
          <w:tcPr>
            <w:tcW w:w="1080" w:type="dxa"/>
            <w:tcBorders>
              <w:top w:val="nil"/>
              <w:left w:val="nil"/>
              <w:bottom w:val="nil"/>
              <w:right w:val="nil"/>
            </w:tcBorders>
            <w:noWrap w:val="0"/>
            <w:vAlign w:val="center"/>
          </w:tcPr>
          <w:p>
            <w:pPr>
              <w:widowControl/>
              <w:jc w:val="center"/>
              <w:rPr>
                <w:rFonts w:ascii="宋体"/>
                <w:kern w:val="0"/>
                <w:sz w:val="24"/>
                <w:szCs w:val="24"/>
              </w:rPr>
            </w:pPr>
          </w:p>
        </w:tc>
        <w:tc>
          <w:tcPr>
            <w:tcW w:w="880" w:type="dxa"/>
            <w:tcBorders>
              <w:top w:val="nil"/>
              <w:left w:val="nil"/>
              <w:bottom w:val="nil"/>
              <w:right w:val="nil"/>
            </w:tcBorders>
            <w:noWrap w:val="0"/>
            <w:vAlign w:val="center"/>
          </w:tcPr>
          <w:p>
            <w:pPr>
              <w:widowControl/>
              <w:jc w:val="center"/>
              <w:rPr>
                <w:rFonts w:ascii="宋体"/>
                <w:kern w:val="0"/>
                <w:sz w:val="24"/>
                <w:szCs w:val="24"/>
              </w:rPr>
            </w:pPr>
          </w:p>
        </w:tc>
        <w:tc>
          <w:tcPr>
            <w:tcW w:w="2060" w:type="dxa"/>
            <w:tcBorders>
              <w:top w:val="nil"/>
              <w:left w:val="nil"/>
              <w:bottom w:val="nil"/>
              <w:right w:val="nil"/>
            </w:tcBorders>
            <w:noWrap w:val="0"/>
            <w:vAlign w:val="center"/>
          </w:tcPr>
          <w:p>
            <w:pPr>
              <w:widowControl/>
              <w:jc w:val="center"/>
              <w:rPr>
                <w:rFonts w:ascii="宋体"/>
                <w:kern w:val="0"/>
                <w:sz w:val="24"/>
                <w:szCs w:val="24"/>
              </w:rPr>
            </w:pPr>
          </w:p>
        </w:tc>
        <w:tc>
          <w:tcPr>
            <w:tcW w:w="1780" w:type="dxa"/>
            <w:tcBorders>
              <w:top w:val="nil"/>
              <w:left w:val="nil"/>
              <w:bottom w:val="nil"/>
              <w:right w:val="nil"/>
            </w:tcBorders>
            <w:noWrap w:val="0"/>
            <w:vAlign w:val="center"/>
          </w:tcPr>
          <w:p>
            <w:pPr>
              <w:widowControl/>
              <w:jc w:val="center"/>
              <w:rPr>
                <w:rFonts w:ascii="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“两房”建设支出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乌鲁木齐县人民检察院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预算</w:t>
            </w:r>
            <w:r>
              <w:rPr>
                <w:rFonts w:ascii="宋体"/>
                <w:kern w:val="0"/>
                <w:sz w:val="20"/>
                <w:szCs w:val="20"/>
              </w:rPr>
              <w:br w:type="textWrapping"/>
            </w:r>
            <w:r>
              <w:rPr>
                <w:rFonts w:hint="eastAsia" w:ascii="宋体" w:hAnsi="宋体" w:cs="宋体"/>
                <w:kern w:val="0"/>
                <w:sz w:val="20"/>
                <w:szCs w:val="20"/>
              </w:rPr>
              <w:t>执行</w:t>
            </w:r>
            <w:r>
              <w:rPr>
                <w:rFonts w:ascii="宋体"/>
                <w:kern w:val="0"/>
                <w:sz w:val="20"/>
                <w:szCs w:val="20"/>
              </w:rPr>
              <w:br w:type="textWrapping"/>
            </w:r>
            <w:r>
              <w:rPr>
                <w:rFonts w:hint="eastAsia" w:ascii="宋体" w:hAnsi="宋体" w:cs="宋体"/>
                <w:kern w:val="0"/>
                <w:sz w:val="20"/>
                <w:szCs w:val="20"/>
              </w:rPr>
              <w:t>情况</w:t>
            </w:r>
            <w:r>
              <w:rPr>
                <w:rFonts w:ascii="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276.22</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271.21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kern w:val="0"/>
                <w:sz w:val="20"/>
                <w:szCs w:val="20"/>
              </w:rPr>
            </w:pPr>
            <w:r>
              <w:rPr>
                <w:rFonts w:hint="eastAsia" w:ascii="宋体" w:hAnsi="宋体" w:cs="宋体"/>
                <w:kern w:val="0"/>
                <w:sz w:val="20"/>
                <w:szCs w:val="20"/>
              </w:rPr>
              <w:t>276.22</w:t>
            </w:r>
          </w:p>
        </w:tc>
        <w:tc>
          <w:tcPr>
            <w:tcW w:w="2060" w:type="dxa"/>
            <w:tcBorders>
              <w:top w:val="nil"/>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271.21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目标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用于清理新办案用房和技术用房工程项目各项欠款</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已清理工程款、监理、电梯等欠款271.21万元，尚欠设计费5万余元，近期尽快清理。</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绩效</w:t>
            </w:r>
            <w:r>
              <w:rPr>
                <w:rFonts w:ascii="宋体"/>
                <w:kern w:val="0"/>
                <w:sz w:val="20"/>
                <w:szCs w:val="20"/>
              </w:rPr>
              <w:br w:type="textWrapping"/>
            </w:r>
            <w:r>
              <w:rPr>
                <w:rFonts w:hint="eastAsia" w:ascii="宋体" w:hAnsi="宋体" w:cs="宋体"/>
                <w:kern w:val="0"/>
                <w:sz w:val="20"/>
                <w:szCs w:val="20"/>
              </w:rPr>
              <w:t>指标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：办案用房清欠</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cs="宋体"/>
                <w:kern w:val="0"/>
                <w:sz w:val="20"/>
                <w:szCs w:val="20"/>
              </w:rPr>
            </w:pPr>
            <w:r>
              <w:rPr>
                <w:rFonts w:hint="eastAsia" w:ascii="宋体" w:cs="宋体"/>
                <w:kern w:val="0"/>
                <w:sz w:val="20"/>
                <w:szCs w:val="20"/>
              </w:rPr>
              <w:t>按县委批示执行完毕</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top"/>
          </w:tcPr>
          <w:p>
            <w:pPr>
              <w:widowControl/>
              <w:spacing w:line="240" w:lineRule="exact"/>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：办案楼质量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hint="eastAsia" w:ascii="宋体"/>
                <w:kern w:val="0"/>
                <w:sz w:val="20"/>
                <w:szCs w:val="20"/>
              </w:rPr>
            </w:pPr>
            <w:r>
              <w:rPr>
                <w:rFonts w:hint="eastAsia" w:ascii="宋体"/>
                <w:kern w:val="0"/>
                <w:sz w:val="20"/>
                <w:szCs w:val="20"/>
              </w:rPr>
              <w:t>2015年竣工验收合格</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：清理时效</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hint="eastAsia" w:ascii="宋体"/>
                <w:kern w:val="0"/>
                <w:sz w:val="20"/>
                <w:szCs w:val="20"/>
              </w:rPr>
            </w:pPr>
            <w:r>
              <w:rPr>
                <w:rFonts w:hint="eastAsia" w:ascii="宋体"/>
                <w:kern w:val="0"/>
                <w:sz w:val="20"/>
                <w:szCs w:val="20"/>
              </w:rPr>
              <w:t>及时清理对外欠款</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经济效益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社会效益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：清理效果</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确保民工工资，维护我县社会稳定。</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生态效益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可持续影响</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w:t>
            </w:r>
            <w:r>
              <w:rPr>
                <w:rFonts w:ascii="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检察机关满意</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：施工单位</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noWrap w:val="0"/>
            <w:vAlign w:val="center"/>
          </w:tcPr>
          <w:p>
            <w:pPr>
              <w:widowControl/>
              <w:jc w:val="left"/>
              <w:rPr>
                <w:rFonts w:hint="eastAsia" w:ascii="宋体"/>
                <w:kern w:val="0"/>
                <w:sz w:val="20"/>
                <w:szCs w:val="20"/>
              </w:rPr>
            </w:pPr>
            <w:r>
              <w:rPr>
                <w:rFonts w:hint="eastAsia" w:ascii="宋体"/>
                <w:kern w:val="0"/>
                <w:sz w:val="20"/>
                <w:szCs w:val="20"/>
              </w:rPr>
              <w:t>施工单位满意</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新办公楼购置办公购置项目绩效自评综述：根据年初设定的绩效目标，新办公楼购置办公购置目绩效自评得分为88分。项目全年预算数为69.3万元，执行数为69.3万元，完成预算的1</w:t>
      </w:r>
      <w:r>
        <w:rPr>
          <w:rFonts w:hint="eastAsia" w:ascii="仿宋_GB2312" w:eastAsia="仿宋_GB2312"/>
          <w:sz w:val="32"/>
          <w:szCs w:val="32"/>
          <w:lang w:val="en-US" w:eastAsia="zh-CN"/>
        </w:rPr>
        <w:t>00%</w:t>
      </w:r>
      <w:r>
        <w:rPr>
          <w:rFonts w:hint="eastAsia" w:ascii="仿宋_GB2312" w:eastAsia="仿宋_GB2312"/>
          <w:sz w:val="32"/>
          <w:szCs w:val="32"/>
        </w:rPr>
        <w:t>。新办公楼购置办公购置项目已全部完成设定目标并投入使用。 2018年6月，新办案用房和技术用房已正式投入使用。新办公楼购置办公购置项目按招标时约定支付货款。</w:t>
      </w:r>
    </w:p>
    <w:tbl>
      <w:tblPr>
        <w:tblStyle w:val="4"/>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noWrap w:val="0"/>
            <w:vAlign w:val="center"/>
          </w:tcPr>
          <w:p>
            <w:pPr>
              <w:widowControl/>
              <w:jc w:val="center"/>
              <w:rPr>
                <w:rFonts w:ascii="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noWrap w:val="0"/>
            <w:vAlign w:val="center"/>
          </w:tcPr>
          <w:p>
            <w:pPr>
              <w:widowControl/>
              <w:jc w:val="center"/>
              <w:rPr>
                <w:rFonts w:ascii="宋体"/>
                <w:kern w:val="0"/>
                <w:sz w:val="24"/>
                <w:szCs w:val="24"/>
              </w:rPr>
            </w:pPr>
            <w:r>
              <w:rPr>
                <w:rFonts w:hint="eastAsia" w:ascii="宋体" w:hAnsi="宋体" w:cs="宋体"/>
                <w:kern w:val="0"/>
                <w:sz w:val="24"/>
                <w:szCs w:val="24"/>
              </w:rPr>
              <w:t>（</w:t>
            </w:r>
            <w:r>
              <w:rPr>
                <w:kern w:val="0"/>
                <w:sz w:val="24"/>
                <w:szCs w:val="24"/>
              </w:rPr>
              <w:t xml:space="preserve"> 2018  </w:t>
            </w:r>
            <w:r>
              <w:rPr>
                <w:rFonts w:hint="eastAsia" w:ascii="宋体" w:hAnsi="宋体" w:cs="宋体"/>
                <w:kern w:val="0"/>
                <w:sz w:val="24"/>
                <w:szCs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noWrap w:val="0"/>
            <w:vAlign w:val="center"/>
          </w:tcPr>
          <w:p>
            <w:pPr>
              <w:widowControl/>
              <w:jc w:val="center"/>
              <w:rPr>
                <w:rFonts w:ascii="宋体"/>
                <w:kern w:val="0"/>
                <w:sz w:val="24"/>
                <w:szCs w:val="24"/>
              </w:rPr>
            </w:pPr>
          </w:p>
        </w:tc>
        <w:tc>
          <w:tcPr>
            <w:tcW w:w="1140" w:type="dxa"/>
            <w:tcBorders>
              <w:top w:val="nil"/>
              <w:left w:val="nil"/>
              <w:bottom w:val="nil"/>
              <w:right w:val="nil"/>
            </w:tcBorders>
            <w:noWrap w:val="0"/>
            <w:vAlign w:val="center"/>
          </w:tcPr>
          <w:p>
            <w:pPr>
              <w:widowControl/>
              <w:jc w:val="center"/>
              <w:rPr>
                <w:rFonts w:ascii="宋体"/>
                <w:kern w:val="0"/>
                <w:sz w:val="24"/>
                <w:szCs w:val="24"/>
              </w:rPr>
            </w:pPr>
          </w:p>
        </w:tc>
        <w:tc>
          <w:tcPr>
            <w:tcW w:w="1360" w:type="dxa"/>
            <w:tcBorders>
              <w:top w:val="nil"/>
              <w:left w:val="nil"/>
              <w:bottom w:val="nil"/>
              <w:right w:val="nil"/>
            </w:tcBorders>
            <w:noWrap w:val="0"/>
            <w:vAlign w:val="center"/>
          </w:tcPr>
          <w:p>
            <w:pPr>
              <w:widowControl/>
              <w:jc w:val="center"/>
              <w:rPr>
                <w:rFonts w:ascii="宋体"/>
                <w:kern w:val="0"/>
                <w:sz w:val="24"/>
                <w:szCs w:val="24"/>
              </w:rPr>
            </w:pPr>
          </w:p>
        </w:tc>
        <w:tc>
          <w:tcPr>
            <w:tcW w:w="1080" w:type="dxa"/>
            <w:tcBorders>
              <w:top w:val="nil"/>
              <w:left w:val="nil"/>
              <w:bottom w:val="nil"/>
              <w:right w:val="nil"/>
            </w:tcBorders>
            <w:noWrap w:val="0"/>
            <w:vAlign w:val="center"/>
          </w:tcPr>
          <w:p>
            <w:pPr>
              <w:widowControl/>
              <w:jc w:val="center"/>
              <w:rPr>
                <w:rFonts w:ascii="宋体"/>
                <w:kern w:val="0"/>
                <w:sz w:val="24"/>
                <w:szCs w:val="24"/>
              </w:rPr>
            </w:pPr>
          </w:p>
        </w:tc>
        <w:tc>
          <w:tcPr>
            <w:tcW w:w="880" w:type="dxa"/>
            <w:tcBorders>
              <w:top w:val="nil"/>
              <w:left w:val="nil"/>
              <w:bottom w:val="nil"/>
              <w:right w:val="nil"/>
            </w:tcBorders>
            <w:noWrap w:val="0"/>
            <w:vAlign w:val="center"/>
          </w:tcPr>
          <w:p>
            <w:pPr>
              <w:widowControl/>
              <w:jc w:val="center"/>
              <w:rPr>
                <w:rFonts w:ascii="宋体"/>
                <w:kern w:val="0"/>
                <w:sz w:val="24"/>
                <w:szCs w:val="24"/>
              </w:rPr>
            </w:pPr>
          </w:p>
        </w:tc>
        <w:tc>
          <w:tcPr>
            <w:tcW w:w="2060" w:type="dxa"/>
            <w:tcBorders>
              <w:top w:val="nil"/>
              <w:left w:val="nil"/>
              <w:bottom w:val="nil"/>
              <w:right w:val="nil"/>
            </w:tcBorders>
            <w:noWrap w:val="0"/>
            <w:vAlign w:val="center"/>
          </w:tcPr>
          <w:p>
            <w:pPr>
              <w:widowControl/>
              <w:jc w:val="center"/>
              <w:rPr>
                <w:rFonts w:ascii="宋体"/>
                <w:kern w:val="0"/>
                <w:sz w:val="24"/>
                <w:szCs w:val="24"/>
              </w:rPr>
            </w:pPr>
          </w:p>
        </w:tc>
        <w:tc>
          <w:tcPr>
            <w:tcW w:w="1780" w:type="dxa"/>
            <w:tcBorders>
              <w:top w:val="nil"/>
              <w:left w:val="nil"/>
              <w:bottom w:val="nil"/>
              <w:right w:val="nil"/>
            </w:tcBorders>
            <w:noWrap w:val="0"/>
            <w:vAlign w:val="center"/>
          </w:tcPr>
          <w:p>
            <w:pPr>
              <w:widowControl/>
              <w:jc w:val="center"/>
              <w:rPr>
                <w:rFonts w:ascii="宋体"/>
                <w:kern w:val="0"/>
                <w:sz w:val="24"/>
                <w:szCs w:val="24"/>
              </w:rPr>
            </w:pPr>
            <w:r>
              <w:rPr>
                <w:rFonts w:hint="eastAsia" w:ascii="宋体" w:cs="宋体"/>
                <w:kern w:val="0"/>
                <w:sz w:val="24"/>
                <w:szCs w:val="24"/>
              </w:rPr>
              <w:t>单位：万元</w:t>
            </w: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新办公楼购置办公购置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乌鲁木齐县人民检察院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预算</w:t>
            </w:r>
            <w:r>
              <w:rPr>
                <w:rFonts w:ascii="宋体"/>
                <w:kern w:val="0"/>
                <w:sz w:val="20"/>
                <w:szCs w:val="20"/>
              </w:rPr>
              <w:br w:type="textWrapping"/>
            </w:r>
            <w:r>
              <w:rPr>
                <w:rFonts w:hint="eastAsia" w:ascii="宋体" w:hAnsi="宋体" w:cs="宋体"/>
                <w:kern w:val="0"/>
                <w:sz w:val="20"/>
                <w:szCs w:val="20"/>
              </w:rPr>
              <w:t>执行</w:t>
            </w:r>
            <w:r>
              <w:rPr>
                <w:rFonts w:ascii="宋体"/>
                <w:kern w:val="0"/>
                <w:sz w:val="20"/>
                <w:szCs w:val="20"/>
              </w:rPr>
              <w:br w:type="textWrapping"/>
            </w:r>
            <w:r>
              <w:rPr>
                <w:rFonts w:hint="eastAsia" w:ascii="宋体" w:hAnsi="宋体" w:cs="宋体"/>
                <w:kern w:val="0"/>
                <w:sz w:val="20"/>
                <w:szCs w:val="20"/>
              </w:rPr>
              <w:t>情况</w:t>
            </w:r>
            <w:r>
              <w:rPr>
                <w:rFonts w:ascii="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130</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69.29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宋体"/>
                <w:kern w:val="0"/>
                <w:sz w:val="20"/>
                <w:szCs w:val="20"/>
              </w:rPr>
            </w:pPr>
            <w:r>
              <w:rPr>
                <w:rFonts w:hint="eastAsia" w:ascii="宋体"/>
                <w:kern w:val="0"/>
                <w:sz w:val="20"/>
                <w:szCs w:val="20"/>
              </w:rPr>
              <w:t>130</w:t>
            </w:r>
          </w:p>
        </w:tc>
        <w:tc>
          <w:tcPr>
            <w:tcW w:w="2060" w:type="dxa"/>
            <w:tcBorders>
              <w:top w:val="nil"/>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69.29</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2500" w:type="dxa"/>
            <w:gridSpan w:val="2"/>
            <w:tcBorders>
              <w:top w:val="single" w:color="auto" w:sz="4" w:space="0"/>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noWrap w:val="0"/>
            <w:vAlign w:val="center"/>
          </w:tcPr>
          <w:p>
            <w:pPr>
              <w:widowControl/>
              <w:jc w:val="righ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目标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4460" w:type="dxa"/>
            <w:gridSpan w:val="4"/>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新办公楼购置办公购置主要用于购置办公、办案设备、是办案及办公的需要。</w:t>
            </w:r>
          </w:p>
        </w:tc>
        <w:tc>
          <w:tcPr>
            <w:tcW w:w="3840" w:type="dxa"/>
            <w:gridSpan w:val="2"/>
            <w:tcBorders>
              <w:top w:val="single" w:color="auto" w:sz="4" w:space="0"/>
              <w:left w:val="nil"/>
              <w:bottom w:val="single" w:color="auto" w:sz="4" w:space="0"/>
              <w:right w:val="single" w:color="000000" w:sz="4" w:space="0"/>
            </w:tcBorders>
            <w:noWrap w:val="0"/>
            <w:vAlign w:val="top"/>
          </w:tcPr>
          <w:p>
            <w:pPr>
              <w:widowControl/>
              <w:jc w:val="left"/>
              <w:rPr>
                <w:rFonts w:ascii="宋体"/>
                <w:kern w:val="0"/>
                <w:sz w:val="20"/>
                <w:szCs w:val="20"/>
              </w:rPr>
            </w:pPr>
            <w:r>
              <w:rPr>
                <w:rFonts w:hint="eastAsia" w:ascii="宋体" w:hAnsi="宋体" w:cs="宋体"/>
                <w:kern w:val="0"/>
                <w:sz w:val="20"/>
                <w:szCs w:val="20"/>
              </w:rPr>
              <w:t>　新办公楼购置办公购置主要用于购置办公、办案设备、是办案及办公的需要</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年度</w:t>
            </w:r>
            <w:r>
              <w:rPr>
                <w:rFonts w:ascii="宋体"/>
                <w:kern w:val="0"/>
                <w:sz w:val="20"/>
                <w:szCs w:val="20"/>
              </w:rPr>
              <w:br w:type="textWrapping"/>
            </w:r>
            <w:r>
              <w:rPr>
                <w:rFonts w:hint="eastAsia" w:ascii="宋体" w:hAnsi="宋体" w:cs="宋体"/>
                <w:kern w:val="0"/>
                <w:sz w:val="20"/>
                <w:szCs w:val="20"/>
              </w:rPr>
              <w:t>绩效</w:t>
            </w:r>
            <w:r>
              <w:rPr>
                <w:rFonts w:ascii="宋体"/>
                <w:kern w:val="0"/>
                <w:sz w:val="20"/>
                <w:szCs w:val="20"/>
              </w:rPr>
              <w:br w:type="textWrapping"/>
            </w:r>
            <w:r>
              <w:rPr>
                <w:rFonts w:hint="eastAsia" w:ascii="宋体" w:hAnsi="宋体" w:cs="宋体"/>
                <w:kern w:val="0"/>
                <w:sz w:val="20"/>
                <w:szCs w:val="20"/>
              </w:rPr>
              <w:t>指标</w:t>
            </w:r>
            <w:r>
              <w:rPr>
                <w:rFonts w:ascii="宋体"/>
                <w:kern w:val="0"/>
                <w:sz w:val="20"/>
                <w:szCs w:val="20"/>
              </w:rPr>
              <w:br w:type="textWrapping"/>
            </w:r>
            <w:r>
              <w:rPr>
                <w:rFonts w:hint="eastAsia" w:ascii="宋体" w:hAnsi="宋体" w:cs="宋体"/>
                <w:kern w:val="0"/>
                <w:sz w:val="20"/>
                <w:szCs w:val="20"/>
              </w:rPr>
              <w:t>完成</w:t>
            </w:r>
            <w:r>
              <w:rPr>
                <w:rFonts w:ascii="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：购买数量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宋体" w:cs="宋体"/>
                <w:kern w:val="0"/>
                <w:sz w:val="20"/>
                <w:szCs w:val="20"/>
              </w:rPr>
            </w:pPr>
            <w:r>
              <w:rPr>
                <w:rFonts w:hint="eastAsia" w:ascii="宋体" w:cs="宋体"/>
                <w:kern w:val="0"/>
                <w:sz w:val="20"/>
                <w:szCs w:val="20"/>
              </w:rPr>
              <w:t>按招标数量执行</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top"/>
          </w:tcPr>
          <w:p>
            <w:pPr>
              <w:widowControl/>
              <w:spacing w:line="240" w:lineRule="exact"/>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spacing w:line="240" w:lineRule="exact"/>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：供货质量</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项目完成验收合格</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：执行时间</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hint="eastAsia" w:ascii="宋体"/>
                <w:kern w:val="0"/>
                <w:sz w:val="20"/>
                <w:szCs w:val="20"/>
              </w:rPr>
            </w:pPr>
            <w:r>
              <w:rPr>
                <w:rFonts w:hint="eastAsia" w:ascii="宋体"/>
                <w:kern w:val="0"/>
                <w:sz w:val="20"/>
                <w:szCs w:val="20"/>
              </w:rPr>
              <w:t>按招标约定时间完成</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经济效益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社会效益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：项目成果</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100%</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解决了县检察院近11年无办公场所的状态</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生态效益</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可持续影响</w:t>
            </w:r>
            <w:r>
              <w:rPr>
                <w:rFonts w:ascii="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w:t>
            </w:r>
            <w:r>
              <w:rPr>
                <w:rFonts w:ascii="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：项目机关</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检察机关满意</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：施工单位</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100%</w:t>
            </w:r>
          </w:p>
        </w:tc>
        <w:tc>
          <w:tcPr>
            <w:tcW w:w="1780" w:type="dxa"/>
            <w:tcBorders>
              <w:top w:val="nil"/>
              <w:left w:val="nil"/>
              <w:bottom w:val="single" w:color="auto" w:sz="4" w:space="0"/>
              <w:right w:val="single" w:color="auto" w:sz="4" w:space="0"/>
            </w:tcBorders>
            <w:noWrap w:val="0"/>
            <w:vAlign w:val="center"/>
          </w:tcPr>
          <w:p>
            <w:pPr>
              <w:widowControl/>
              <w:jc w:val="left"/>
              <w:rPr>
                <w:rFonts w:hint="eastAsia" w:ascii="宋体"/>
                <w:kern w:val="0"/>
                <w:sz w:val="20"/>
                <w:szCs w:val="20"/>
              </w:rPr>
            </w:pPr>
            <w:r>
              <w:rPr>
                <w:rFonts w:hint="eastAsia" w:ascii="宋体"/>
                <w:kern w:val="0"/>
                <w:sz w:val="20"/>
                <w:szCs w:val="20"/>
              </w:rPr>
              <w:t>供货单位满意</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1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kern w:val="0"/>
                <w:sz w:val="20"/>
                <w:szCs w:val="20"/>
              </w:rPr>
            </w:pPr>
          </w:p>
        </w:tc>
        <w:tc>
          <w:tcPr>
            <w:tcW w:w="13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noWrap w:val="0"/>
            <w:vAlign w:val="center"/>
          </w:tcPr>
          <w:p>
            <w:pPr>
              <w:widowControl/>
              <w:jc w:val="center"/>
              <w:rPr>
                <w:rFonts w:ascii="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noWrap w:val="0"/>
            <w:vAlign w:val="center"/>
          </w:tcPr>
          <w:p>
            <w:pPr>
              <w:widowControl/>
              <w:jc w:val="left"/>
              <w:rPr>
                <w:rFonts w:ascii="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2040401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行政运行</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2040404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查办和预防职务犯罪</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2040405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公诉和审判监督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2040406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侦查监督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2040407</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执行监督</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2040408</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控告申诉</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2040499</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其他检察支出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2080505</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机关事业单位基本养老保险缴费支出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2080506</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机关事业单位职业年金缴费支出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2120804</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农村基础设施建设支出</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2299901</w:t>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ab/>
      </w:r>
      <w:r>
        <w:rPr>
          <w:rFonts w:hint="eastAsia" w:ascii="仿宋_GB2312" w:eastAsia="仿宋_GB2312"/>
          <w:sz w:val="32"/>
          <w:szCs w:val="32"/>
        </w:rPr>
        <w:t>其他支出</w:t>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454B68C8"/>
    <w:rsid w:val="4572647A"/>
    <w:rsid w:val="63B8376B"/>
    <w:rsid w:val="7F074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qFormat/>
    <w:uiPriority w:val="0"/>
    <w:pPr>
      <w:jc w:val="left"/>
    </w:pPr>
    <w:rPr>
      <w:rFonts w:ascii="Times New Roman" w:hAnsi="Times New Roman" w:eastAsia="宋体" w:cs="Times New Roman"/>
      <w:szCs w:val="24"/>
    </w:rPr>
  </w:style>
  <w:style w:type="paragraph" w:styleId="3">
    <w:name w:val="Balloon Text"/>
    <w:basedOn w:val="1"/>
    <w:link w:val="9"/>
    <w:semiHidden/>
    <w:unhideWhenUsed/>
    <w:qFormat/>
    <w:uiPriority w:val="99"/>
    <w:rPr>
      <w:sz w:val="18"/>
      <w:szCs w:val="18"/>
    </w:rPr>
  </w:style>
  <w:style w:type="character" w:styleId="6">
    <w:name w:val="Strong"/>
    <w:basedOn w:val="5"/>
    <w:qFormat/>
    <w:uiPriority w:val="99"/>
    <w:rPr>
      <w:b/>
      <w:bCs/>
    </w:rPr>
  </w:style>
  <w:style w:type="character" w:styleId="7">
    <w:name w:val="annotation reference"/>
    <w:basedOn w:val="5"/>
    <w:semiHidden/>
    <w:unhideWhenUsed/>
    <w:qFormat/>
    <w:uiPriority w:val="99"/>
    <w:rPr>
      <w:sz w:val="21"/>
      <w:szCs w:val="21"/>
    </w:rPr>
  </w:style>
  <w:style w:type="character" w:customStyle="1" w:styleId="8">
    <w:name w:val="批注文字 Char"/>
    <w:basedOn w:val="5"/>
    <w:link w:val="2"/>
    <w:qFormat/>
    <w:uiPriority w:val="0"/>
    <w:rPr>
      <w:rFonts w:ascii="Times New Roman" w:hAnsi="Times New Roman" w:eastAsia="宋体" w:cs="Times New Roman"/>
      <w:szCs w:val="24"/>
    </w:rPr>
  </w:style>
  <w:style w:type="character" w:customStyle="1" w:styleId="9">
    <w:name w:val="批注框文本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3</TotalTime>
  <ScaleCrop>false</ScaleCrop>
  <LinksUpToDate>false</LinksUpToDate>
  <CharactersWithSpaces>5246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秣</cp:lastModifiedBy>
  <dcterms:modified xsi:type="dcterms:W3CDTF">2021-05-19T06:17:01Z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C4C8801AAB6145848AA6EC69710105E1</vt:lpwstr>
  </property>
</Properties>
</file>