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2018年度新疆乌鲁木齐县农村公路养护队部门决算公开说明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widowControl/>
        <w:spacing w:line="560" w:lineRule="exact"/>
        <w:ind w:firstLine="640"/>
        <w:jc w:val="left"/>
        <w:rPr>
          <w:rFonts w:ascii="仿宋_GB2312" w:eastAsia="仿宋_GB2312"/>
          <w:sz w:val="32"/>
          <w:szCs w:val="32"/>
        </w:rPr>
      </w:pPr>
      <w:r>
        <w:rPr>
          <w:rFonts w:hint="eastAsia" w:ascii="仿宋_GB2312" w:hAnsi="宋体" w:eastAsia="仿宋_GB2312"/>
          <w:kern w:val="0"/>
          <w:sz w:val="32"/>
          <w:szCs w:val="32"/>
          <w:highlight w:val="none"/>
          <w:lang w:eastAsia="zh-CN"/>
        </w:rPr>
        <w:t>县农村公路养护队位于南旅基地南旅东路765号，主要职责是负责全县综合运输体系的规划协调，编制综合运输体系规划，指导交通运输枢纽规划和管理，承担公路及其设施的建设、管理和养护。负责公路工程质量、基本建设项目招投标活动和安全生产的监督管理</w:t>
      </w:r>
      <w:r>
        <w:rPr>
          <w:rFonts w:hint="eastAsia" w:ascii="仿宋_GB2312" w:eastAsia="仿宋_GB2312"/>
          <w:sz w:val="32"/>
          <w:szCs w:val="32"/>
        </w:rPr>
        <w:t xml:space="preserve">。 </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从决算单位构成看，新疆乌鲁木齐县农村公路养护队部门决算包括：新疆乌鲁木齐县农村公路养护队部门本级决算、所属单位决算等。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新疆乌鲁木齐县农村公路养护队编制数6个，包括行政编制0个，事业编制6个。年末实有人数4人，其中：行政在职0人，事业在职4人。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纳入新疆乌鲁木齐县农村公路养护队2018年部门决算编制范围的单位名单见下表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新疆乌鲁木齐县农村公路养护队</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2</w:t>
            </w:r>
          </w:p>
        </w:tc>
        <w:tc>
          <w:tcPr>
            <w:tcW w:w="7512" w:type="dxa"/>
            <w:vAlign w:val="center"/>
          </w:tcPr>
          <w:p>
            <w:pPr>
              <w:spacing w:line="500" w:lineRule="exact"/>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482.57万元,与上年相比，减少338.94万元，降低41.26%，增减变化主要原因是：应急抢险准备金2018年未拨款；支出300.19万元,与上年相比，减少376.41万元，降低55.63%，增减变化主要原因是：应急抢险准备金2018年未拨款；结余279.06万元，与上年相比，增加134.15万元，增长92.57%。增减变化主要原因是：2018年城市维护费拨款增加。</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482.57万元，其中：财政拨款收入280.56万元，占58.14%；上级补助收入0.00万元，占0.00%；事业收入0.00万元，占0.00%；经营收入0.00万元，占0.00%；附属单位缴款0.00万元，占0.00%；其他收入202.01万元，占41.86%。</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与年初预算数相比情况：本年收入年初预算数65.30万元，决算数482.57万元，预决算差异率639.03%，差异主要原因应急抢险准备金2018年未拨款。</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本年支出合计300.19万元，其中：基本支出54.27万元，占18.08%；项目支出245.92万元，占81.92%；上缴上级支出0.00万元，占0.00%；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与年初预算数相比情况：本年支出年初预算数65.30万元，决算数300.19万元，预决算差异率359.72%，差异主要原因应急抢险准备金2018年未拨款。</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280.56万元，与上年相比，减少540.8万元，降低65.84%。增减变化的主要原因是：应急抢险准备金2018年未拨款。财政拨款支出176.64万元，与上年相比，减少499.96万元，降低73.89%，增减变化的主要原因是：应急抢险准备金2018年未拨款</w:t>
      </w:r>
      <w:r>
        <w:rPr>
          <w:rFonts w:hint="eastAsia" w:ascii="仿宋_GB2312" w:eastAsia="仿宋_GB2312"/>
          <w:sz w:val="32"/>
          <w:szCs w:val="32"/>
          <w:lang w:val="en-US" w:eastAsia="zh-CN"/>
        </w:rPr>
        <w:t>,未形成支出</w:t>
      </w:r>
      <w:r>
        <w:rPr>
          <w:rFonts w:hint="eastAsia" w:ascii="仿宋_GB2312" w:eastAsia="仿宋_GB2312"/>
          <w:sz w:val="32"/>
          <w:szCs w:val="32"/>
        </w:rPr>
        <w:t>。其中：基本支出54.27万元，项目支出122.37万元。财政拨款结转结余108.47万元，与上年相比，减少36.3万元，降低25.07%。增减变化的主要原因是：应急抢险准备金2018年未拨款。</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65.30万元，决算数280.56万元，预决算差异率329.67%，差异主要原因应急抢险准备金2018年未拨款。财政拨款支出年初预算数65.30万元，决算数176.64万元，预决算差异率170.52%，差异主要原因应急抢险准备金2018年未拨款。</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50.63万元。与上年相比，减少16.98万元，降低25.12%。增减变化的主要原因是：应急抢险准备金2018年未拨款。一般公共预算财政拨款支出54.27万元。与上年相比，减少8.8万元，降低13.95%。增减变化的主要原因是：应急抢险准备金2018年未拨款。其中：按功能分类科目（按类级科目公开），2140106公路养护54.27万元。按经济分类科目（按类级科目公开），工资福利支出53.82万元，商品和服务支出0.01万元，对个人和家庭的支出0.44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65.30万元，决算数50.63万元，预决算差异率-22.46%，差异主要原因应急抢险准备金2018年未拨款。一般公共预算财政拨款支出年初预算数65.30万元，决算数54.27万元，预决算差异率-16.89%，差异主要原因应急抢险准备金2018年未拨款。</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229.93万元，与上年相比，减少523.82万元，降低69.49%。增减变化的主要原因是：应急抢险准备金2018年未拨款。政府性基金预算支出122.37万元。与上年相比，减少491.16万元，降低80.05%。增减变化的主要原因是：应急抢险准备金2018年未拨款。其中：按功能分类科目（按类级科目公开），2120803城市建设支出113.42万元，2120804农村基础设施建设支出8.95万元。按经济分类科目（按类级科目公开），资本性支出122.37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与年初预算数相比情况：政府性基金预算财政拨款收入年初预算数0.00万元，决算数229.93万元，预决算差异率0.00%，差异主要原因</w:t>
      </w:r>
      <w:r>
        <w:rPr>
          <w:rFonts w:hint="eastAsia" w:ascii="仿宋_GB2312" w:eastAsia="仿宋_GB2312"/>
          <w:sz w:val="32"/>
          <w:szCs w:val="32"/>
          <w:lang w:eastAsia="zh-CN"/>
        </w:rPr>
        <w:t>年初无此项预算，年中追加经费</w:t>
      </w:r>
      <w:r>
        <w:rPr>
          <w:rFonts w:hint="eastAsia" w:ascii="仿宋_GB2312" w:eastAsia="仿宋_GB2312"/>
          <w:sz w:val="32"/>
          <w:szCs w:val="32"/>
        </w:rPr>
        <w:t>。政府性基金预算财政拨款支出年初预算数0.00万元，决算数122.37万元，预决算差异率0.00%，差异主要原因</w:t>
      </w:r>
      <w:r>
        <w:rPr>
          <w:rFonts w:hint="eastAsia" w:ascii="仿宋_GB2312" w:eastAsia="仿宋_GB2312"/>
          <w:sz w:val="32"/>
          <w:szCs w:val="32"/>
          <w:lang w:eastAsia="zh-CN"/>
        </w:rPr>
        <w:t>年初无此项预算，年中追加经费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年末结转结余279.06万元。与上年相比，增加134.15万元，增长92.57%。</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其中财政拨款结转结余108.47万元。与上年相比，减少36.3万元，降低25.07%。</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2018年度一般公共预算“三公”经费支出决算0万元，比上年增加0万元，增长0%，增加原因是无预算安排。其中，因公出国（境）费支出0万元，占0%，比上年增加（减少）0万元，增长（降低）0%，增加（减少）原因是无预算安排；公务用车购置及运行维护费支出0万元，占0%，比上年增加（减少）0万元，增长（降低）0%，增加（减少）原因是无预算安排；公务接待费支出0万元，占0%，比上年增加（减少）0万元，增长（降低）0%，增加（减少）原因是无预算安排。具体情况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因公出国（境）费支出0万元。2018单位全年使用一般公共预算财政拨款安排的出国（境）团组0个，累计0人次。开支内容包括：无预算安排。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公务用车购置及运行维护费0万元,其中，公务用车购置0万元，公务用车运行维护费0万元。主要用于无预算安排等。单位一般公共财政拨款安排的公务用车购置量0辆，保有量为0辆。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公务接待费0万元。具体是：国内公务接待支出0万元，主要是无预算安排等。2018单位国内公务接待0批次，0人次。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与年初预算数相比情况：一般公共预算“三公”经费支出年初预算数0万元，决算数0万元，预决算差异率0%，差异主要原因无预算安排。其中：因公出国（境）费预算数0万元，决算数0万元，预决算差异率0%，差异主要原因无预算安排；公务用车购置预算数0万元，决算数0万元，预决算差异率0%，差异主要原因无预算安排；公务用车运行费预算数0万元，决算数0万元，预决算差异率0%，差异主要原因无预算安排；公务接待费预算数0万元，决算数0万元，预决算差异率0%，差异主要原因无预算安排。</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2018年度新疆乌鲁木齐县农村公路养护队（事业单位）日常公用经费0.01万元，比上年增加0.01万元，增</w:t>
      </w:r>
      <w:r>
        <w:rPr>
          <w:rFonts w:hint="eastAsia" w:ascii="仿宋_GB2312" w:eastAsia="仿宋_GB2312"/>
          <w:sz w:val="32"/>
          <w:szCs w:val="32"/>
          <w:lang w:eastAsia="zh-CN"/>
        </w:rPr>
        <w:t>长</w:t>
      </w:r>
      <w:r>
        <w:rPr>
          <w:rFonts w:hint="eastAsia" w:ascii="仿宋_GB2312" w:eastAsia="仿宋_GB2312"/>
          <w:sz w:val="32"/>
          <w:szCs w:val="32"/>
        </w:rPr>
        <w:t>0%，主要原因是</w:t>
      </w:r>
      <w:r>
        <w:rPr>
          <w:rFonts w:hint="eastAsia" w:ascii="仿宋_GB2312" w:eastAsia="仿宋_GB2312"/>
          <w:sz w:val="32"/>
          <w:szCs w:val="32"/>
          <w:lang w:eastAsia="zh-CN"/>
        </w:rPr>
        <w:t>上年无一般公共预算财政拨款公用经费支出</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2018年度政府采购支出总额0.00万元，其中：政府采购货物支出0.00万元、政府采购工程支出0.00万元、政府采购服务支出0.00万元。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7辆，价值91.41万元，其中：副部（省）级及以上领导用车0辆、主要领导干部用车1辆、机要通信用车0辆、应急保障用车0辆、执法执勤用车0辆、特种专业技术用车4辆、离退休干部用车0辆、其他用车2辆，其他用车主要是：</w:t>
      </w:r>
      <w:r>
        <w:rPr>
          <w:rFonts w:hint="eastAsia" w:ascii="仿宋_GB2312" w:eastAsia="仿宋_GB2312"/>
          <w:sz w:val="32"/>
          <w:szCs w:val="32"/>
          <w:lang w:eastAsia="zh-CN"/>
        </w:rPr>
        <w:t>业务用车</w:t>
      </w:r>
      <w:r>
        <w:rPr>
          <w:rFonts w:hint="eastAsia" w:ascii="仿宋_GB2312" w:eastAsia="仿宋_GB2312"/>
          <w:sz w:val="32"/>
          <w:szCs w:val="32"/>
        </w:rPr>
        <w:t>；单位价值50万元以上通用设备1台（套）、单位价值100万元以上专用设备0台（套）。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城市建设支出（市210万其中部分）项目绩效自评综述：根据年初设定的绩效目标，城市建设支出（市210万其中部分）目绩效自评得分为91分。项目全年预算数为169.93万元，执行数为113.42万元，完成预算的66.7</w:t>
      </w:r>
      <w:r>
        <w:rPr>
          <w:rFonts w:hint="eastAsia" w:ascii="仿宋_GB2312" w:eastAsia="仿宋_GB2312"/>
          <w:sz w:val="32"/>
          <w:szCs w:val="32"/>
          <w:lang w:val="en-US" w:eastAsia="zh-CN"/>
        </w:rPr>
        <w:t>5%</w:t>
      </w:r>
      <w:r>
        <w:rPr>
          <w:rFonts w:hint="eastAsia" w:ascii="仿宋_GB2312" w:eastAsia="仿宋_GB2312"/>
          <w:sz w:val="32"/>
          <w:szCs w:val="32"/>
        </w:rPr>
        <w:t>。主要产出和效果：已修通永丰镇南滩路两处断头路。保障全县农村公路路面完好、安全、畅通，维护公路正常使用功能，改善道路通行服务。</w:t>
      </w:r>
    </w:p>
    <w:tbl>
      <w:tblPr>
        <w:tblStyle w:val="6"/>
        <w:tblW w:w="9180" w:type="dxa"/>
        <w:tblInd w:w="93" w:type="dxa"/>
        <w:tblLayout w:type="fixed"/>
        <w:tblCellMar>
          <w:top w:w="0" w:type="dxa"/>
          <w:left w:w="108" w:type="dxa"/>
          <w:bottom w:w="0" w:type="dxa"/>
          <w:right w:w="108" w:type="dxa"/>
        </w:tblCellMar>
      </w:tblPr>
      <w:tblGrid>
        <w:gridCol w:w="560"/>
        <w:gridCol w:w="560"/>
        <w:gridCol w:w="840"/>
        <w:gridCol w:w="1980"/>
        <w:gridCol w:w="1380"/>
        <w:gridCol w:w="1343"/>
        <w:gridCol w:w="1277"/>
        <w:gridCol w:w="1240"/>
      </w:tblGrid>
      <w:tr>
        <w:tblPrEx>
          <w:tblLayout w:type="fixed"/>
          <w:tblCellMar>
            <w:top w:w="0" w:type="dxa"/>
            <w:left w:w="108" w:type="dxa"/>
            <w:bottom w:w="0" w:type="dxa"/>
            <w:right w:w="108" w:type="dxa"/>
          </w:tblCellMar>
        </w:tblPrEx>
        <w:trPr>
          <w:trHeight w:val="600" w:hRule="atLeast"/>
        </w:trPr>
        <w:tc>
          <w:tcPr>
            <w:tcW w:w="9180" w:type="dxa"/>
            <w:gridSpan w:val="8"/>
            <w:tcBorders>
              <w:top w:val="nil"/>
              <w:left w:val="nil"/>
              <w:bottom w:val="nil"/>
              <w:right w:val="nil"/>
            </w:tcBorders>
            <w:shd w:val="clear" w:color="auto" w:fill="auto"/>
            <w:noWrap w:val="0"/>
            <w:vAlign w:val="center"/>
          </w:tcPr>
          <w:p>
            <w:pPr>
              <w:widowControl/>
              <w:jc w:val="center"/>
              <w:rPr>
                <w:rFonts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乌鲁木齐市级对县级专项转移支付绩效自评表</w:t>
            </w:r>
          </w:p>
        </w:tc>
      </w:tr>
      <w:tr>
        <w:tblPrEx>
          <w:tblLayout w:type="fixed"/>
          <w:tblCellMar>
            <w:top w:w="0" w:type="dxa"/>
            <w:left w:w="108" w:type="dxa"/>
            <w:bottom w:w="0" w:type="dxa"/>
            <w:right w:w="108" w:type="dxa"/>
          </w:tblCellMar>
        </w:tblPrEx>
        <w:trPr>
          <w:trHeight w:val="432" w:hRule="atLeast"/>
        </w:trPr>
        <w:tc>
          <w:tcPr>
            <w:tcW w:w="9180" w:type="dxa"/>
            <w:gridSpan w:val="8"/>
            <w:tcBorders>
              <w:top w:val="nil"/>
              <w:left w:val="nil"/>
              <w:bottom w:val="single" w:color="auto" w:sz="4" w:space="0"/>
              <w:right w:val="nil"/>
            </w:tcBorders>
            <w:shd w:val="clear" w:color="auto" w:fill="auto"/>
            <w:noWrap w:val="0"/>
            <w:vAlign w:val="top"/>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（2018年度）</w:t>
            </w:r>
          </w:p>
        </w:tc>
      </w:tr>
      <w:tr>
        <w:tblPrEx>
          <w:tblLayout w:type="fixed"/>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专项名称</w:t>
            </w:r>
          </w:p>
        </w:tc>
        <w:tc>
          <w:tcPr>
            <w:tcW w:w="7220"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城市建设支出　</w:t>
            </w:r>
          </w:p>
        </w:tc>
      </w:tr>
      <w:tr>
        <w:tblPrEx>
          <w:tblLayout w:type="fixed"/>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上级主管部门</w:t>
            </w:r>
          </w:p>
        </w:tc>
        <w:tc>
          <w:tcPr>
            <w:tcW w:w="722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乌鲁木齐市交通局</w:t>
            </w: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地方主管部门</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r>
              <w:rPr>
                <w:rFonts w:hint="eastAsia" w:ascii="宋体" w:hAnsi="宋体" w:eastAsia="宋体" w:cs="宋体"/>
                <w:color w:val="000000" w:themeColor="text1"/>
                <w:kern w:val="0"/>
                <w:sz w:val="20"/>
                <w:szCs w:val="20"/>
                <w:lang w:eastAsia="zh-CN"/>
                <w14:textFill>
                  <w14:solidFill>
                    <w14:schemeClr w14:val="tx1"/>
                  </w14:solidFill>
                </w14:textFill>
              </w:rPr>
              <w:t>乌鲁木齐县交通局</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实施单位</w:t>
            </w:r>
          </w:p>
        </w:tc>
        <w:tc>
          <w:tcPr>
            <w:tcW w:w="2517"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ind w:firstLine="400" w:firstLineChars="200"/>
              <w:jc w:val="both"/>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县农村公路养护队</w:t>
            </w: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675" w:hRule="atLeast"/>
        </w:trPr>
        <w:tc>
          <w:tcPr>
            <w:tcW w:w="1960"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项目资金（万元）</w:t>
            </w:r>
          </w:p>
        </w:tc>
        <w:tc>
          <w:tcPr>
            <w:tcW w:w="19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全年预算数（A,含结余结转）</w:t>
            </w:r>
          </w:p>
        </w:tc>
        <w:tc>
          <w:tcPr>
            <w:tcW w:w="26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全年执行数（B）</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执行率（B/A)</w:t>
            </w:r>
          </w:p>
        </w:tc>
      </w:tr>
      <w:tr>
        <w:tblPrEx>
          <w:tblLayout w:type="fixed"/>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19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年度资金总额：</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169.93</w:t>
            </w:r>
            <w:r>
              <w:rPr>
                <w:rFonts w:hint="eastAsia" w:ascii="宋体" w:hAnsi="宋体" w:eastAsia="宋体" w:cs="宋体"/>
                <w:color w:val="000000" w:themeColor="text1"/>
                <w:kern w:val="0"/>
                <w:sz w:val="20"/>
                <w:szCs w:val="20"/>
                <w14:textFill>
                  <w14:solidFill>
                    <w14:schemeClr w14:val="tx1"/>
                  </w14:solidFill>
                </w14:textFill>
              </w:rPr>
              <w:t>　</w:t>
            </w:r>
          </w:p>
        </w:tc>
        <w:tc>
          <w:tcPr>
            <w:tcW w:w="26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仿宋_GB2312"/>
                <w:color w:val="000000" w:themeColor="text1"/>
                <w:sz w:val="20"/>
                <w:szCs w:val="20"/>
                <w:lang w:val="en-US" w:eastAsia="zh-CN"/>
                <w14:textFill>
                  <w14:solidFill>
                    <w14:schemeClr w14:val="tx1"/>
                  </w14:solidFill>
                </w14:textFill>
              </w:rPr>
              <w:t>113.42</w:t>
            </w: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r>
              <w:rPr>
                <w:rFonts w:hint="eastAsia" w:ascii="宋体" w:hAnsi="宋体" w:eastAsia="宋体" w:cs="宋体"/>
                <w:color w:val="000000" w:themeColor="text1"/>
                <w:kern w:val="0"/>
                <w:sz w:val="20"/>
                <w:szCs w:val="20"/>
                <w:lang w:val="en-US" w:eastAsia="zh-CN"/>
                <w14:textFill>
                  <w14:solidFill>
                    <w14:schemeClr w14:val="tx1"/>
                  </w14:solidFill>
                </w14:textFill>
              </w:rPr>
              <w:t>66.75%</w:t>
            </w:r>
          </w:p>
        </w:tc>
      </w:tr>
      <w:tr>
        <w:tblPrEx>
          <w:tblLayout w:type="fixed"/>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19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其中：市级补助</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lang w:val="en-US"/>
                <w14:textFill>
                  <w14:solidFill>
                    <w14:schemeClr w14:val="tx1"/>
                  </w14:solidFill>
                </w14:textFill>
              </w:rPr>
            </w:pPr>
            <w:r>
              <w:rPr>
                <w:rFonts w:hint="eastAsia" w:ascii="仿宋_GB2312"/>
                <w:color w:val="000000" w:themeColor="text1"/>
                <w:sz w:val="20"/>
                <w:szCs w:val="20"/>
                <w:lang w:val="en-US" w:eastAsia="zh-CN"/>
                <w14:textFill>
                  <w14:solidFill>
                    <w14:schemeClr w14:val="tx1"/>
                  </w14:solidFill>
                </w14:textFill>
              </w:rPr>
              <w:t>169.93</w:t>
            </w:r>
          </w:p>
        </w:tc>
        <w:tc>
          <w:tcPr>
            <w:tcW w:w="26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lang w:val="en-US"/>
                <w14:textFill>
                  <w14:solidFill>
                    <w14:schemeClr w14:val="tx1"/>
                  </w14:solidFill>
                </w14:textFill>
              </w:rPr>
            </w:pPr>
            <w:r>
              <w:rPr>
                <w:rFonts w:hint="eastAsia" w:ascii="仿宋_GB2312"/>
                <w:color w:val="000000" w:themeColor="text1"/>
                <w:sz w:val="20"/>
                <w:szCs w:val="20"/>
                <w:lang w:val="en-US" w:eastAsia="zh-CN"/>
                <w14:textFill>
                  <w14:solidFill>
                    <w14:schemeClr w14:val="tx1"/>
                  </w14:solidFill>
                </w14:textFill>
              </w:rPr>
              <w:t>113.42</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r>
              <w:rPr>
                <w:rFonts w:hint="eastAsia" w:ascii="宋体" w:hAnsi="宋体" w:eastAsia="宋体" w:cs="宋体"/>
                <w:color w:val="000000" w:themeColor="text1"/>
                <w:kern w:val="0"/>
                <w:sz w:val="20"/>
                <w:szCs w:val="20"/>
                <w:lang w:val="en-US" w:eastAsia="zh-CN"/>
                <w14:textFill>
                  <w14:solidFill>
                    <w14:schemeClr w14:val="tx1"/>
                  </w14:solidFill>
                </w14:textFill>
              </w:rPr>
              <w:t>66.75%</w:t>
            </w:r>
          </w:p>
        </w:tc>
      </w:tr>
      <w:tr>
        <w:tblPrEx>
          <w:tblLayout w:type="fixed"/>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19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县级资金</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0"/>
                <w:szCs w:val="20"/>
                <w:lang w:val="en-US" w:eastAsia="zh-CN"/>
                <w14:textFill>
                  <w14:solidFill>
                    <w14:schemeClr w14:val="tx1"/>
                  </w14:solidFill>
                </w14:textFill>
              </w:rPr>
            </w:pPr>
          </w:p>
        </w:tc>
        <w:tc>
          <w:tcPr>
            <w:tcW w:w="26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4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themeColor="text1"/>
                <w:kern w:val="0"/>
                <w:sz w:val="20"/>
                <w:szCs w:val="20"/>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19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其他资金</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6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319" w:hRule="atLeast"/>
        </w:trPr>
        <w:tc>
          <w:tcPr>
            <w:tcW w:w="5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年度总体目标</w:t>
            </w:r>
          </w:p>
        </w:tc>
        <w:tc>
          <w:tcPr>
            <w:tcW w:w="4760"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年初设定目标</w:t>
            </w:r>
          </w:p>
        </w:tc>
        <w:tc>
          <w:tcPr>
            <w:tcW w:w="386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全年实际完成情况</w:t>
            </w:r>
          </w:p>
        </w:tc>
      </w:tr>
      <w:tr>
        <w:tblPrEx>
          <w:tblLayout w:type="fixed"/>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476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shd w:val="clear" w:color="auto" w:fill="auto"/>
                <w:lang w:val="en-US" w:eastAsia="zh-CN"/>
                <w14:textFill>
                  <w14:solidFill>
                    <w14:schemeClr w14:val="tx1"/>
                  </w14:solidFill>
                </w14:textFill>
              </w:rPr>
              <w:t>保障全县农村公路路面完好、安全、畅通，维护公路及其附属设施正常使用功能</w:t>
            </w:r>
            <w:r>
              <w:rPr>
                <w:rFonts w:hint="eastAsia" w:asciiTheme="minorEastAsia" w:hAnsiTheme="minorEastAsia" w:eastAsiaTheme="minorEastAsia" w:cstheme="minorEastAsia"/>
                <w:color w:val="000000" w:themeColor="text1"/>
                <w:sz w:val="20"/>
                <w:szCs w:val="20"/>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　</w:t>
            </w:r>
          </w:p>
        </w:tc>
        <w:tc>
          <w:tcPr>
            <w:tcW w:w="386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bCs/>
                <w:color w:val="000000" w:themeColor="text1"/>
                <w:sz w:val="20"/>
                <w:szCs w:val="20"/>
                <w:lang w:eastAsia="zh-CN"/>
                <w14:textFill>
                  <w14:solidFill>
                    <w14:schemeClr w14:val="tx1"/>
                  </w14:solidFill>
                </w14:textFill>
              </w:rPr>
              <w:t>已修通永丰镇南滩路两处断头路。</w:t>
            </w:r>
            <w:r>
              <w:rPr>
                <w:rFonts w:hint="eastAsia" w:asciiTheme="minorEastAsia" w:hAnsiTheme="minorEastAsia" w:eastAsiaTheme="minorEastAsia" w:cstheme="minorEastAsia"/>
                <w:bCs/>
                <w:color w:val="000000" w:themeColor="text1"/>
                <w:sz w:val="20"/>
                <w:szCs w:val="20"/>
                <w14:textFill>
                  <w14:solidFill>
                    <w14:schemeClr w14:val="tx1"/>
                  </w14:solidFill>
                </w14:textFill>
              </w:rPr>
              <w:t>保障全县农村公路路面完好、安全、畅通，维护公路正常使用功能，改善</w:t>
            </w:r>
            <w:r>
              <w:rPr>
                <w:rFonts w:hint="eastAsia" w:asciiTheme="minorEastAsia" w:hAnsiTheme="minorEastAsia" w:eastAsiaTheme="minorEastAsia" w:cstheme="minorEastAsia"/>
                <w:bCs/>
                <w:color w:val="000000" w:themeColor="text1"/>
                <w:sz w:val="20"/>
                <w:szCs w:val="20"/>
                <w:lang w:eastAsia="zh-CN"/>
                <w14:textFill>
                  <w14:solidFill>
                    <w14:schemeClr w14:val="tx1"/>
                  </w14:solidFill>
                </w14:textFill>
              </w:rPr>
              <w:t>道路</w:t>
            </w:r>
            <w:r>
              <w:rPr>
                <w:rFonts w:hint="eastAsia" w:asciiTheme="minorEastAsia" w:hAnsiTheme="minorEastAsia" w:eastAsiaTheme="minorEastAsia" w:cstheme="minorEastAsia"/>
                <w:bCs/>
                <w:color w:val="000000" w:themeColor="text1"/>
                <w:sz w:val="20"/>
                <w:szCs w:val="20"/>
                <w14:textFill>
                  <w14:solidFill>
                    <w14:schemeClr w14:val="tx1"/>
                  </w14:solidFill>
                </w14:textFill>
              </w:rPr>
              <w:t>通行服务。</w:t>
            </w: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522" w:hRule="atLeast"/>
        </w:trPr>
        <w:tc>
          <w:tcPr>
            <w:tcW w:w="560" w:type="dxa"/>
            <w:vMerge w:val="restart"/>
            <w:tcBorders>
              <w:top w:val="nil"/>
              <w:left w:val="single" w:color="auto" w:sz="4" w:space="0"/>
              <w:bottom w:val="single" w:color="auto" w:sz="4" w:space="0"/>
              <w:right w:val="single" w:color="auto" w:sz="4" w:space="0"/>
            </w:tcBorders>
            <w:shd w:val="clear" w:color="auto" w:fill="auto"/>
            <w:noWrap w:val="0"/>
            <w:textDirection w:val="tbRlV"/>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绩效指标</w:t>
            </w:r>
          </w:p>
        </w:tc>
        <w:tc>
          <w:tcPr>
            <w:tcW w:w="5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一级</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指标</w:t>
            </w:r>
          </w:p>
        </w:tc>
        <w:tc>
          <w:tcPr>
            <w:tcW w:w="8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二级指标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三级指标</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年度指标值</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全年完成值</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未完成原因和改进措施</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产</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出</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指</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标</w:t>
            </w: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数量指标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维修县、乡、村、专农村公路沥青混凝土路面公路里程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516.673公里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516.673公里</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维修省道沥青混凝土路面公路里程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33公里</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33公里</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r>
              <w:rPr>
                <w:rFonts w:hint="eastAsia" w:ascii="宋体" w:hAnsi="宋体" w:eastAsia="宋体" w:cs="宋体"/>
                <w:color w:val="000000" w:themeColor="text1"/>
                <w:kern w:val="0"/>
                <w:sz w:val="20"/>
                <w:szCs w:val="20"/>
                <w:lang w:eastAsia="zh-CN"/>
                <w14:textFill>
                  <w14:solidFill>
                    <w14:schemeClr w14:val="tx1"/>
                  </w14:solidFill>
                </w14:textFill>
              </w:rPr>
              <w:t>建设永丰镇南滩路两处断头路</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r>
              <w:rPr>
                <w:rFonts w:hint="eastAsia" w:ascii="宋体" w:hAnsi="宋体" w:eastAsia="宋体" w:cs="宋体"/>
                <w:color w:val="000000" w:themeColor="text1"/>
                <w:kern w:val="0"/>
                <w:sz w:val="20"/>
                <w:szCs w:val="20"/>
                <w:lang w:val="en-US" w:eastAsia="zh-CN"/>
                <w14:textFill>
                  <w14:solidFill>
                    <w14:schemeClr w14:val="tx1"/>
                  </w14:solidFill>
                </w14:textFill>
              </w:rPr>
              <w:t>600米</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r>
              <w:rPr>
                <w:rFonts w:hint="eastAsia" w:ascii="宋体" w:hAnsi="宋体" w:eastAsia="宋体" w:cs="宋体"/>
                <w:color w:val="000000" w:themeColor="text1"/>
                <w:kern w:val="0"/>
                <w:sz w:val="20"/>
                <w:szCs w:val="20"/>
                <w:lang w:val="en-US" w:eastAsia="zh-CN"/>
                <w14:textFill>
                  <w14:solidFill>
                    <w14:schemeClr w14:val="tx1"/>
                  </w14:solidFill>
                </w14:textFill>
              </w:rPr>
              <w:t>600米</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质量指标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t>项目（工程）验收合格率</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　100%</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　100%</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时效指标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开工时间</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2018年5月</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2018年5月</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完工时间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2018年10月</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both"/>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2018年10月</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成本指标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按交通部门行业标准制定维修费用</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r>
              <w:rPr>
                <w:rFonts w:hint="eastAsia" w:ascii="仿宋_GB2312"/>
                <w:color w:val="000000" w:themeColor="text1"/>
                <w:sz w:val="20"/>
                <w:szCs w:val="20"/>
                <w:lang w:val="en-US" w:eastAsia="zh-CN"/>
                <w14:textFill>
                  <w14:solidFill>
                    <w14:schemeClr w14:val="tx1"/>
                  </w14:solidFill>
                </w14:textFill>
              </w:rPr>
              <w:t>169.93</w:t>
            </w:r>
            <w:r>
              <w:rPr>
                <w:rFonts w:hint="eastAsia" w:ascii="宋体" w:hAnsi="宋体" w:eastAsia="宋体" w:cs="宋体"/>
                <w:color w:val="000000" w:themeColor="text1"/>
                <w:kern w:val="0"/>
                <w:sz w:val="20"/>
                <w:szCs w:val="20"/>
                <w14:textFill>
                  <w14:solidFill>
                    <w14:schemeClr w14:val="tx1"/>
                  </w14:solidFill>
                </w14:textFill>
              </w:rPr>
              <w:t>万元</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r>
              <w:rPr>
                <w:rFonts w:hint="eastAsia" w:ascii="仿宋_GB2312"/>
                <w:color w:val="000000" w:themeColor="text1"/>
                <w:sz w:val="20"/>
                <w:szCs w:val="20"/>
                <w:lang w:val="en-US" w:eastAsia="zh-CN"/>
                <w14:textFill>
                  <w14:solidFill>
                    <w14:schemeClr w14:val="tx1"/>
                  </w14:solidFill>
                </w14:textFill>
              </w:rPr>
              <w:t>169.93</w:t>
            </w:r>
            <w:r>
              <w:rPr>
                <w:rFonts w:hint="eastAsia" w:ascii="宋体" w:hAnsi="宋体" w:eastAsia="宋体" w:cs="宋体"/>
                <w:color w:val="000000" w:themeColor="text1"/>
                <w:kern w:val="0"/>
                <w:sz w:val="20"/>
                <w:szCs w:val="20"/>
                <w14:textFill>
                  <w14:solidFill>
                    <w14:schemeClr w14:val="tx1"/>
                  </w14:solidFill>
                </w14:textFill>
              </w:rPr>
              <w:t>万元</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693"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90"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400"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效</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益</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指</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标</w:t>
            </w: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经济效益指标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_GB2312" w:hAnsi="宋体" w:eastAsia="宋体" w:cs="宋体"/>
                <w:color w:val="000000" w:themeColor="text1"/>
                <w:kern w:val="0"/>
                <w:sz w:val="20"/>
                <w:szCs w:val="32"/>
                <w:lang w:eastAsia="zh-CN"/>
                <w14:textFill>
                  <w14:solidFill>
                    <w14:schemeClr w14:val="tx1"/>
                  </w14:solidFill>
                </w14:textFill>
              </w:rPr>
            </w:pPr>
            <w:r>
              <w:rPr>
                <w:rFonts w:hint="eastAsia" w:ascii="仿宋_GB2312" w:hAnsi="宋体" w:eastAsia="宋体" w:cs="宋体"/>
                <w:color w:val="000000" w:themeColor="text1"/>
                <w:kern w:val="0"/>
                <w:sz w:val="20"/>
                <w:szCs w:val="32"/>
                <w:lang w:eastAsia="zh-CN"/>
                <w14:textFill>
                  <w14:solidFill>
                    <w14:schemeClr w14:val="tx1"/>
                  </w14:solidFill>
                </w14:textFill>
              </w:rPr>
              <w:t>促进经济可持续发展</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明显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明显</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社会效益指标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t>项目覆盖</w:t>
            </w:r>
            <w:r>
              <w:rPr>
                <w:rFonts w:hint="eastAsia" w:asciiTheme="minorEastAsia" w:hAnsiTheme="minorEastAsia" w:eastAsiaTheme="minorEastAsia" w:cstheme="minorEastAsia"/>
                <w:color w:val="000000" w:themeColor="text1"/>
                <w:sz w:val="20"/>
                <w:szCs w:val="20"/>
                <w:lang w:eastAsia="zh-CN"/>
                <w14:textFill>
                  <w14:solidFill>
                    <w14:schemeClr w14:val="tx1"/>
                  </w14:solidFill>
                </w14:textFill>
              </w:rPr>
              <w:t>建制</w:t>
            </w:r>
            <w:r>
              <w:rPr>
                <w:rFonts w:hint="eastAsia" w:asciiTheme="minorEastAsia" w:hAnsiTheme="minorEastAsia" w:eastAsiaTheme="minorEastAsia" w:cstheme="minorEastAsia"/>
                <w:color w:val="000000" w:themeColor="text1"/>
                <w:sz w:val="20"/>
                <w:szCs w:val="20"/>
                <w14:textFill>
                  <w14:solidFill>
                    <w14:schemeClr w14:val="tx1"/>
                  </w14:solidFill>
                </w14:textFill>
              </w:rPr>
              <w:t>村</w:t>
            </w:r>
            <w:r>
              <w:rPr>
                <w:rFonts w:hint="eastAsia" w:asciiTheme="minorEastAsia" w:hAnsiTheme="minorEastAsia" w:eastAsiaTheme="minorEastAsia" w:cstheme="minorEastAsia"/>
                <w:color w:val="000000" w:themeColor="text1"/>
                <w:sz w:val="20"/>
                <w:szCs w:val="20"/>
                <w:lang w:eastAsia="zh-CN"/>
                <w14:textFill>
                  <w14:solidFill>
                    <w14:schemeClr w14:val="tx1"/>
                  </w14:solidFill>
                </w14:textFill>
              </w:rPr>
              <w:t>个数</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36</w:t>
            </w: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r>
              <w:rPr>
                <w:rFonts w:hint="eastAsia" w:ascii="宋体" w:hAnsi="宋体" w:eastAsia="宋体" w:cs="宋体"/>
                <w:color w:val="000000" w:themeColor="text1"/>
                <w:kern w:val="0"/>
                <w:sz w:val="20"/>
                <w:szCs w:val="20"/>
                <w:lang w:val="en-US" w:eastAsia="zh-CN"/>
                <w14:textFill>
                  <w14:solidFill>
                    <w14:schemeClr w14:val="tx1"/>
                  </w14:solidFill>
                </w14:textFill>
              </w:rPr>
              <w:t>36</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　受益群众人数</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≥4万人</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≥4万人</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　基本公共服务水平</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r>
              <w:rPr>
                <w:rFonts w:hint="eastAsia" w:ascii="宋体" w:hAnsi="宋体" w:eastAsia="宋体" w:cs="宋体"/>
                <w:color w:val="000000" w:themeColor="text1"/>
                <w:kern w:val="0"/>
                <w:sz w:val="20"/>
                <w:szCs w:val="20"/>
                <w:lang w:eastAsia="zh-CN"/>
                <w14:textFill>
                  <w14:solidFill>
                    <w14:schemeClr w14:val="tx1"/>
                  </w14:solidFill>
                </w14:textFill>
              </w:rPr>
              <w:t>提升</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r>
              <w:rPr>
                <w:rFonts w:hint="eastAsia" w:ascii="宋体" w:hAnsi="宋体" w:eastAsia="宋体" w:cs="宋体"/>
                <w:color w:val="000000" w:themeColor="text1"/>
                <w:kern w:val="0"/>
                <w:sz w:val="20"/>
                <w:szCs w:val="20"/>
                <w:lang w:eastAsia="zh-CN"/>
                <w14:textFill>
                  <w14:solidFill>
                    <w14:schemeClr w14:val="tx1"/>
                  </w14:solidFill>
                </w14:textFill>
              </w:rPr>
              <w:t>提升</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生态效益指标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　</w:t>
            </w:r>
            <w:r>
              <w:rPr>
                <w:rFonts w:hint="eastAsia" w:asciiTheme="minorEastAsia" w:hAnsiTheme="minorEastAsia" w:eastAsiaTheme="minorEastAsia" w:cstheme="minorEastAsia"/>
                <w:color w:val="000000" w:themeColor="text1"/>
                <w:sz w:val="20"/>
                <w:szCs w:val="20"/>
                <w:lang w:eastAsia="zh-CN"/>
                <w14:textFill>
                  <w14:solidFill>
                    <w14:schemeClr w14:val="tx1"/>
                  </w14:solidFill>
                </w14:textFill>
              </w:rPr>
              <w:t>控制道路扬尘污染</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明显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明显</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可持续影响指标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t>农村公路小修维护适应公路交通</w:t>
            </w:r>
            <w:r>
              <w:rPr>
                <w:rFonts w:hint="eastAsia" w:asciiTheme="minorEastAsia" w:hAnsiTheme="minorEastAsia" w:eastAsiaTheme="minorEastAsia" w:cstheme="minorEastAsia"/>
                <w:color w:val="000000" w:themeColor="text1"/>
                <w:sz w:val="20"/>
                <w:szCs w:val="20"/>
                <w:lang w:eastAsia="zh-CN"/>
                <w14:textFill>
                  <w14:solidFill>
                    <w14:schemeClr w14:val="tx1"/>
                  </w14:solidFill>
                </w14:textFill>
              </w:rPr>
              <w:t>发展</w:t>
            </w:r>
            <w:r>
              <w:rPr>
                <w:rFonts w:hint="eastAsia" w:asciiTheme="minorEastAsia" w:hAnsiTheme="minorEastAsia" w:eastAsiaTheme="minorEastAsia" w:cstheme="minorEastAsia"/>
                <w:color w:val="000000" w:themeColor="text1"/>
                <w:sz w:val="20"/>
                <w:szCs w:val="20"/>
                <w14:textFill>
                  <w14:solidFill>
                    <w14:schemeClr w14:val="tx1"/>
                  </w14:solidFill>
                </w14:textFill>
              </w:rPr>
              <w:t>需求</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r>
              <w:rPr>
                <w:rFonts w:hint="eastAsia" w:ascii="宋体" w:hAnsi="宋体" w:eastAsia="宋体" w:cs="宋体"/>
                <w:color w:val="000000" w:themeColor="text1"/>
                <w:kern w:val="0"/>
                <w:sz w:val="20"/>
                <w:szCs w:val="20"/>
                <w:lang w:eastAsia="zh-CN"/>
                <w14:textFill>
                  <w14:solidFill>
                    <w14:schemeClr w14:val="tx1"/>
                  </w14:solidFill>
                </w14:textFill>
              </w:rPr>
              <w:t>长期</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r>
              <w:rPr>
                <w:rFonts w:hint="eastAsia" w:ascii="宋体" w:hAnsi="宋体" w:eastAsia="宋体" w:cs="宋体"/>
                <w:color w:val="000000" w:themeColor="text1"/>
                <w:kern w:val="0"/>
                <w:sz w:val="20"/>
                <w:szCs w:val="20"/>
                <w:lang w:eastAsia="zh-CN"/>
                <w14:textFill>
                  <w14:solidFill>
                    <w14:schemeClr w14:val="tx1"/>
                  </w14:solidFill>
                </w14:textFill>
              </w:rPr>
              <w:t>长期</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满意度指标</w:t>
            </w: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服务对象满意度指标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改善通行服务水平群众满意度</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t>≥90%</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　≥90%</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59" w:hRule="atLeast"/>
        </w:trPr>
        <w:tc>
          <w:tcPr>
            <w:tcW w:w="5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说明</w:t>
            </w:r>
          </w:p>
        </w:tc>
        <w:tc>
          <w:tcPr>
            <w:tcW w:w="862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lang w:eastAsia="zh-CN"/>
                <w14:textFill>
                  <w14:solidFill>
                    <w14:schemeClr w14:val="tx1"/>
                  </w14:solidFill>
                </w14:textFill>
              </w:rPr>
              <w:t>无</w:t>
            </w:r>
          </w:p>
        </w:tc>
      </w:tr>
      <w:tr>
        <w:tblPrEx>
          <w:tblLayout w:type="fixed"/>
          <w:tblCellMar>
            <w:top w:w="0" w:type="dxa"/>
            <w:left w:w="108" w:type="dxa"/>
            <w:bottom w:w="0" w:type="dxa"/>
            <w:right w:w="108" w:type="dxa"/>
          </w:tblCellMar>
        </w:tblPrEx>
        <w:trPr>
          <w:trHeight w:val="540" w:hRule="atLeast"/>
        </w:trPr>
        <w:tc>
          <w:tcPr>
            <w:tcW w:w="9180" w:type="dxa"/>
            <w:gridSpan w:val="8"/>
            <w:tcBorders>
              <w:top w:val="nil"/>
              <w:left w:val="nil"/>
              <w:bottom w:val="nil"/>
              <w:right w:val="nil"/>
            </w:tcBorders>
            <w:shd w:val="clear" w:color="auto" w:fill="auto"/>
            <w:noWrap w:val="0"/>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注：1.定性指标根据指标完成情况分为：达成预期指标、部分达成预期指标并具有一定效果、未达成预期指标且效果较差三档，分别按照100-80%（含80%）、80-50%（含50%）、50-0%合理填写完成比例。</w:t>
            </w:r>
          </w:p>
        </w:tc>
      </w:tr>
      <w:tr>
        <w:tblPrEx>
          <w:tblLayout w:type="fixed"/>
          <w:tblCellMar>
            <w:top w:w="0" w:type="dxa"/>
            <w:left w:w="108" w:type="dxa"/>
            <w:bottom w:w="0" w:type="dxa"/>
            <w:right w:w="108" w:type="dxa"/>
          </w:tblCellMar>
        </w:tblPrEx>
        <w:trPr>
          <w:trHeight w:val="480" w:hRule="atLeast"/>
        </w:trPr>
        <w:tc>
          <w:tcPr>
            <w:tcW w:w="9180" w:type="dxa"/>
            <w:gridSpan w:val="8"/>
            <w:tcBorders>
              <w:top w:val="nil"/>
              <w:left w:val="nil"/>
              <w:bottom w:val="nil"/>
              <w:right w:val="nil"/>
            </w:tcBorders>
            <w:shd w:val="clear" w:color="auto" w:fill="auto"/>
            <w:noWrap w:val="0"/>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2.定量指标若为正向指标（即指标值为≥*），则得分计算方法应用全年实际值（B）/年度指标值（A）</w:t>
            </w:r>
            <w:r>
              <w:rPr>
                <w:rFonts w:hint="eastAsia" w:ascii="宋体" w:hAnsi="宋体" w:eastAsia="宋体" w:cs="宋体"/>
                <w:color w:val="000000" w:themeColor="text1"/>
                <w:kern w:val="0"/>
                <w:sz w:val="12"/>
                <w:szCs w:val="12"/>
                <w14:textFill>
                  <w14:solidFill>
                    <w14:schemeClr w14:val="tx1"/>
                  </w14:solidFill>
                </w14:textFill>
              </w:rPr>
              <w:t>╳</w:t>
            </w:r>
            <w:r>
              <w:rPr>
                <w:rFonts w:hint="eastAsia" w:ascii="宋体" w:hAnsi="宋体" w:eastAsia="宋体" w:cs="宋体"/>
                <w:color w:val="000000" w:themeColor="text1"/>
                <w:kern w:val="0"/>
                <w:sz w:val="18"/>
                <w:szCs w:val="18"/>
                <w14:textFill>
                  <w14:solidFill>
                    <w14:schemeClr w14:val="tx1"/>
                  </w14:solidFill>
                </w14:textFill>
              </w:rPr>
              <w:t>该指标分值；若定量指标为反向指标（即指标值为≤*），则得分计算方法应用年度指标值（A）/全年实际值（B）</w:t>
            </w:r>
            <w:r>
              <w:rPr>
                <w:rFonts w:hint="eastAsia" w:ascii="宋体" w:hAnsi="宋体" w:eastAsia="宋体" w:cs="宋体"/>
                <w:color w:val="000000" w:themeColor="text1"/>
                <w:kern w:val="0"/>
                <w:sz w:val="12"/>
                <w:szCs w:val="12"/>
                <w14:textFill>
                  <w14:solidFill>
                    <w14:schemeClr w14:val="tx1"/>
                  </w14:solidFill>
                </w14:textFill>
              </w:rPr>
              <w:t>╳</w:t>
            </w:r>
            <w:r>
              <w:rPr>
                <w:rFonts w:hint="eastAsia" w:ascii="宋体" w:hAnsi="宋体" w:eastAsia="宋体" w:cs="宋体"/>
                <w:color w:val="000000" w:themeColor="text1"/>
                <w:kern w:val="0"/>
                <w:sz w:val="18"/>
                <w:szCs w:val="18"/>
                <w14:textFill>
                  <w14:solidFill>
                    <w14:schemeClr w14:val="tx1"/>
                  </w14:solidFill>
                </w14:textFill>
              </w:rPr>
              <w:t>该指标分值。</w:t>
            </w:r>
          </w:p>
        </w:tc>
      </w:tr>
    </w:tbl>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农村基础设施建设支出（公交站点）项目绩效自评综述：根据年初设定的绩效目标，农村基础设施建设支出（公交站点）目绩效自评得分为92分。项目全年预算数为60万元，执行数为8.95万元，完成预算的14.9</w:t>
      </w:r>
      <w:r>
        <w:rPr>
          <w:rFonts w:hint="eastAsia" w:ascii="仿宋_GB2312" w:eastAsia="仿宋_GB2312"/>
          <w:sz w:val="32"/>
          <w:szCs w:val="32"/>
          <w:lang w:val="en-US" w:eastAsia="zh-CN"/>
        </w:rPr>
        <w:t>2%</w:t>
      </w:r>
      <w:r>
        <w:rPr>
          <w:rFonts w:hint="eastAsia" w:ascii="仿宋_GB2312" w:eastAsia="仿宋_GB2312"/>
          <w:sz w:val="32"/>
          <w:szCs w:val="32"/>
        </w:rPr>
        <w:t>。按照市委市政府要求，2018年试点乡村公交的开通得到了当地群众的一致好评，给当地农牧民出行提供了极大便利。主要产出和效果：2018年完成了120个公交站点的建设工作，保障了公交顺利开通。下一步改进措施：按照市、县两级政府的指示要求，2019年计划在我县其他乡镇继续开通农村客运班线。后期结合我县实际情况，制定切实可行的施工方案，保障工程在规定时间内完成，不断总结相关工作经验。将好的工作方法运用到实际工作中。</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lang w:val="en-US"/>
              </w:rPr>
            </w:pPr>
            <w:r>
              <w:rPr>
                <w:rFonts w:hint="eastAsia" w:asciiTheme="minorEastAsia" w:hAnsiTheme="minorEastAsia" w:eastAsiaTheme="minorEastAsia" w:cstheme="minorEastAsia"/>
                <w:kern w:val="0"/>
                <w:sz w:val="20"/>
                <w:szCs w:val="20"/>
                <w:lang w:eastAsia="zh-CN"/>
              </w:rPr>
              <w:t>农村基础设施建设（</w:t>
            </w:r>
            <w:r>
              <w:rPr>
                <w:rFonts w:hint="eastAsia" w:asciiTheme="minorEastAsia" w:hAnsiTheme="minorEastAsia" w:eastAsiaTheme="minorEastAsia" w:cstheme="minorEastAsia"/>
                <w:kern w:val="0"/>
                <w:sz w:val="20"/>
                <w:szCs w:val="20"/>
                <w:lang w:val="en-US" w:eastAsia="zh-CN"/>
              </w:rPr>
              <w:t>乡村公交站点建设及配套设施</w:t>
            </w:r>
            <w:r>
              <w:rPr>
                <w:rFonts w:hint="eastAsia" w:asciiTheme="minorEastAsia" w:hAnsiTheme="minorEastAsia" w:eastAsiaTheme="minorEastAsia" w:cstheme="minorEastAsia"/>
                <w:kern w:val="0"/>
                <w:sz w:val="20"/>
                <w:szCs w:val="20"/>
                <w:lang w:eastAsia="zh-CN"/>
              </w:rPr>
              <w:t>）</w:t>
            </w:r>
            <w:r>
              <w:rPr>
                <w:rFonts w:hint="eastAsia" w:asciiTheme="minorEastAsia" w:hAnsiTheme="minorEastAsia" w:eastAsiaTheme="minorEastAsia" w:cstheme="minorEastAsia"/>
                <w:kern w:val="0"/>
                <w:sz w:val="20"/>
                <w:szCs w:val="20"/>
                <w:lang w:val="en-US" w:eastAsia="zh-CN"/>
              </w:rPr>
              <w:t>项目</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hint="eastAsia" w:ascii="宋体" w:eastAsia="宋体" w:cs="宋体"/>
                <w:kern w:val="0"/>
                <w:sz w:val="20"/>
                <w:szCs w:val="20"/>
                <w:lang w:eastAsia="zh-CN"/>
              </w:rPr>
            </w:pPr>
            <w:r>
              <w:rPr>
                <w:rFonts w:hint="eastAsia" w:ascii="宋体" w:hAnsi="宋体" w:cs="宋体"/>
                <w:kern w:val="0"/>
                <w:sz w:val="20"/>
                <w:szCs w:val="20"/>
                <w:lang w:val="en-US" w:eastAsia="zh-CN"/>
              </w:rPr>
              <w:t>县交通局</w:t>
            </w: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eastAsia="宋体" w:cs="宋体"/>
                <w:kern w:val="0"/>
                <w:sz w:val="20"/>
                <w:szCs w:val="20"/>
                <w:lang w:val="en-US" w:eastAsia="zh-CN"/>
              </w:rPr>
            </w:pPr>
            <w:r>
              <w:rPr>
                <w:rFonts w:hint="eastAsia" w:ascii="宋体" w:hAnsi="宋体" w:cs="宋体"/>
                <w:kern w:val="0"/>
                <w:sz w:val="20"/>
                <w:szCs w:val="20"/>
                <w:lang w:val="en-US" w:eastAsia="zh-CN"/>
              </w:rPr>
              <w:t>60</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lang w:val="en-US" w:eastAsia="zh-CN"/>
              </w:rPr>
              <w:t>8.95</w:t>
            </w: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lang w:val="en-US" w:eastAsia="zh-CN"/>
              </w:rPr>
              <w:t>0</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2018年完成了120个公交站点的建设工作，保障了公交顺利开通。</w:t>
            </w:r>
          </w:p>
        </w:tc>
        <w:tc>
          <w:tcPr>
            <w:tcW w:w="3840" w:type="dxa"/>
            <w:gridSpan w:val="2"/>
            <w:tcBorders>
              <w:top w:val="single" w:color="auto" w:sz="4" w:space="0"/>
              <w:left w:val="nil"/>
              <w:bottom w:val="single" w:color="auto" w:sz="4" w:space="0"/>
              <w:right w:val="single" w:color="000000" w:sz="4" w:space="0"/>
            </w:tcBorders>
          </w:tcPr>
          <w:p>
            <w:pPr>
              <w:widowControl/>
              <w:jc w:val="center"/>
              <w:rPr>
                <w:rFonts w:asci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val="en-US" w:eastAsia="zh-CN"/>
              </w:rPr>
              <w:t>2018年完成了120个公交站点的建设工作，保障了公交顺利开通。</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完成120个公交站点</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val="en-US" w:eastAsia="zh-CN"/>
              </w:rPr>
              <w:t>完成120个公交站点</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红绿灯</w:t>
            </w:r>
          </w:p>
        </w:tc>
        <w:tc>
          <w:tcPr>
            <w:tcW w:w="1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1个</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站点完成情况</w:t>
            </w:r>
          </w:p>
        </w:tc>
        <w:tc>
          <w:tcPr>
            <w:tcW w:w="1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开工时间</w:t>
            </w:r>
          </w:p>
        </w:tc>
        <w:tc>
          <w:tcPr>
            <w:tcW w:w="1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lang w:val="en-US" w:eastAsia="zh-CN"/>
              </w:rPr>
              <w:t>2018年5月</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val="en-US" w:eastAsia="zh-CN"/>
              </w:rPr>
              <w:t>完工时间</w:t>
            </w:r>
          </w:p>
        </w:tc>
        <w:tc>
          <w:tcPr>
            <w:tcW w:w="1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2018年6月</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lang w:val="en-US" w:eastAsia="zh-CN"/>
              </w:rPr>
              <w:t>60万元</w:t>
            </w:r>
          </w:p>
        </w:tc>
        <w:tc>
          <w:tcPr>
            <w:tcW w:w="178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≤60万元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经济发展</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lang w:val="en-US" w:eastAsia="zh-CN"/>
              </w:rPr>
              <w:t>带动沿线经济发展，为当地群众节约交通费用。</w:t>
            </w: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val="en-US" w:eastAsia="zh-CN"/>
              </w:rPr>
              <w:t>基本公共服务水平</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lang w:val="en-US" w:eastAsia="zh-CN"/>
              </w:rPr>
              <w:t>基本公共服务水平提升</w:t>
            </w: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绿色环保出行的交通工具</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lang w:val="en-US" w:eastAsia="zh-CN"/>
              </w:rPr>
              <w:t>沿线群众采取公交出行，减少汽车尾气排放，对保护生态环境起到积极作用。</w:t>
            </w: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持续增强沿线群众的获得感、幸福感</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val="en-US" w:eastAsia="zh-CN"/>
              </w:rPr>
              <w:t>持续增强沿线群众的获得感、幸福感</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lang w:val="en-US" w:eastAsia="zh-CN"/>
              </w:rPr>
              <w:t>沿线群众满意度＞100%</w:t>
            </w: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val="en-US" w:eastAsia="zh-CN"/>
              </w:rPr>
              <w:t>沿线群众满意度＞100%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pStyle w:val="2"/>
        <w:rPr>
          <w:rFonts w:hint="eastAsia"/>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2120803</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城市建设支出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农村基础设施建设支出</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2140106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公路养护</w:t>
      </w:r>
      <w:bookmarkStart w:id="0" w:name="_GoBack"/>
      <w:bookmarkEnd w:id="0"/>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417058"/>
    <w:rsid w:val="004642B9"/>
    <w:rsid w:val="004763B2"/>
    <w:rsid w:val="004A2F26"/>
    <w:rsid w:val="0058643C"/>
    <w:rsid w:val="006059F7"/>
    <w:rsid w:val="009A4996"/>
    <w:rsid w:val="00BE7FE7"/>
    <w:rsid w:val="00CE0C1D"/>
    <w:rsid w:val="00CF769E"/>
    <w:rsid w:val="00D923F6"/>
    <w:rsid w:val="00F21610"/>
    <w:rsid w:val="4572647A"/>
    <w:rsid w:val="7FB94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iPriority w:val="0"/>
    <w:pPr>
      <w:spacing w:before="100" w:beforeAutospacing="1" w:after="100" w:afterAutospacing="1"/>
      <w:ind w:firstLine="200" w:firstLineChars="200"/>
    </w:pPr>
  </w:style>
  <w:style w:type="paragraph" w:styleId="3">
    <w:name w:val="Body Text Indent"/>
    <w:basedOn w:val="1"/>
    <w:uiPriority w:val="0"/>
    <w:pPr>
      <w:spacing w:after="120"/>
      <w:ind w:left="200" w:leftChars="200"/>
    </w:pPr>
  </w:style>
  <w:style w:type="paragraph" w:styleId="4">
    <w:name w:val="annotation text"/>
    <w:basedOn w:val="1"/>
    <w:link w:val="9"/>
    <w:qFormat/>
    <w:uiPriority w:val="0"/>
    <w:pPr>
      <w:jc w:val="left"/>
    </w:pPr>
    <w:rPr>
      <w:rFonts w:ascii="Times New Roman" w:hAnsi="Times New Roman" w:eastAsia="宋体" w:cs="Times New Roman"/>
      <w:szCs w:val="24"/>
    </w:rPr>
  </w:style>
  <w:style w:type="paragraph" w:styleId="5">
    <w:name w:val="Balloon Text"/>
    <w:basedOn w:val="1"/>
    <w:link w:val="10"/>
    <w:semiHidden/>
    <w:unhideWhenUsed/>
    <w:qFormat/>
    <w:uiPriority w:val="99"/>
    <w:rPr>
      <w:sz w:val="18"/>
      <w:szCs w:val="18"/>
    </w:rPr>
  </w:style>
  <w:style w:type="character" w:styleId="8">
    <w:name w:val="annotation reference"/>
    <w:basedOn w:val="7"/>
    <w:semiHidden/>
    <w:unhideWhenUsed/>
    <w:qFormat/>
    <w:uiPriority w:val="99"/>
    <w:rPr>
      <w:sz w:val="21"/>
      <w:szCs w:val="21"/>
    </w:rPr>
  </w:style>
  <w:style w:type="character" w:customStyle="1" w:styleId="9">
    <w:name w:val="批注文字 Char"/>
    <w:basedOn w:val="7"/>
    <w:link w:val="4"/>
    <w:qFormat/>
    <w:uiPriority w:val="0"/>
    <w:rPr>
      <w:rFonts w:ascii="Times New Roman" w:hAnsi="Times New Roman" w:eastAsia="宋体" w:cs="Times New Roman"/>
      <w:szCs w:val="24"/>
    </w:rPr>
  </w:style>
  <w:style w:type="character" w:customStyle="1" w:styleId="10">
    <w:name w:val="批注框文本 Char"/>
    <w:basedOn w:val="7"/>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784</Words>
  <Characters>4472</Characters>
  <Lines>37</Lines>
  <Paragraphs>10</Paragraphs>
  <TotalTime>1</TotalTime>
  <ScaleCrop>false</ScaleCrop>
  <LinksUpToDate>false</LinksUpToDate>
  <CharactersWithSpaces>5246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GXR</cp:lastModifiedBy>
  <dcterms:modified xsi:type="dcterms:W3CDTF">2019-09-09T05:23:16Z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