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2018年度新疆乌鲁木齐县交通局部门决算汇总部门决算公开说明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乌鲁木齐县交通局主要职责是负责全县综合运输体系的规划协调，编制综合运输体系规划，指导交通输枢纽规划和管理，承担公路及其设施的建设、管理和养护。负责公路工程质量、基本建设项目招投标活动和安全生产的监督管理。单位内设办公室、项目管理办、业务管理办、质量监督办四个科室。单位在职在编人员 16人，1人为公务员。。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从决算单位构成看，新疆乌鲁木齐县交通局部门决算汇总部门决算包括：新疆乌鲁木齐县交通局部门决算汇总部门本级决算、所属单位决算等。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新疆乌鲁木齐县交通局部门决算汇总编制数22个，包括行政编制3个，事业编制19个。年末实有人数16人，其中：行政在职1人，事业在职15人。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纳入新疆乌鲁木齐县交通局部门决算汇总2018年部门决算编制范围的单位名单见下表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新疆乌鲁木齐县交通局部门决算汇总</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jc w:val="center"/>
              <w:rPr>
                <w:rFonts w:ascii="仿宋_GB2312" w:eastAsia="仿宋_GB2312"/>
                <w:sz w:val="32"/>
                <w:szCs w:val="32"/>
              </w:rPr>
            </w:pPr>
            <w:r>
              <w:rPr>
                <w:rFonts w:hint="eastAsia" w:ascii="仿宋_GB2312" w:eastAsia="仿宋_GB2312"/>
                <w:sz w:val="32"/>
                <w:szCs w:val="32"/>
              </w:rPr>
              <w:t>2</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新疆乌鲁木齐县交通局</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jc w:val="center"/>
              <w:rPr>
                <w:rFonts w:ascii="仿宋_GB2312" w:eastAsia="仿宋_GB2312"/>
                <w:sz w:val="32"/>
                <w:szCs w:val="32"/>
              </w:rPr>
            </w:pPr>
            <w:r>
              <w:rPr>
                <w:rFonts w:hint="eastAsia" w:ascii="仿宋_GB2312" w:eastAsia="仿宋_GB2312"/>
                <w:sz w:val="32"/>
                <w:szCs w:val="32"/>
                <w:lang w:val="en-US" w:eastAsia="zh-CN"/>
              </w:rPr>
              <w:t>3</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新疆乌鲁木齐县农村公路养护队</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新疆乌鲁木齐县农村公路管理站</w:t>
            </w: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2018年度收入4,227.09万元,与上年相比，</w:t>
      </w:r>
      <w:r>
        <w:rPr>
          <w:rFonts w:hint="eastAsia" w:ascii="仿宋_GB2312" w:eastAsia="仿宋_GB2312"/>
          <w:sz w:val="32"/>
          <w:szCs w:val="32"/>
          <w:lang w:eastAsia="zh-CN"/>
        </w:rPr>
        <w:t>减少</w:t>
      </w:r>
      <w:r>
        <w:rPr>
          <w:rFonts w:hint="eastAsia" w:ascii="仿宋_GB2312" w:eastAsia="仿宋_GB2312"/>
          <w:sz w:val="32"/>
          <w:szCs w:val="32"/>
        </w:rPr>
        <w:t>5303.67万元，降低55.65%，增减变化主要原因是：本年存量资金拨款减少；支出4,136.01万元,与上年相比，</w:t>
      </w:r>
      <w:r>
        <w:rPr>
          <w:rFonts w:hint="eastAsia" w:ascii="仿宋_GB2312" w:eastAsia="仿宋_GB2312"/>
          <w:sz w:val="32"/>
          <w:szCs w:val="32"/>
          <w:lang w:eastAsia="zh-CN"/>
        </w:rPr>
        <w:t>减少</w:t>
      </w:r>
      <w:r>
        <w:rPr>
          <w:rFonts w:hint="eastAsia" w:ascii="仿宋_GB2312" w:eastAsia="仿宋_GB2312"/>
          <w:sz w:val="32"/>
          <w:szCs w:val="32"/>
        </w:rPr>
        <w:t>2313.12万元，降低35.87%，增减变化主要原因是：本年存量资金拨款项目支出减少；结余6,012.99万元，与上年相比，增加31.55万元，增长0.53%。增减变化主要原因是：环南山公路拨款增加</w:t>
      </w:r>
      <w:r>
        <w:rPr>
          <w:rFonts w:hint="eastAsia" w:ascii="仿宋_GB2312" w:eastAsia="仿宋_GB2312"/>
          <w:sz w:val="32"/>
          <w:szCs w:val="32"/>
          <w:lang w:eastAsia="zh-CN"/>
        </w:rPr>
        <w:t>，结转结余增加</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4,227.09万元，其中：财政拨款收入3,630.92万元，占85.90%；上级补助收入0.00万元，占0.00%；事业收入0.00万元，占0.00%；经营收入0.00万元，占0.00%；附属单位缴款0.00万元，占0.00%；其他收入596.17万元，占14.10%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与年初预算数相比情况：本年收入年初预算数538.73万元，决算数4,227.09万元，预决算差异率684.64%，差异主要原因本年存量资金拨款减少。</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本年支出合计4,136.01万元，其中：基本支出343.71万元，占8.31%；项目支出3,792.30万元，占91.69%；上缴上级支出0.00万元，占0.00%；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与年初预算数相比情况：本年支出年初预算数538.73万元，决算数4,136.01万元，预决算差异率667.74%，差异主要原因本年存量资金拨款减少。</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2018年度财政拨款收入3,630.92万元，与上年相比，</w:t>
      </w:r>
      <w:r>
        <w:rPr>
          <w:rFonts w:hint="eastAsia" w:ascii="仿宋_GB2312" w:eastAsia="仿宋_GB2312"/>
          <w:sz w:val="32"/>
          <w:szCs w:val="32"/>
          <w:lang w:eastAsia="zh-CN"/>
        </w:rPr>
        <w:t>减少</w:t>
      </w:r>
      <w:r>
        <w:rPr>
          <w:rFonts w:hint="eastAsia" w:ascii="仿宋_GB2312" w:eastAsia="仿宋_GB2312"/>
          <w:sz w:val="32"/>
          <w:szCs w:val="32"/>
        </w:rPr>
        <w:t>1666.96万元，降低31.46%。增减变化的主要原因是：</w:t>
      </w:r>
      <w:r>
        <w:rPr>
          <w:rFonts w:hint="eastAsia" w:ascii="仿宋_GB2312" w:eastAsia="仿宋_GB2312"/>
          <w:sz w:val="32"/>
          <w:szCs w:val="32"/>
          <w:lang w:eastAsia="zh-CN"/>
        </w:rPr>
        <w:t>项目支出减少，</w:t>
      </w:r>
      <w:r>
        <w:rPr>
          <w:rFonts w:hint="eastAsia" w:ascii="仿宋_GB2312" w:eastAsia="仿宋_GB2312"/>
          <w:sz w:val="32"/>
          <w:szCs w:val="32"/>
        </w:rPr>
        <w:t>财政拨款收入</w:t>
      </w:r>
      <w:r>
        <w:rPr>
          <w:rFonts w:hint="eastAsia" w:ascii="仿宋_GB2312" w:eastAsia="仿宋_GB2312"/>
          <w:sz w:val="32"/>
          <w:szCs w:val="32"/>
          <w:lang w:eastAsia="zh-CN"/>
        </w:rPr>
        <w:t>减少</w:t>
      </w:r>
      <w:r>
        <w:rPr>
          <w:rFonts w:hint="eastAsia" w:ascii="仿宋_GB2312" w:eastAsia="仿宋_GB2312"/>
          <w:sz w:val="32"/>
          <w:szCs w:val="32"/>
        </w:rPr>
        <w:t>。财政拨款支出3,272.71万元，与上年相比，</w:t>
      </w:r>
      <w:r>
        <w:rPr>
          <w:rFonts w:hint="eastAsia" w:ascii="仿宋_GB2312" w:eastAsia="仿宋_GB2312"/>
          <w:sz w:val="32"/>
          <w:szCs w:val="32"/>
          <w:lang w:eastAsia="zh-CN"/>
        </w:rPr>
        <w:t>减少</w:t>
      </w:r>
      <w:r>
        <w:rPr>
          <w:rFonts w:hint="eastAsia" w:ascii="仿宋_GB2312" w:eastAsia="仿宋_GB2312"/>
          <w:sz w:val="32"/>
          <w:szCs w:val="32"/>
        </w:rPr>
        <w:t>1378.7万元，降低29.64%，增减变化的主要原因是：</w:t>
      </w:r>
      <w:r>
        <w:rPr>
          <w:rFonts w:hint="eastAsia" w:ascii="仿宋_GB2312" w:eastAsia="仿宋_GB2312"/>
          <w:sz w:val="32"/>
          <w:szCs w:val="32"/>
          <w:lang w:eastAsia="zh-CN"/>
        </w:rPr>
        <w:t>项目支出减少，</w:t>
      </w:r>
      <w:r>
        <w:rPr>
          <w:rFonts w:hint="eastAsia" w:ascii="仿宋_GB2312" w:eastAsia="仿宋_GB2312"/>
          <w:sz w:val="32"/>
          <w:szCs w:val="32"/>
        </w:rPr>
        <w:t>财政拨款</w:t>
      </w:r>
      <w:r>
        <w:rPr>
          <w:rFonts w:hint="eastAsia" w:ascii="仿宋_GB2312" w:eastAsia="仿宋_GB2312"/>
          <w:sz w:val="32"/>
          <w:szCs w:val="32"/>
          <w:lang w:eastAsia="zh-CN"/>
        </w:rPr>
        <w:t>支出减少</w:t>
      </w:r>
      <w:r>
        <w:rPr>
          <w:rFonts w:hint="eastAsia" w:ascii="仿宋_GB2312" w:eastAsia="仿宋_GB2312"/>
          <w:sz w:val="32"/>
          <w:szCs w:val="32"/>
        </w:rPr>
        <w:t>。其中：基本支出319.76万元，项目支出2,952.95万元。财政拨款结转结余1,306.44万元，与上年相比，增加210.02万元，增长19.16%。增减变化的主要原因是：环南山公路拨款增加</w:t>
      </w:r>
      <w:r>
        <w:rPr>
          <w:rFonts w:hint="eastAsia" w:ascii="仿宋_GB2312" w:eastAsia="仿宋_GB2312"/>
          <w:sz w:val="32"/>
          <w:szCs w:val="32"/>
          <w:lang w:eastAsia="zh-CN"/>
        </w:rPr>
        <w:t>，</w:t>
      </w:r>
      <w:r>
        <w:rPr>
          <w:rFonts w:hint="eastAsia" w:ascii="仿宋_GB2312" w:eastAsia="仿宋_GB2312"/>
          <w:sz w:val="32"/>
          <w:szCs w:val="32"/>
        </w:rPr>
        <w:t>财政拨款</w:t>
      </w:r>
      <w:r>
        <w:rPr>
          <w:rFonts w:hint="eastAsia" w:ascii="仿宋_GB2312" w:eastAsia="仿宋_GB2312"/>
          <w:sz w:val="32"/>
          <w:szCs w:val="32"/>
          <w:lang w:eastAsia="zh-CN"/>
        </w:rPr>
        <w:t>结转结余增加</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与年初预算数相比情况：财政拨款收入年初预算数538.73万元，决算数3,630.92万元，预决算差异率573.98%，差异主要原因</w:t>
      </w:r>
      <w:r>
        <w:rPr>
          <w:rFonts w:hint="eastAsia" w:ascii="仿宋_GB2312" w:eastAsia="仿宋_GB2312"/>
          <w:sz w:val="32"/>
          <w:szCs w:val="32"/>
          <w:lang w:eastAsia="zh-CN"/>
        </w:rPr>
        <w:t>项目支出减少，</w:t>
      </w:r>
      <w:r>
        <w:rPr>
          <w:rFonts w:hint="eastAsia" w:ascii="仿宋_GB2312" w:eastAsia="仿宋_GB2312"/>
          <w:sz w:val="32"/>
          <w:szCs w:val="32"/>
        </w:rPr>
        <w:t>财政拨款收入</w:t>
      </w:r>
      <w:r>
        <w:rPr>
          <w:rFonts w:hint="eastAsia" w:ascii="仿宋_GB2312" w:eastAsia="仿宋_GB2312"/>
          <w:sz w:val="32"/>
          <w:szCs w:val="32"/>
          <w:lang w:eastAsia="zh-CN"/>
        </w:rPr>
        <w:t>减少</w:t>
      </w:r>
      <w:r>
        <w:rPr>
          <w:rFonts w:hint="eastAsia" w:ascii="仿宋_GB2312" w:eastAsia="仿宋_GB2312"/>
          <w:sz w:val="32"/>
          <w:szCs w:val="32"/>
        </w:rPr>
        <w:t>。财政拨款支出年初预算数538.73万元，决算数3,272.71万元，预决算差异率507.49%，差异主要原因</w:t>
      </w:r>
      <w:r>
        <w:rPr>
          <w:rFonts w:hint="eastAsia" w:ascii="仿宋_GB2312" w:eastAsia="仿宋_GB2312"/>
          <w:sz w:val="32"/>
          <w:szCs w:val="32"/>
          <w:lang w:eastAsia="zh-CN"/>
        </w:rPr>
        <w:t>项目支出减少，</w:t>
      </w:r>
      <w:r>
        <w:rPr>
          <w:rFonts w:hint="eastAsia" w:ascii="仿宋_GB2312" w:eastAsia="仿宋_GB2312"/>
          <w:sz w:val="32"/>
          <w:szCs w:val="32"/>
        </w:rPr>
        <w:t>财政拨款</w:t>
      </w:r>
      <w:r>
        <w:rPr>
          <w:rFonts w:hint="eastAsia" w:ascii="仿宋_GB2312" w:eastAsia="仿宋_GB2312"/>
          <w:sz w:val="32"/>
          <w:szCs w:val="32"/>
          <w:lang w:eastAsia="zh-CN"/>
        </w:rPr>
        <w:t>支出减少</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2018年度一般公共预算财政拨款收入522.26万元。与上年相比，减少587.81万元，降低52.95%。增减变化的主要原因是：</w:t>
      </w:r>
      <w:r>
        <w:rPr>
          <w:rFonts w:hint="eastAsia" w:ascii="仿宋_GB2312" w:eastAsia="仿宋_GB2312"/>
          <w:sz w:val="32"/>
          <w:szCs w:val="32"/>
          <w:lang w:eastAsia="zh-CN"/>
        </w:rPr>
        <w:t>项目支出减少，</w:t>
      </w:r>
      <w:r>
        <w:rPr>
          <w:rFonts w:hint="eastAsia" w:ascii="仿宋_GB2312" w:eastAsia="仿宋_GB2312"/>
          <w:sz w:val="32"/>
          <w:szCs w:val="32"/>
        </w:rPr>
        <w:t>财政拨款</w:t>
      </w:r>
      <w:r>
        <w:rPr>
          <w:rFonts w:hint="eastAsia" w:ascii="仿宋_GB2312" w:eastAsia="仿宋_GB2312"/>
          <w:sz w:val="32"/>
          <w:szCs w:val="32"/>
          <w:lang w:eastAsia="zh-CN"/>
        </w:rPr>
        <w:t>收入减少</w:t>
      </w:r>
      <w:r>
        <w:rPr>
          <w:rFonts w:hint="eastAsia" w:ascii="仿宋_GB2312" w:eastAsia="仿宋_GB2312"/>
          <w:sz w:val="32"/>
          <w:szCs w:val="32"/>
        </w:rPr>
        <w:t>。一般公共预算财政拨款支出403.62万元。与上年相比，增加114.22万元，增长39.47%。增减变化的主要原因是：环南山公路拨款增加。其中：按功能分类科目（按类级科目公开），2080505机关事业单位基本养老保险缴费支出17.90万元，2080506机关事业单位职业年金缴费支出3.23万元，2140101行政运行124.01万元，2140106公路养护60.66万元，2140112公路运输管理95.00万元，2149999其他交通运输支出48.00万元，2299901其他支出54.81万元。按经济分类科目（按类级科目公开），工资福利支出273.80万元，商品和服务支出100.25万元，对个人和家庭的支出25.70万元，资本性支出3.85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与年初预算数相比情况：一般公共预算财政拨款收入年初预算数538.73万元，决算数522.26万元，预决算差异率-3.06%，差异主要原因</w:t>
      </w:r>
      <w:r>
        <w:rPr>
          <w:rFonts w:hint="eastAsia" w:ascii="仿宋_GB2312" w:eastAsia="仿宋_GB2312"/>
          <w:sz w:val="32"/>
          <w:szCs w:val="32"/>
          <w:lang w:eastAsia="zh-CN"/>
        </w:rPr>
        <w:t>年中追加项目经费</w:t>
      </w:r>
      <w:r>
        <w:rPr>
          <w:rFonts w:hint="eastAsia" w:ascii="仿宋_GB2312" w:eastAsia="仿宋_GB2312"/>
          <w:sz w:val="32"/>
          <w:szCs w:val="32"/>
        </w:rPr>
        <w:t>。一般公共预算财政拨款支出年初预算数538.73万元，决算数403.62万元，预决算差异率-25.08%，差异主要原因</w:t>
      </w:r>
      <w:r>
        <w:rPr>
          <w:rFonts w:hint="eastAsia" w:ascii="仿宋_GB2312" w:eastAsia="仿宋_GB2312"/>
          <w:sz w:val="32"/>
          <w:szCs w:val="32"/>
          <w:lang w:eastAsia="zh-CN"/>
        </w:rPr>
        <w:t>项目未实施完毕</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2018年度政府性基金预算财政拨款收入3,108.66万元，与上年相比，减少1079.14万元，降低25.77%。增减变化的主要原因是：</w:t>
      </w:r>
      <w:r>
        <w:rPr>
          <w:rFonts w:hint="eastAsia" w:ascii="仿宋_GB2312" w:eastAsia="仿宋_GB2312"/>
          <w:sz w:val="32"/>
          <w:szCs w:val="32"/>
          <w:lang w:eastAsia="zh-CN"/>
        </w:rPr>
        <w:t>项目支出减少，</w:t>
      </w:r>
      <w:r>
        <w:rPr>
          <w:rFonts w:hint="eastAsia" w:ascii="仿宋_GB2312" w:eastAsia="仿宋_GB2312"/>
          <w:sz w:val="32"/>
          <w:szCs w:val="32"/>
        </w:rPr>
        <w:t>财政拨款</w:t>
      </w:r>
      <w:r>
        <w:rPr>
          <w:rFonts w:hint="eastAsia" w:ascii="仿宋_GB2312" w:eastAsia="仿宋_GB2312"/>
          <w:sz w:val="32"/>
          <w:szCs w:val="32"/>
          <w:lang w:eastAsia="zh-CN"/>
        </w:rPr>
        <w:t>收入减少</w:t>
      </w:r>
      <w:r>
        <w:rPr>
          <w:rFonts w:hint="eastAsia" w:ascii="仿宋_GB2312" w:eastAsia="仿宋_GB2312"/>
          <w:sz w:val="32"/>
          <w:szCs w:val="32"/>
        </w:rPr>
        <w:t>。政府性基金预算支出2,869.10万元。与上年相比，减少1492.91万元，降低34.23%。增减变化的主要原因是：</w:t>
      </w:r>
      <w:r>
        <w:rPr>
          <w:rFonts w:hint="eastAsia" w:ascii="仿宋_GB2312" w:eastAsia="仿宋_GB2312"/>
          <w:sz w:val="32"/>
          <w:szCs w:val="32"/>
          <w:lang w:eastAsia="zh-CN"/>
        </w:rPr>
        <w:t>项目支出减少，</w:t>
      </w:r>
      <w:r>
        <w:rPr>
          <w:rFonts w:hint="eastAsia" w:ascii="仿宋_GB2312" w:eastAsia="仿宋_GB2312"/>
          <w:sz w:val="32"/>
          <w:szCs w:val="32"/>
        </w:rPr>
        <w:t>财政拨款</w:t>
      </w:r>
      <w:r>
        <w:rPr>
          <w:rFonts w:hint="eastAsia" w:ascii="仿宋_GB2312" w:eastAsia="仿宋_GB2312"/>
          <w:sz w:val="32"/>
          <w:szCs w:val="32"/>
          <w:lang w:eastAsia="zh-CN"/>
        </w:rPr>
        <w:t>支出减少</w:t>
      </w:r>
      <w:r>
        <w:rPr>
          <w:rFonts w:hint="eastAsia" w:ascii="仿宋_GB2312" w:eastAsia="仿宋_GB2312"/>
          <w:sz w:val="32"/>
          <w:szCs w:val="32"/>
        </w:rPr>
        <w:t>。其中：按功能分类科目（按类级科目公开），2120803城市建设支出146.42万元</w:t>
      </w:r>
      <w:r>
        <w:rPr>
          <w:rFonts w:hint="eastAsia" w:ascii="仿宋_GB2312" w:eastAsia="仿宋_GB2312"/>
          <w:sz w:val="32"/>
          <w:szCs w:val="32"/>
          <w:lang w:eastAsia="zh-CN"/>
        </w:rPr>
        <w:t>，</w:t>
      </w:r>
      <w:r>
        <w:rPr>
          <w:rFonts w:hint="eastAsia" w:ascii="仿宋_GB2312" w:eastAsia="仿宋_GB2312"/>
          <w:sz w:val="32"/>
          <w:szCs w:val="32"/>
        </w:rPr>
        <w:t>2120804农村基础设施建设支出2,717.67万元</w:t>
      </w:r>
      <w:r>
        <w:rPr>
          <w:rFonts w:hint="eastAsia" w:ascii="仿宋_GB2312" w:eastAsia="仿宋_GB2312"/>
          <w:sz w:val="32"/>
          <w:szCs w:val="32"/>
          <w:lang w:eastAsia="zh-CN"/>
        </w:rPr>
        <w:t>，</w:t>
      </w:r>
      <w:r>
        <w:rPr>
          <w:rFonts w:hint="eastAsia" w:ascii="仿宋_GB2312" w:eastAsia="仿宋_GB2312"/>
          <w:sz w:val="32"/>
          <w:szCs w:val="32"/>
        </w:rPr>
        <w:t>2121399其他城市基础设施配套费安排的支出5.00万元。按经济分类科目（按类级科目公开），资本性支出2,869.10万元。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与年初预算数相比情况：政府性基金预算财政拨款收入年初预算数0.00万元，决算数3,108.66万元，预决算差异率0.00%，差异主要原因</w:t>
      </w:r>
      <w:r>
        <w:rPr>
          <w:rFonts w:hint="eastAsia" w:ascii="仿宋_GB2312" w:eastAsia="仿宋_GB2312"/>
          <w:sz w:val="32"/>
          <w:szCs w:val="32"/>
          <w:lang w:eastAsia="zh-CN"/>
        </w:rPr>
        <w:t>年中追加项目经费</w:t>
      </w:r>
      <w:r>
        <w:rPr>
          <w:rFonts w:hint="eastAsia" w:ascii="仿宋_GB2312" w:eastAsia="仿宋_GB2312"/>
          <w:sz w:val="32"/>
          <w:szCs w:val="32"/>
        </w:rPr>
        <w:t>。政府性基金预算财政拨款支出年初预算数0.00万元，决算数2,869.10万元，预决算差异率0.00%，差异主要原因</w:t>
      </w:r>
      <w:r>
        <w:rPr>
          <w:rFonts w:hint="eastAsia" w:ascii="仿宋_GB2312" w:eastAsia="仿宋_GB2312"/>
          <w:sz w:val="32"/>
          <w:szCs w:val="32"/>
          <w:lang w:eastAsia="zh-CN"/>
        </w:rPr>
        <w:t>年中追加项目经费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年末结转结余6,012.99万元。与上年相比，增加31.55万元，增长0.53%。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其中财政拨款结转结余1,306.44万元。与上年相比，增加210.02万元，增长19.16%。</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2018年度一般公共预算“三公”经费支出决算2.84万元，比上年减少3.94万元，降低58.12%，减少原因是本年车辆费用减少。其中，因公出国（境）费支出0.00万元，占0.00%，比上年增加0.0万元，</w:t>
      </w:r>
      <w:r>
        <w:rPr>
          <w:rFonts w:hint="eastAsia" w:ascii="仿宋_GB2312" w:eastAsia="仿宋_GB2312"/>
          <w:sz w:val="32"/>
          <w:szCs w:val="32"/>
          <w:lang w:eastAsia="zh-CN"/>
        </w:rPr>
        <w:t>增长</w:t>
      </w:r>
      <w:r>
        <w:rPr>
          <w:rFonts w:hint="eastAsia" w:ascii="仿宋_GB2312" w:eastAsia="仿宋_GB2312"/>
          <w:sz w:val="32"/>
          <w:szCs w:val="32"/>
        </w:rPr>
        <w:t>0%，减少原因是</w:t>
      </w:r>
      <w:r>
        <w:rPr>
          <w:rFonts w:hint="eastAsia" w:ascii="仿宋_GB2312" w:eastAsia="仿宋_GB2312"/>
          <w:sz w:val="32"/>
          <w:szCs w:val="32"/>
          <w:lang w:eastAsia="zh-CN"/>
        </w:rPr>
        <w:t>无</w:t>
      </w:r>
      <w:r>
        <w:rPr>
          <w:rFonts w:hint="eastAsia" w:ascii="仿宋_GB2312" w:eastAsia="仿宋_GB2312"/>
          <w:sz w:val="32"/>
          <w:szCs w:val="32"/>
        </w:rPr>
        <w:t>因公出国（境）费；公务用车购置及运行维护费支出2.84万元，占100.00%，比上年减少3.94万元，降低58.12%，减少原因是本年车辆费用减少；公务接待费支出0.00万元，占0.00%，比上年增加0.0万元，</w:t>
      </w:r>
      <w:r>
        <w:rPr>
          <w:rFonts w:hint="eastAsia" w:ascii="仿宋_GB2312" w:eastAsia="仿宋_GB2312"/>
          <w:sz w:val="32"/>
          <w:szCs w:val="32"/>
          <w:lang w:eastAsia="zh-CN"/>
        </w:rPr>
        <w:t>增长</w:t>
      </w:r>
      <w:r>
        <w:rPr>
          <w:rFonts w:hint="eastAsia" w:ascii="仿宋_GB2312" w:eastAsia="仿宋_GB2312"/>
          <w:sz w:val="32"/>
          <w:szCs w:val="32"/>
        </w:rPr>
        <w:t>0%，减少原因是</w:t>
      </w:r>
      <w:r>
        <w:rPr>
          <w:rFonts w:hint="eastAsia" w:ascii="仿宋_GB2312" w:eastAsia="仿宋_GB2312"/>
          <w:sz w:val="32"/>
          <w:szCs w:val="32"/>
          <w:lang w:eastAsia="zh-CN"/>
        </w:rPr>
        <w:t>无</w:t>
      </w:r>
      <w:r>
        <w:rPr>
          <w:rFonts w:hint="eastAsia" w:ascii="仿宋_GB2312" w:eastAsia="仿宋_GB2312"/>
          <w:sz w:val="32"/>
          <w:szCs w:val="32"/>
        </w:rPr>
        <w:t>公务接待费。具体情况如下：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因公出国（境）费支出0.00万元。新疆乌鲁木齐县交通局部门决算汇总全年使用一般公共预算财政拨款安排的出国（境）团组0个，累计0人次。开支内容包括：</w:t>
      </w:r>
      <w:r>
        <w:rPr>
          <w:rFonts w:hint="eastAsia" w:ascii="仿宋_GB2312" w:eastAsia="仿宋_GB2312"/>
          <w:sz w:val="32"/>
          <w:szCs w:val="32"/>
          <w:lang w:eastAsia="zh-CN"/>
        </w:rPr>
        <w:t>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公务用车购置及运行维护费2.84万元,其中，公务用车购置0.00万元，公务用车运行维护费2.84万元。主要用于公务用车燃料费、维修费、保险费等。单位一般公共财政拨款安排的公务用车购置量0辆，保有量为3辆。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无</w:t>
      </w:r>
      <w:r>
        <w:rPr>
          <w:rFonts w:hint="eastAsia" w:ascii="仿宋_GB2312" w:eastAsia="仿宋_GB2312"/>
          <w:sz w:val="32"/>
          <w:szCs w:val="32"/>
        </w:rPr>
        <w:t>公务接待费等。新疆乌鲁木齐县交通局部门决算汇总国内公务接待0批次，0人次。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与年初预算数相比情况：一般公共预算“三公”经费支出年初预算数10.35万元，决算数2.84万元，预决算差异率-72.55%，差异主要原因</w:t>
      </w:r>
      <w:r>
        <w:rPr>
          <w:rFonts w:hint="eastAsia" w:ascii="仿宋_GB2312" w:eastAsia="仿宋_GB2312"/>
          <w:sz w:val="32"/>
          <w:szCs w:val="32"/>
          <w:lang w:eastAsia="zh-CN"/>
        </w:rPr>
        <w:t>节俭开支，压缩经费</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预算数10.35万元，决算数2.84万元，预决算差异率-72.55%，差异主要原因</w:t>
      </w:r>
      <w:r>
        <w:rPr>
          <w:rFonts w:hint="eastAsia" w:ascii="仿宋_GB2312" w:eastAsia="仿宋_GB2312"/>
          <w:sz w:val="32"/>
          <w:szCs w:val="32"/>
          <w:lang w:eastAsia="zh-CN"/>
        </w:rPr>
        <w:t>节俭开支，压缩经费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2018年度新疆乌鲁木齐县交通局部门决算汇总（事业单位）日常公用经费20.25万元，比上年增加8.41万元，增长70.99%，主要原因是</w:t>
      </w:r>
      <w:r>
        <w:rPr>
          <w:rFonts w:hint="eastAsia" w:ascii="仿宋_GB2312" w:eastAsia="仿宋_GB2312"/>
          <w:sz w:val="32"/>
          <w:szCs w:val="32"/>
          <w:lang w:eastAsia="zh-CN"/>
        </w:rPr>
        <w:t>公用经费增加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2018年度政府采购支出总额19.19万元，其中：政府采购货物支出16.51万元、政府采购工程支出0.00万元、政府采购服务支出2.68万元。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10辆，价值157.21万元，其中：副部（省）级及以上领导用车0辆、主要领导干部用车1辆、机要通信用车0辆、应急保障用车0辆、执法执勤用车2辆、特种专业技术用车4辆、离退休干部用车0辆、其他用车3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；单位价值50万元以上通用设备1台（套）、单位价值100万元以上专用设备0台（套）。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2018年城市建设支出城市基础设施维护项目项目绩效自评综述：根据年初设定的绩效目标，2018年城市建设支出城市基础设施维护项目目绩效自评得分为91分。项目全年预算数为40.07万元，执行数为73.07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。主要产出和效果：已修通永丰镇南滩路两处断头路。保障全县农村公路路面完好、安全、畅通，维护公路正常使用功能，改善道路通行服务。</w:t>
      </w:r>
    </w:p>
    <w:tbl>
      <w:tblPr>
        <w:tblStyle w:val="4"/>
        <w:tblW w:w="9180" w:type="dxa"/>
        <w:tblInd w:w="93" w:type="dxa"/>
        <w:tblLayout w:type="fixed"/>
        <w:tblCellMar>
          <w:top w:w="0" w:type="dxa"/>
          <w:left w:w="108" w:type="dxa"/>
          <w:bottom w:w="0" w:type="dxa"/>
          <w:right w:w="108" w:type="dxa"/>
        </w:tblCellMar>
      </w:tblPr>
      <w:tblGrid>
        <w:gridCol w:w="560"/>
        <w:gridCol w:w="560"/>
        <w:gridCol w:w="840"/>
        <w:gridCol w:w="1980"/>
        <w:gridCol w:w="1380"/>
        <w:gridCol w:w="1400"/>
        <w:gridCol w:w="1220"/>
        <w:gridCol w:w="1240"/>
      </w:tblGrid>
      <w:tr>
        <w:tblPrEx>
          <w:tblCellMar>
            <w:top w:w="0" w:type="dxa"/>
            <w:left w:w="108" w:type="dxa"/>
            <w:bottom w:w="0" w:type="dxa"/>
            <w:right w:w="108" w:type="dxa"/>
          </w:tblCellMar>
        </w:tblPrEx>
        <w:trPr>
          <w:trHeight w:val="600" w:hRule="atLeast"/>
        </w:trPr>
        <w:tc>
          <w:tcPr>
            <w:tcW w:w="9180" w:type="dxa"/>
            <w:gridSpan w:val="8"/>
            <w:tcBorders>
              <w:top w:val="nil"/>
              <w:left w:val="nil"/>
              <w:bottom w:val="nil"/>
              <w:right w:val="nil"/>
            </w:tcBorders>
            <w:shd w:val="clear" w:color="auto" w:fill="auto"/>
            <w:vAlign w:val="center"/>
          </w:tcPr>
          <w:p>
            <w:pPr>
              <w:widowControl/>
              <w:jc w:val="center"/>
              <w:rPr>
                <w:rFonts w:ascii="宋体" w:hAnsi="宋体" w:eastAsia="宋体" w:cs="宋体"/>
                <w:color w:val="000000" w:themeColor="text1"/>
                <w:kern w:val="0"/>
                <w:sz w:val="32"/>
                <w:szCs w:val="32"/>
                <w14:textFill>
                  <w14:solidFill>
                    <w14:schemeClr w14:val="tx1"/>
                  </w14:solidFill>
                </w14:textFill>
              </w:rPr>
            </w:pPr>
            <w:r>
              <w:rPr>
                <w:rFonts w:hint="eastAsia" w:ascii="宋体" w:hAnsi="宋体" w:eastAsia="宋体" w:cs="宋体"/>
                <w:b/>
                <w:bCs/>
                <w:color w:val="000000" w:themeColor="text1"/>
                <w:kern w:val="0"/>
                <w:sz w:val="32"/>
                <w:szCs w:val="32"/>
                <w14:textFill>
                  <w14:solidFill>
                    <w14:schemeClr w14:val="tx1"/>
                  </w14:solidFill>
                </w14:textFill>
              </w:rPr>
              <w:t>乌鲁木齐市级对县级专项转移支付绩效自评表</w:t>
            </w:r>
          </w:p>
        </w:tc>
      </w:tr>
      <w:tr>
        <w:tblPrEx>
          <w:tblCellMar>
            <w:top w:w="0" w:type="dxa"/>
            <w:left w:w="108" w:type="dxa"/>
            <w:bottom w:w="0" w:type="dxa"/>
            <w:right w:w="108" w:type="dxa"/>
          </w:tblCellMar>
        </w:tblPrEx>
        <w:trPr>
          <w:trHeight w:val="432" w:hRule="atLeast"/>
        </w:trPr>
        <w:tc>
          <w:tcPr>
            <w:tcW w:w="9180" w:type="dxa"/>
            <w:gridSpan w:val="8"/>
            <w:tcBorders>
              <w:top w:val="nil"/>
              <w:left w:val="nil"/>
              <w:bottom w:val="single" w:color="auto" w:sz="4" w:space="0"/>
              <w:right w:val="nil"/>
            </w:tcBorders>
            <w:shd w:val="clear" w:color="auto" w:fill="auto"/>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（2018年度）</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专项名称</w:t>
            </w:r>
          </w:p>
        </w:tc>
        <w:tc>
          <w:tcPr>
            <w:tcW w:w="72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城市公共设施　</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上级主管部门</w:t>
            </w:r>
          </w:p>
        </w:tc>
        <w:tc>
          <w:tcPr>
            <w:tcW w:w="72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乌鲁木齐市交通局　</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地方主管部门</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乌鲁木齐县政府</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实施单位</w:t>
            </w:r>
          </w:p>
        </w:tc>
        <w:tc>
          <w:tcPr>
            <w:tcW w:w="24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乌鲁木齐县交通局　</w:t>
            </w:r>
          </w:p>
        </w:tc>
      </w:tr>
      <w:tr>
        <w:tblPrEx>
          <w:tblCellMar>
            <w:top w:w="0" w:type="dxa"/>
            <w:left w:w="108" w:type="dxa"/>
            <w:bottom w:w="0" w:type="dxa"/>
            <w:right w:w="108" w:type="dxa"/>
          </w:tblCellMar>
        </w:tblPrEx>
        <w:trPr>
          <w:trHeight w:val="675" w:hRule="atLeast"/>
        </w:trPr>
        <w:tc>
          <w:tcPr>
            <w:tcW w:w="19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项目资金（万元）</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全年预算数（A,含结余结转）</w:t>
            </w:r>
          </w:p>
        </w:tc>
        <w:tc>
          <w:tcPr>
            <w:tcW w:w="2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全年执行数（B）</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执行率（B/A)</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年度资金总额：</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40.07</w:t>
            </w:r>
          </w:p>
        </w:tc>
        <w:tc>
          <w:tcPr>
            <w:tcW w:w="2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仿宋_GB2312"/>
                <w:color w:val="000000" w:themeColor="text1"/>
                <w:sz w:val="20"/>
                <w:szCs w:val="20"/>
                <w14:textFill>
                  <w14:solidFill>
                    <w14:schemeClr w14:val="tx1"/>
                  </w14:solidFill>
                </w14:textFill>
              </w:rPr>
              <w:t>33</w:t>
            </w: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69.7%</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其中：市级补助</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仿宋_GB2312"/>
                <w:color w:val="000000" w:themeColor="text1"/>
                <w:sz w:val="20"/>
                <w:szCs w:val="20"/>
                <w14:textFill>
                  <w14:solidFill>
                    <w14:schemeClr w14:val="tx1"/>
                  </w14:solidFill>
                </w14:textFill>
              </w:rPr>
              <w:t>40.07</w:t>
            </w:r>
          </w:p>
        </w:tc>
        <w:tc>
          <w:tcPr>
            <w:tcW w:w="2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仿宋_GB2312"/>
                <w:color w:val="000000" w:themeColor="text1"/>
                <w:sz w:val="20"/>
                <w:szCs w:val="20"/>
                <w14:textFill>
                  <w14:solidFill>
                    <w14:schemeClr w14:val="tx1"/>
                  </w14:solidFill>
                </w14:textFill>
              </w:rPr>
              <w:t>33</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69.7%</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县级资金</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其他资金</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 xml:space="preserve">   </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年度总体目标</w:t>
            </w:r>
          </w:p>
        </w:tc>
        <w:tc>
          <w:tcPr>
            <w:tcW w:w="476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年初设定目标</w:t>
            </w:r>
          </w:p>
        </w:tc>
        <w:tc>
          <w:tcPr>
            <w:tcW w:w="38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全年实际完成情况</w:t>
            </w:r>
          </w:p>
        </w:tc>
      </w:tr>
      <w:tr>
        <w:tblPrEx>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47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保障全县农村公路路面完好、安全、畅通，维护公路及其附属设施正常使用功能。</w:t>
            </w:r>
            <w:r>
              <w:rPr>
                <w:rFonts w:hint="eastAsia" w:ascii="宋体" w:hAnsi="宋体" w:eastAsia="宋体" w:cs="宋体"/>
                <w:color w:val="000000" w:themeColor="text1"/>
                <w:kern w:val="0"/>
                <w:sz w:val="20"/>
                <w:szCs w:val="20"/>
                <w14:textFill>
                  <w14:solidFill>
                    <w14:schemeClr w14:val="tx1"/>
                  </w14:solidFill>
                </w14:textFill>
              </w:rPr>
              <w:t>　</w:t>
            </w:r>
          </w:p>
        </w:tc>
        <w:tc>
          <w:tcPr>
            <w:tcW w:w="38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bCs/>
                <w:color w:val="000000" w:themeColor="text1"/>
                <w:sz w:val="20"/>
                <w:szCs w:val="20"/>
                <w14:textFill>
                  <w14:solidFill>
                    <w14:schemeClr w14:val="tx1"/>
                  </w14:solidFill>
                </w14:textFill>
              </w:rPr>
              <w:t>已修通永丰镇南滩路两处断头路。保障全县农村公路路面完好、安全、畅通，维护公路正常使用功能，改善道路通行服务。</w:t>
            </w: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绩效指标</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一级</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指标</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二级指标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三级指标</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年度指标值</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全年完成值</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未完成原因和改进措施</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产</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指</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标</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数量指标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维修县、乡、村、专农村公路沥青混凝土路面公路里程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516.673公里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516.673公里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维修省道沥青混凝土路面公路里程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33公里</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33公里</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建设永丰镇南滩路两处断头路</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600米</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600米</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质量指标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项目（工程）验收合格率</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100%</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100%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时效指标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开工时间</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2018年5月</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2018年5月</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完工时间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2018年10月</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2018年10月</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成本指标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按交通部门行业标准制定维修费用</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≤33万元</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≤33万元</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693"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90"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400"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效</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益</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指</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标</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经济效益指标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宋体" w:cs="宋体"/>
                <w:color w:val="000000" w:themeColor="text1"/>
                <w:kern w:val="0"/>
                <w:sz w:val="20"/>
                <w:szCs w:val="32"/>
                <w14:textFill>
                  <w14:solidFill>
                    <w14:schemeClr w14:val="tx1"/>
                  </w14:solidFill>
                </w14:textFill>
              </w:rPr>
            </w:pPr>
            <w:r>
              <w:rPr>
                <w:rFonts w:hint="eastAsia" w:ascii="仿宋_GB2312" w:hAnsi="宋体" w:eastAsia="宋体" w:cs="宋体"/>
                <w:color w:val="000000" w:themeColor="text1"/>
                <w:kern w:val="0"/>
                <w:sz w:val="20"/>
                <w:szCs w:val="32"/>
                <w14:textFill>
                  <w14:solidFill>
                    <w14:schemeClr w14:val="tx1"/>
                  </w14:solidFill>
                </w14:textFill>
              </w:rPr>
              <w:t>促进经济可持续发展</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明显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明显</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社会效益指标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项目覆盖建制村个数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36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36</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受益群众人数</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≥4万人</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≥4万人</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基本公共服务水平</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提升</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提升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生态效益指标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w:t>
            </w:r>
            <w:r>
              <w:rPr>
                <w:rFonts w:hint="eastAsia" w:asciiTheme="minorEastAsia" w:hAnsiTheme="minorEastAsia" w:eastAsiaTheme="minorEastAsia" w:cstheme="minorEastAsia"/>
                <w:color w:val="000000" w:themeColor="text1"/>
                <w:sz w:val="20"/>
                <w:szCs w:val="20"/>
                <w14:textFill>
                  <w14:solidFill>
                    <w14:schemeClr w14:val="tx1"/>
                  </w14:solidFill>
                </w14:textFill>
              </w:rPr>
              <w:t>控制道路扬尘污染</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明显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明显</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可持续影响指标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农村公路小修维护适应公路交通发展需求</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长期</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长期</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满意度指标</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服务对象满意度指标</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改善通行服务水平群众满意度</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≥90%</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　≥90%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5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108" w:type="dxa"/>
            <w:bottom w:w="0" w:type="dxa"/>
            <w:right w:w="108" w:type="dxa"/>
          </w:tblCellMar>
        </w:tblPrEx>
        <w:trPr>
          <w:trHeight w:val="259"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说明</w:t>
            </w:r>
          </w:p>
        </w:tc>
        <w:tc>
          <w:tcPr>
            <w:tcW w:w="8620"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无</w:t>
            </w:r>
          </w:p>
        </w:tc>
      </w:tr>
      <w:tr>
        <w:tblPrEx>
          <w:tblCellMar>
            <w:top w:w="0" w:type="dxa"/>
            <w:left w:w="108" w:type="dxa"/>
            <w:bottom w:w="0" w:type="dxa"/>
            <w:right w:w="108" w:type="dxa"/>
          </w:tblCellMar>
        </w:tblPrEx>
        <w:trPr>
          <w:trHeight w:val="540" w:hRule="atLeast"/>
        </w:trPr>
        <w:tc>
          <w:tcPr>
            <w:tcW w:w="9180" w:type="dxa"/>
            <w:gridSpan w:val="8"/>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注：1.定性指标根据指标完成情况分为：达成预期指标、部分达成预期指标并具有一定效果、未达成预期指标且效果较差三档，分别按照100-80%（含80%）、80-50%（含50%）、50-0%合理填写完成比例。</w:t>
            </w:r>
          </w:p>
        </w:tc>
      </w:tr>
      <w:tr>
        <w:tblPrEx>
          <w:tblCellMar>
            <w:top w:w="0" w:type="dxa"/>
            <w:left w:w="108" w:type="dxa"/>
            <w:bottom w:w="0" w:type="dxa"/>
            <w:right w:w="108" w:type="dxa"/>
          </w:tblCellMar>
        </w:tblPrEx>
        <w:trPr>
          <w:trHeight w:val="480" w:hRule="atLeast"/>
        </w:trPr>
        <w:tc>
          <w:tcPr>
            <w:tcW w:w="9180" w:type="dxa"/>
            <w:gridSpan w:val="8"/>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2.定量指标若为正向指标（即指标值为≥*），则得分计算方法应用全年实际值（B）/年度指标值（A）</w:t>
            </w:r>
            <w:r>
              <w:rPr>
                <w:rFonts w:hint="eastAsia" w:ascii="宋体" w:hAnsi="宋体" w:eastAsia="宋体" w:cs="宋体"/>
                <w:color w:val="000000" w:themeColor="text1"/>
                <w:kern w:val="0"/>
                <w:sz w:val="12"/>
                <w:szCs w:val="12"/>
                <w14:textFill>
                  <w14:solidFill>
                    <w14:schemeClr w14:val="tx1"/>
                  </w14:solidFill>
                </w14:textFill>
              </w:rPr>
              <w:t>╳</w:t>
            </w:r>
            <w:r>
              <w:rPr>
                <w:rFonts w:hint="eastAsia" w:ascii="宋体" w:hAnsi="宋体" w:eastAsia="宋体" w:cs="宋体"/>
                <w:color w:val="000000" w:themeColor="text1"/>
                <w:kern w:val="0"/>
                <w:sz w:val="18"/>
                <w:szCs w:val="18"/>
                <w14:textFill>
                  <w14:solidFill>
                    <w14:schemeClr w14:val="tx1"/>
                  </w14:solidFill>
                </w14:textFill>
              </w:rPr>
              <w:t>该指标分值；若定量指标为反向指标（即指标值为≤*），则得分计算方法应用年度指标值（A）/全年实际值（B）</w:t>
            </w:r>
            <w:r>
              <w:rPr>
                <w:rFonts w:hint="eastAsia" w:ascii="宋体" w:hAnsi="宋体" w:eastAsia="宋体" w:cs="宋体"/>
                <w:color w:val="000000" w:themeColor="text1"/>
                <w:kern w:val="0"/>
                <w:sz w:val="12"/>
                <w:szCs w:val="12"/>
                <w14:textFill>
                  <w14:solidFill>
                    <w14:schemeClr w14:val="tx1"/>
                  </w14:solidFill>
                </w14:textFill>
              </w:rPr>
              <w:t>╳</w:t>
            </w:r>
            <w:r>
              <w:rPr>
                <w:rFonts w:hint="eastAsia" w:ascii="宋体" w:hAnsi="宋体" w:eastAsia="宋体" w:cs="宋体"/>
                <w:color w:val="000000" w:themeColor="text1"/>
                <w:kern w:val="0"/>
                <w:sz w:val="18"/>
                <w:szCs w:val="18"/>
                <w14:textFill>
                  <w14:solidFill>
                    <w14:schemeClr w14:val="tx1"/>
                  </w14:solidFill>
                </w14:textFill>
              </w:rPr>
              <w:t>该指标分值。</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2018年城市公共设施基础设施维护项目项目绩效自评综述：根据年初设定的绩效目标，2018年城市公共设施基础设施维护项目目绩效自评得分为88分。项目全年预算数为92万元，执行数为92万元，完成预算的1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。主要产出和效果：保障全县农村公路路面完好、安全、畅通，维护公路正常使用功能，改善道路通行服务。　</w:t>
      </w:r>
    </w:p>
    <w:tbl>
      <w:tblPr>
        <w:tblStyle w:val="4"/>
        <w:tblW w:w="9180" w:type="dxa"/>
        <w:tblInd w:w="93" w:type="dxa"/>
        <w:tblLayout w:type="fixed"/>
        <w:tblCellMar>
          <w:top w:w="0" w:type="dxa"/>
          <w:left w:w="108" w:type="dxa"/>
          <w:bottom w:w="0" w:type="dxa"/>
          <w:right w:w="108" w:type="dxa"/>
        </w:tblCellMar>
      </w:tblPr>
      <w:tblGrid>
        <w:gridCol w:w="560"/>
        <w:gridCol w:w="560"/>
        <w:gridCol w:w="840"/>
        <w:gridCol w:w="1980"/>
        <w:gridCol w:w="1380"/>
        <w:gridCol w:w="1400"/>
        <w:gridCol w:w="1220"/>
        <w:gridCol w:w="1240"/>
      </w:tblGrid>
      <w:tr>
        <w:tblPrEx>
          <w:tblCellMar>
            <w:top w:w="0" w:type="dxa"/>
            <w:left w:w="108" w:type="dxa"/>
            <w:bottom w:w="0" w:type="dxa"/>
            <w:right w:w="108" w:type="dxa"/>
          </w:tblCellMar>
        </w:tblPrEx>
        <w:trPr>
          <w:trHeight w:val="600" w:hRule="atLeast"/>
        </w:trPr>
        <w:tc>
          <w:tcPr>
            <w:tcW w:w="9180" w:type="dxa"/>
            <w:gridSpan w:val="8"/>
            <w:tcBorders>
              <w:top w:val="nil"/>
              <w:left w:val="nil"/>
              <w:bottom w:val="nil"/>
              <w:right w:val="nil"/>
            </w:tcBorders>
            <w:noWrap w:val="0"/>
            <w:vAlign w:val="center"/>
          </w:tcPr>
          <w:p>
            <w:pPr>
              <w:widowControl/>
              <w:jc w:val="center"/>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乌鲁木齐市级对县级专项转移支付绩效自评表</w:t>
            </w:r>
          </w:p>
        </w:tc>
      </w:tr>
      <w:tr>
        <w:tblPrEx>
          <w:tblCellMar>
            <w:top w:w="0" w:type="dxa"/>
            <w:left w:w="108" w:type="dxa"/>
            <w:bottom w:w="0" w:type="dxa"/>
            <w:right w:w="108" w:type="dxa"/>
          </w:tblCellMar>
        </w:tblPrEx>
        <w:trPr>
          <w:trHeight w:val="432" w:hRule="atLeast"/>
        </w:trPr>
        <w:tc>
          <w:tcPr>
            <w:tcW w:w="9180" w:type="dxa"/>
            <w:gridSpan w:val="8"/>
            <w:tcBorders>
              <w:top w:val="nil"/>
              <w:left w:val="nil"/>
              <w:bottom w:val="single" w:color="auto" w:sz="4" w:space="0"/>
              <w:right w:val="nil"/>
            </w:tcBorders>
            <w:noWrap w:val="0"/>
            <w:vAlign w:val="top"/>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（2018年度）</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专项名称</w:t>
            </w:r>
          </w:p>
        </w:tc>
        <w:tc>
          <w:tcPr>
            <w:tcW w:w="722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城市公共设施　</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上级主管部门</w:t>
            </w:r>
          </w:p>
        </w:tc>
        <w:tc>
          <w:tcPr>
            <w:tcW w:w="7220"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乌鲁木齐市交通局</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19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地方主管部门</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乌鲁木齐县政府</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实施单位</w:t>
            </w:r>
          </w:p>
        </w:tc>
        <w:tc>
          <w:tcPr>
            <w:tcW w:w="24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乌鲁木齐县交通局</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75" w:hRule="atLeast"/>
        </w:trPr>
        <w:tc>
          <w:tcPr>
            <w:tcW w:w="196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项目资金（万元）</w:t>
            </w:r>
          </w:p>
        </w:tc>
        <w:tc>
          <w:tcPr>
            <w:tcW w:w="198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全年预算数（A,含结余结转）</w:t>
            </w:r>
          </w:p>
        </w:tc>
        <w:tc>
          <w:tcPr>
            <w:tcW w:w="2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全年执行数（B）</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执行率（B/A)</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年度资金总额：</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92</w:t>
            </w:r>
            <w:r>
              <w:rPr>
                <w:rFonts w:hint="eastAsia" w:ascii="宋体" w:hAnsi="宋体" w:eastAsia="宋体" w:cs="宋体"/>
                <w:color w:val="000000"/>
                <w:kern w:val="0"/>
                <w:sz w:val="20"/>
                <w:szCs w:val="20"/>
              </w:rPr>
              <w:t>　</w:t>
            </w:r>
          </w:p>
        </w:tc>
        <w:tc>
          <w:tcPr>
            <w:tcW w:w="2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0</w:t>
            </w:r>
          </w:p>
        </w:tc>
        <w:tc>
          <w:tcPr>
            <w:tcW w:w="12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其中：市级补助</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lang w:val="en-US"/>
              </w:rPr>
            </w:pPr>
            <w:r>
              <w:rPr>
                <w:rFonts w:hint="eastAsia" w:ascii="仿宋_GB2312"/>
                <w:sz w:val="20"/>
                <w:szCs w:val="20"/>
                <w:lang w:val="en-US" w:eastAsia="zh-CN"/>
              </w:rPr>
              <w:t>92</w:t>
            </w:r>
          </w:p>
        </w:tc>
        <w:tc>
          <w:tcPr>
            <w:tcW w:w="2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仿宋_GB2312"/>
                <w:sz w:val="20"/>
                <w:szCs w:val="20"/>
                <w:lang w:val="en-US" w:eastAsia="zh-CN"/>
              </w:rPr>
              <w:t>0</w:t>
            </w:r>
          </w:p>
        </w:tc>
        <w:tc>
          <w:tcPr>
            <w:tcW w:w="12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县级资金</w:t>
            </w:r>
          </w:p>
        </w:tc>
        <w:tc>
          <w:tcPr>
            <w:tcW w:w="138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p>
        </w:tc>
        <w:tc>
          <w:tcPr>
            <w:tcW w:w="2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p>
        </w:tc>
        <w:tc>
          <w:tcPr>
            <w:tcW w:w="124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19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198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其他资金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p>
        </w:tc>
        <w:tc>
          <w:tcPr>
            <w:tcW w:w="138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62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5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年度总体目标</w:t>
            </w:r>
          </w:p>
        </w:tc>
        <w:tc>
          <w:tcPr>
            <w:tcW w:w="476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年初设定目标</w:t>
            </w:r>
          </w:p>
        </w:tc>
        <w:tc>
          <w:tcPr>
            <w:tcW w:w="38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全年实际完成情况</w:t>
            </w:r>
          </w:p>
        </w:tc>
      </w:tr>
      <w:tr>
        <w:tblPrEx>
          <w:tblCellMar>
            <w:top w:w="0" w:type="dxa"/>
            <w:left w:w="108" w:type="dxa"/>
            <w:bottom w:w="0" w:type="dxa"/>
            <w:right w:w="108" w:type="dxa"/>
          </w:tblCellMar>
        </w:tblPrEx>
        <w:trPr>
          <w:trHeight w:val="540" w:hRule="atLeast"/>
        </w:trPr>
        <w:tc>
          <w:tcPr>
            <w:tcW w:w="5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47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b w:val="0"/>
                <w:bCs w:val="0"/>
                <w:sz w:val="20"/>
                <w:szCs w:val="20"/>
                <w:shd w:val="clear" w:color="auto" w:fill="auto"/>
                <w:lang w:val="en-US" w:eastAsia="zh-CN"/>
              </w:rPr>
              <w:t>保障全县农村公路路面完好、安全、畅通，维护公路及其附属设施正常使用功能</w:t>
            </w:r>
            <w:r>
              <w:rPr>
                <w:rFonts w:hint="eastAsia" w:ascii="宋体" w:hAnsi="宋体" w:eastAsia="宋体" w:cs="宋体"/>
                <w:sz w:val="20"/>
                <w:szCs w:val="20"/>
              </w:rPr>
              <w:t>。</w:t>
            </w:r>
            <w:r>
              <w:rPr>
                <w:rFonts w:hint="eastAsia" w:ascii="宋体" w:hAnsi="宋体" w:eastAsia="宋体" w:cs="宋体"/>
                <w:color w:val="000000"/>
                <w:kern w:val="0"/>
                <w:sz w:val="20"/>
                <w:szCs w:val="20"/>
              </w:rPr>
              <w:t>　</w:t>
            </w:r>
          </w:p>
        </w:tc>
        <w:tc>
          <w:tcPr>
            <w:tcW w:w="386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bCs/>
                <w:sz w:val="20"/>
                <w:szCs w:val="20"/>
              </w:rPr>
              <w:t>保障全县农村公路路面完好、安全、畅通，维护公路正常使用功能，改善</w:t>
            </w:r>
            <w:r>
              <w:rPr>
                <w:rFonts w:hint="eastAsia" w:ascii="宋体" w:hAnsi="宋体" w:eastAsia="宋体" w:cs="宋体"/>
                <w:bCs/>
                <w:sz w:val="20"/>
                <w:szCs w:val="20"/>
                <w:lang w:eastAsia="zh-CN"/>
              </w:rPr>
              <w:t>道路</w:t>
            </w:r>
            <w:r>
              <w:rPr>
                <w:rFonts w:hint="eastAsia" w:ascii="宋体" w:hAnsi="宋体" w:eastAsia="宋体" w:cs="宋体"/>
                <w:bCs/>
                <w:sz w:val="20"/>
                <w:szCs w:val="20"/>
              </w:rPr>
              <w:t>通行服务。</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522" w:hRule="atLeast"/>
        </w:trPr>
        <w:tc>
          <w:tcPr>
            <w:tcW w:w="560" w:type="dxa"/>
            <w:vMerge w:val="restart"/>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tc>
        <w:tc>
          <w:tcPr>
            <w:tcW w:w="56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指标</w:t>
            </w:r>
          </w:p>
        </w:tc>
        <w:tc>
          <w:tcPr>
            <w:tcW w:w="8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二级指标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三级指标</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年度指标值</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全年完成值</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未完成原因和改进措施</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产</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维修县、乡、村、专农村公路沥青混凝土路面公路里程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516.673公里　</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完成123km维修</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维修省道沥青混凝土路面公路里程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33公里</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完成33km路面维修</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质量指标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sz w:val="20"/>
                <w:szCs w:val="20"/>
              </w:rPr>
              <w:t>项目（工程）验收合格率</w:t>
            </w:r>
          </w:p>
        </w:tc>
        <w:tc>
          <w:tcPr>
            <w:tcW w:w="14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100%</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w:t>
            </w:r>
            <w:r>
              <w:rPr>
                <w:rFonts w:hint="eastAsia" w:ascii="宋体" w:hAnsi="宋体" w:eastAsia="宋体" w:cs="宋体"/>
                <w:color w:val="000000"/>
                <w:kern w:val="0"/>
                <w:sz w:val="20"/>
                <w:szCs w:val="20"/>
              </w:rPr>
              <w:t>100%</w:t>
            </w:r>
          </w:p>
        </w:tc>
        <w:tc>
          <w:tcPr>
            <w:tcW w:w="124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时效指标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开工时间</w:t>
            </w:r>
          </w:p>
        </w:tc>
        <w:tc>
          <w:tcPr>
            <w:tcW w:w="14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2019年5月</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2019年5月</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完工时间　</w:t>
            </w:r>
          </w:p>
        </w:tc>
        <w:tc>
          <w:tcPr>
            <w:tcW w:w="14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2019年10月</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2019年10月</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成本指标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按交通部门行业标准制定维修费用</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92</w:t>
            </w:r>
            <w:r>
              <w:rPr>
                <w:rFonts w:hint="eastAsia" w:ascii="宋体" w:hAnsi="宋体" w:eastAsia="宋体" w:cs="宋体"/>
                <w:color w:val="000000"/>
                <w:kern w:val="0"/>
                <w:sz w:val="20"/>
                <w:szCs w:val="20"/>
              </w:rPr>
              <w:t>万元</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92</w:t>
            </w:r>
            <w:r>
              <w:rPr>
                <w:rFonts w:hint="eastAsia" w:ascii="宋体" w:hAnsi="宋体" w:eastAsia="宋体" w:cs="宋体"/>
                <w:color w:val="000000"/>
                <w:kern w:val="0"/>
                <w:sz w:val="20"/>
                <w:szCs w:val="20"/>
              </w:rPr>
              <w:t>万元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3"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90"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00"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指</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标</w:t>
            </w: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经济效益指标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宋体" w:cs="宋体"/>
                <w:color w:val="000000"/>
                <w:kern w:val="0"/>
                <w:sz w:val="20"/>
                <w:szCs w:val="32"/>
                <w:lang w:eastAsia="zh-CN"/>
              </w:rPr>
            </w:pPr>
            <w:r>
              <w:rPr>
                <w:rFonts w:hint="eastAsia" w:ascii="仿宋_GB2312" w:hAnsi="宋体" w:eastAsia="宋体" w:cs="宋体"/>
                <w:color w:val="000000"/>
                <w:kern w:val="0"/>
                <w:sz w:val="20"/>
                <w:szCs w:val="32"/>
                <w:lang w:eastAsia="zh-CN"/>
              </w:rPr>
              <w:t>促进经济可持续发展</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明显　</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明显加强</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社会效益指标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sz w:val="20"/>
                <w:szCs w:val="20"/>
              </w:rPr>
              <w:t>项目覆盖</w:t>
            </w:r>
            <w:r>
              <w:rPr>
                <w:rFonts w:hint="eastAsia" w:ascii="宋体" w:hAnsi="宋体" w:eastAsia="宋体" w:cs="宋体"/>
                <w:sz w:val="20"/>
                <w:szCs w:val="20"/>
                <w:lang w:eastAsia="zh-CN"/>
              </w:rPr>
              <w:t>建制</w:t>
            </w:r>
            <w:r>
              <w:rPr>
                <w:rFonts w:hint="eastAsia" w:ascii="宋体" w:hAnsi="宋体" w:eastAsia="宋体" w:cs="宋体"/>
                <w:sz w:val="20"/>
                <w:szCs w:val="20"/>
              </w:rPr>
              <w:t>村</w:t>
            </w:r>
            <w:r>
              <w:rPr>
                <w:rFonts w:hint="eastAsia" w:ascii="宋体" w:hAnsi="宋体" w:eastAsia="宋体" w:cs="宋体"/>
                <w:sz w:val="20"/>
                <w:szCs w:val="20"/>
                <w:lang w:eastAsia="zh-CN"/>
              </w:rPr>
              <w:t>个数</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36</w:t>
            </w: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36</w:t>
            </w: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受益群众人数</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≥4万人</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≥4万人</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基本公共服务水平</w:t>
            </w:r>
          </w:p>
        </w:tc>
        <w:tc>
          <w:tcPr>
            <w:tcW w:w="14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提升</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逐步</w:t>
            </w:r>
            <w:r>
              <w:rPr>
                <w:rFonts w:hint="eastAsia" w:ascii="宋体" w:hAnsi="宋体" w:eastAsia="宋体" w:cs="宋体"/>
                <w:color w:val="000000"/>
                <w:kern w:val="0"/>
                <w:sz w:val="20"/>
                <w:szCs w:val="20"/>
                <w:lang w:eastAsia="zh-CN"/>
              </w:rPr>
              <w:t>提升</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生态效益指标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sz w:val="20"/>
                <w:szCs w:val="20"/>
                <w:lang w:eastAsia="zh-CN"/>
              </w:rPr>
              <w:t>控制道路扬尘污染</w:t>
            </w:r>
          </w:p>
        </w:tc>
        <w:tc>
          <w:tcPr>
            <w:tcW w:w="14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明显　</w:t>
            </w:r>
          </w:p>
        </w:tc>
        <w:tc>
          <w:tcPr>
            <w:tcW w:w="122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明显</w:t>
            </w:r>
            <w:r>
              <w:rPr>
                <w:rFonts w:hint="eastAsia" w:ascii="宋体" w:hAnsi="宋体" w:eastAsia="宋体" w:cs="宋体"/>
                <w:color w:val="000000"/>
                <w:kern w:val="0"/>
                <w:sz w:val="20"/>
                <w:szCs w:val="20"/>
                <w:lang w:val="en-US" w:eastAsia="zh-CN"/>
              </w:rPr>
              <w:t>加强</w:t>
            </w: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可持续影响指标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sz w:val="20"/>
                <w:szCs w:val="20"/>
              </w:rPr>
              <w:t>农村公路小修维护适应公路交通</w:t>
            </w:r>
            <w:r>
              <w:rPr>
                <w:rFonts w:hint="eastAsia" w:ascii="宋体" w:hAnsi="宋体" w:eastAsia="宋体" w:cs="宋体"/>
                <w:sz w:val="20"/>
                <w:szCs w:val="20"/>
                <w:lang w:eastAsia="zh-CN"/>
              </w:rPr>
              <w:t>发展</w:t>
            </w:r>
            <w:r>
              <w:rPr>
                <w:rFonts w:hint="eastAsia" w:ascii="宋体" w:hAnsi="宋体" w:eastAsia="宋体" w:cs="宋体"/>
                <w:sz w:val="20"/>
                <w:szCs w:val="20"/>
              </w:rPr>
              <w:t>需求</w:t>
            </w:r>
          </w:p>
        </w:tc>
        <w:tc>
          <w:tcPr>
            <w:tcW w:w="14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长期</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长期</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满意度指标</w:t>
            </w:r>
          </w:p>
        </w:tc>
        <w:tc>
          <w:tcPr>
            <w:tcW w:w="8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服务对象满意度指标</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改善通行服务水平群众满意度</w:t>
            </w:r>
          </w:p>
        </w:tc>
        <w:tc>
          <w:tcPr>
            <w:tcW w:w="140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sz w:val="20"/>
                <w:szCs w:val="20"/>
              </w:rPr>
              <w:t>≥90%</w:t>
            </w:r>
          </w:p>
        </w:tc>
        <w:tc>
          <w:tcPr>
            <w:tcW w:w="122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sz w:val="20"/>
                <w:szCs w:val="20"/>
              </w:rPr>
              <w:t>≥90%</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p>
        </w:tc>
        <w:tc>
          <w:tcPr>
            <w:tcW w:w="5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8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33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40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4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59"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说明</w:t>
            </w:r>
          </w:p>
        </w:tc>
        <w:tc>
          <w:tcPr>
            <w:tcW w:w="8620" w:type="dxa"/>
            <w:gridSpan w:val="7"/>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无</w:t>
            </w:r>
          </w:p>
        </w:tc>
      </w:tr>
      <w:tr>
        <w:tblPrEx>
          <w:tblCellMar>
            <w:top w:w="0" w:type="dxa"/>
            <w:left w:w="108" w:type="dxa"/>
            <w:bottom w:w="0" w:type="dxa"/>
            <w:right w:w="108" w:type="dxa"/>
          </w:tblCellMar>
        </w:tblPrEx>
        <w:trPr>
          <w:trHeight w:val="540" w:hRule="atLeast"/>
        </w:trPr>
        <w:tc>
          <w:tcPr>
            <w:tcW w:w="9180" w:type="dxa"/>
            <w:gridSpan w:val="8"/>
            <w:tcBorders>
              <w:top w:val="nil"/>
              <w:left w:val="nil"/>
              <w:bottom w:val="nil"/>
              <w:right w:val="nil"/>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注：1.定性指标根据指标完成情况分为：达成预期指标、部分达成预期指标并具有一定效果、未达成预期指标且效果较差三档，分别按照100-80%（含80%）、80-50%（含50%）、50-0%合理填写完成比例。</w:t>
            </w:r>
          </w:p>
        </w:tc>
      </w:tr>
      <w:tr>
        <w:tblPrEx>
          <w:tblCellMar>
            <w:top w:w="0" w:type="dxa"/>
            <w:left w:w="108" w:type="dxa"/>
            <w:bottom w:w="0" w:type="dxa"/>
            <w:right w:w="108" w:type="dxa"/>
          </w:tblCellMar>
        </w:tblPrEx>
        <w:trPr>
          <w:trHeight w:val="480" w:hRule="atLeast"/>
        </w:trPr>
        <w:tc>
          <w:tcPr>
            <w:tcW w:w="9180" w:type="dxa"/>
            <w:gridSpan w:val="8"/>
            <w:tcBorders>
              <w:top w:val="nil"/>
              <w:left w:val="nil"/>
              <w:bottom w:val="nil"/>
              <w:right w:val="nil"/>
            </w:tcBorders>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2.定量指标若为正向指标（即指标值为≥*），则得分计算方法应用全年实际值（B）/年度指标值（A）</w:t>
            </w:r>
            <w:r>
              <w:rPr>
                <w:rFonts w:hint="eastAsia" w:ascii="宋体" w:hAnsi="宋体" w:eastAsia="宋体" w:cs="宋体"/>
                <w:color w:val="000000"/>
                <w:kern w:val="0"/>
                <w:sz w:val="12"/>
                <w:szCs w:val="12"/>
              </w:rPr>
              <w:t>╳</w:t>
            </w:r>
            <w:r>
              <w:rPr>
                <w:rFonts w:hint="eastAsia" w:ascii="宋体" w:hAnsi="宋体" w:eastAsia="宋体" w:cs="宋体"/>
                <w:color w:val="000000"/>
                <w:kern w:val="0"/>
                <w:sz w:val="18"/>
                <w:szCs w:val="18"/>
              </w:rPr>
              <w:t>该指标分值；若定量指标为反向指标（即指标值为≤*），则得分计算方法应用年度指标值（A）/全年实际值（B）</w:t>
            </w:r>
            <w:r>
              <w:rPr>
                <w:rFonts w:hint="eastAsia" w:ascii="宋体" w:hAnsi="宋体" w:eastAsia="宋体" w:cs="宋体"/>
                <w:color w:val="000000"/>
                <w:kern w:val="0"/>
                <w:sz w:val="12"/>
                <w:szCs w:val="12"/>
              </w:rPr>
              <w:t>╳</w:t>
            </w:r>
            <w:r>
              <w:rPr>
                <w:rFonts w:hint="eastAsia" w:ascii="宋体" w:hAnsi="宋体" w:eastAsia="宋体" w:cs="宋体"/>
                <w:color w:val="000000"/>
                <w:kern w:val="0"/>
                <w:sz w:val="18"/>
                <w:szCs w:val="18"/>
              </w:rPr>
              <w:t>该指标分值。</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2018年乌鲁木齐县农村公路水毁、抢险工程项目绩效自评综述：根据年初设定的绩效目标，2018年乌鲁木齐县农村公路水毁、抢险工程目绩效自评得分为88分。项目全年预算数为100万元，执行数为100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。主要产出和效果：达到保障全县农村公路路面完好、安全、畅通，维护公路及其附属设施正常使用功能目标。</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42"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Theme="minorEastAsia" w:hAnsiTheme="minorEastAsia" w:eastAsiaTheme="minorEastAsia" w:cstheme="minorEastAsia"/>
                <w:sz w:val="20"/>
                <w:szCs w:val="20"/>
              </w:rPr>
              <w:t>2018年乌鲁木齐县农村公路水毁、抢险工程</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县交通局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Theme="minorEastAsia" w:hAnsiTheme="minorEastAsia" w:eastAsiaTheme="minorEastAsia" w:cstheme="minorEastAsia"/>
                <w:kern w:val="0"/>
                <w:sz w:val="20"/>
                <w:szCs w:val="20"/>
              </w:rPr>
            </w:pP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w:t>
            </w:r>
            <w:r>
              <w:rPr>
                <w:rFonts w:hint="eastAsia" w:asciiTheme="minorEastAsia" w:hAnsiTheme="minorEastAsia" w:eastAsiaTheme="minorEastAsia" w:cstheme="minorEastAsia"/>
                <w:sz w:val="20"/>
                <w:szCs w:val="20"/>
              </w:rPr>
              <w:t>保障农村公路受到自然灾害时及时恢复畅通，保护人民群众生命、财产安全。</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Theme="minorEastAsia" w:hAnsiTheme="minorEastAsia" w:eastAsiaTheme="minorEastAsia" w:cstheme="minorEastAsia"/>
                <w:sz w:val="20"/>
                <w:szCs w:val="20"/>
              </w:rPr>
              <w:t>达到保障全县农村公路路面完好、安全、畅通，维护公路及其附属设施正常使用功能目标。</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cs="宋体"/>
                <w:color w:val="000000"/>
                <w:kern w:val="0"/>
                <w:sz w:val="20"/>
                <w:szCs w:val="20"/>
              </w:rPr>
              <w:t xml:space="preserve"> 县、乡、村农村公路风险路段处置率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color w:val="000000"/>
                <w:kern w:val="0"/>
                <w:sz w:val="20"/>
                <w:szCs w:val="20"/>
              </w:rPr>
              <w:t>100%，完成县委、县政府临时安排及道路应急、抢险类项目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color w:val="000000"/>
                <w:kern w:val="0"/>
                <w:sz w:val="20"/>
                <w:szCs w:val="20"/>
              </w:rPr>
              <w:t>100%，及时完成县委、县政府临时安排及道路应急、抢险类项目</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r>
              <w:rPr>
                <w:rFonts w:hint="eastAsia" w:ascii="宋体" w:hAnsi="宋体" w:cs="宋体"/>
                <w:color w:val="000000"/>
                <w:kern w:val="0"/>
                <w:sz w:val="20"/>
                <w:szCs w:val="20"/>
              </w:rPr>
              <w:t>省道风险路段处置率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color w:val="000000"/>
                <w:kern w:val="0"/>
                <w:sz w:val="20"/>
                <w:szCs w:val="20"/>
              </w:rPr>
              <w:t>100%，发生水毁及时抢通</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color w:val="000000"/>
                <w:kern w:val="0"/>
                <w:sz w:val="20"/>
                <w:szCs w:val="20"/>
              </w:rPr>
              <w:t>100%，发生水毁及时抢通</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Theme="minorEastAsia" w:hAnsiTheme="minorEastAsia" w:eastAsiaTheme="minorEastAsia" w:cstheme="minorEastAsia"/>
                <w:sz w:val="20"/>
                <w:szCs w:val="20"/>
              </w:rPr>
              <w:t>项目（工程）验收合格率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Theme="minorEastAsia" w:hAnsiTheme="minorEastAsia" w:eastAsiaTheme="minorEastAsia" w:cstheme="minorEastAsia"/>
                <w:color w:val="000000"/>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Theme="minorEastAsia" w:hAnsiTheme="minorEastAsia" w:eastAsiaTheme="minorEastAsia" w:cstheme="minorEastAsia"/>
                <w:color w:val="000000"/>
                <w:kern w:val="0"/>
                <w:sz w:val="20"/>
                <w:szCs w:val="20"/>
              </w:rPr>
              <w:t>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cs="宋体"/>
                <w:color w:val="000000"/>
                <w:kern w:val="0"/>
                <w:sz w:val="20"/>
                <w:szCs w:val="20"/>
              </w:rPr>
              <w:t>　投资按期完成率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r>
              <w:rPr>
                <w:rFonts w:hint="eastAsia" w:ascii="宋体" w:hAnsi="宋体" w:cs="宋体"/>
                <w:color w:val="000000"/>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cs="宋体"/>
                <w:color w:val="000000"/>
                <w:kern w:val="0"/>
                <w:sz w:val="20"/>
                <w:szCs w:val="20"/>
              </w:rPr>
              <w:t>按县财政拨款数额，交通部门行业标准制定维修费用。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color w:val="000000"/>
                <w:kern w:val="0"/>
                <w:sz w:val="20"/>
                <w:szCs w:val="20"/>
              </w:rPr>
              <w:t>≤100万元，县财政配套100万元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color w:val="000000"/>
                <w:kern w:val="0"/>
                <w:sz w:val="20"/>
                <w:szCs w:val="20"/>
              </w:rPr>
              <w:t>≤100万元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仿宋_GB2312" w:hAnsi="宋体" w:cs="宋体"/>
                <w:color w:val="000000"/>
                <w:kern w:val="0"/>
                <w:sz w:val="20"/>
                <w:szCs w:val="32"/>
              </w:rPr>
              <w:t>促进经济可持续发展</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明显</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明显</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Theme="minorEastAsia" w:hAnsiTheme="minorEastAsia" w:eastAsiaTheme="minorEastAsia" w:cstheme="minorEastAsia"/>
                <w:sz w:val="20"/>
                <w:szCs w:val="20"/>
              </w:rPr>
              <w:t>基本公共服务水平</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提升</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提升</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r>
              <w:rPr>
                <w:rFonts w:hint="eastAsia" w:asciiTheme="minorEastAsia" w:hAnsiTheme="minorEastAsia" w:eastAsiaTheme="minorEastAsia" w:cstheme="minorEastAsia"/>
                <w:color w:val="000000"/>
                <w:kern w:val="0"/>
                <w:sz w:val="20"/>
                <w:szCs w:val="20"/>
              </w:rPr>
              <w:t>公路安全水平</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提升</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提升</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tabs>
                <w:tab w:val="center" w:pos="872"/>
              </w:tabs>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：农村公路水毁、抢险维护适应公路交通需求</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长期</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color w:val="000000"/>
                <w:kern w:val="0"/>
                <w:sz w:val="20"/>
                <w:szCs w:val="20"/>
              </w:rPr>
              <w:t>长期</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34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cs="宋体"/>
                <w:color w:val="000000"/>
                <w:kern w:val="0"/>
                <w:sz w:val="20"/>
                <w:szCs w:val="20"/>
              </w:rPr>
              <w:t>　改善通行服务水平群众满意度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Theme="minorEastAsia" w:hAnsiTheme="minorEastAsia" w:eastAsiaTheme="minorEastAsia" w:cstheme="minorEastAsia"/>
                <w:sz w:val="20"/>
                <w:szCs w:val="20"/>
              </w:rPr>
              <w:t>≥90%</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Theme="minorEastAsia" w:hAnsiTheme="minorEastAsia" w:eastAsiaTheme="minorEastAsia" w:cstheme="minorEastAsia"/>
                <w:sz w:val="20"/>
                <w:szCs w:val="20"/>
              </w:rPr>
              <w:t>≥90%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3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养护队家属院住宅楼改造项目项目绩效自评综述：根据年初设定的绩效目标，养护队家属院住宅楼改造项目目绩效自评得分为91分。项目全年预算数为5万元，执行数为5万元，完成预算的1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。主要产出和效果：乌鲁木齐县养护队家属院住宅楼位于天山区碱泉一街10号二区49号，住宅楼年久失修，完成房屋改造。</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42"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Theme="minorEastAsia" w:hAnsiTheme="minorEastAsia" w:eastAsiaTheme="minorEastAsia" w:cstheme="minorEastAsia"/>
                <w:b w:val="0"/>
                <w:bCs w:val="0"/>
                <w:sz w:val="20"/>
                <w:szCs w:val="20"/>
                <w:lang w:eastAsia="zh-CN"/>
              </w:rPr>
              <w:t>养护队家属院住宅楼改造项目</w:t>
            </w:r>
            <w:r>
              <w:rPr>
                <w:rFonts w:hint="eastAsia" w:asciiTheme="minorEastAsia" w:hAnsiTheme="minorEastAsia" w:eastAsiaTheme="minorEastAsia" w:cstheme="minorEastAsia"/>
                <w:kern w:val="0"/>
                <w:sz w:val="20"/>
                <w:szCs w:val="20"/>
              </w:rPr>
              <w:t>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lang w:eastAsia="zh-CN"/>
              </w:rPr>
              <w:t>县交通局</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宋体" w:eastAsia="宋体" w:cs="宋体"/>
                <w:kern w:val="0"/>
                <w:sz w:val="20"/>
                <w:szCs w:val="20"/>
                <w:lang w:val="en-US" w:eastAsia="zh-CN"/>
              </w:rPr>
            </w:pPr>
            <w:r>
              <w:rPr>
                <w:rFonts w:hint="eastAsia" w:ascii="宋体" w:hAnsi="宋体" w:cs="宋体"/>
                <w:kern w:val="0"/>
                <w:sz w:val="20"/>
                <w:szCs w:val="20"/>
                <w:lang w:val="en-US" w:eastAsia="zh-CN"/>
              </w:rPr>
              <w:t>5</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20"/>
                <w:szCs w:val="20"/>
              </w:rPr>
            </w:pPr>
            <w:r>
              <w:rPr>
                <w:rStyle w:val="6"/>
                <w:rFonts w:hint="eastAsia" w:asciiTheme="minorEastAsia" w:hAnsiTheme="minorEastAsia" w:eastAsiaTheme="minorEastAsia" w:cstheme="minorEastAsia"/>
                <w:b w:val="0"/>
                <w:spacing w:val="-4"/>
                <w:sz w:val="20"/>
                <w:szCs w:val="20"/>
                <w:lang w:val="en-US" w:eastAsia="zh-CN"/>
              </w:rPr>
              <w:t>5</w:t>
            </w:r>
            <w:r>
              <w:rPr>
                <w:rFonts w:hint="eastAsia" w:asciiTheme="minorEastAsia" w:hAnsiTheme="minorEastAsia" w:eastAsiaTheme="minorEastAsia" w:cstheme="minorEastAsia"/>
                <w:kern w:val="0"/>
                <w:sz w:val="20"/>
                <w:szCs w:val="20"/>
              </w:rPr>
              <w:t>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lang w:val="en-US" w:eastAsia="zh-CN"/>
              </w:rPr>
              <w:t>5</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　</w:t>
            </w:r>
            <w:r>
              <w:rPr>
                <w:rStyle w:val="6"/>
                <w:rFonts w:hint="eastAsia" w:asciiTheme="minorEastAsia" w:hAnsiTheme="minorEastAsia" w:eastAsiaTheme="minorEastAsia" w:cstheme="minorEastAsia"/>
                <w:b w:val="0"/>
                <w:spacing w:val="-4"/>
                <w:sz w:val="20"/>
                <w:szCs w:val="20"/>
                <w:lang w:val="en-US" w:eastAsia="zh-CN"/>
              </w:rPr>
              <w:t>5</w:t>
            </w:r>
            <w:r>
              <w:rPr>
                <w:rFonts w:hint="eastAsia" w:asciiTheme="minorEastAsia" w:hAnsiTheme="minorEastAsia" w:eastAsiaTheme="minorEastAsia" w:cstheme="minorEastAsia"/>
                <w:kern w:val="0"/>
                <w:sz w:val="20"/>
                <w:szCs w:val="20"/>
              </w:rPr>
              <w:t>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w:t>
            </w:r>
            <w:r>
              <w:rPr>
                <w:rFonts w:hint="eastAsia" w:asciiTheme="minorEastAsia" w:hAnsiTheme="minorEastAsia" w:eastAsiaTheme="minorEastAsia" w:cstheme="minorEastAsia"/>
                <w:b w:val="0"/>
                <w:bCs w:val="0"/>
                <w:sz w:val="20"/>
                <w:szCs w:val="20"/>
                <w:shd w:val="clear" w:color="auto" w:fill="auto"/>
                <w:lang w:val="en-US" w:eastAsia="zh-CN"/>
              </w:rPr>
              <w:t>乌鲁木齐县养护队家属院住宅楼位于天山区碱泉一街10号二区49号，住宅楼年久失修，计划对房屋改造。</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Theme="minorEastAsia" w:hAnsiTheme="minorEastAsia" w:eastAsiaTheme="minorEastAsia" w:cstheme="minorEastAsia"/>
                <w:b w:val="0"/>
                <w:bCs w:val="0"/>
                <w:sz w:val="20"/>
                <w:szCs w:val="20"/>
                <w:shd w:val="clear" w:color="auto" w:fill="auto"/>
                <w:lang w:val="en-US" w:eastAsia="zh-CN"/>
              </w:rPr>
              <w:t>乌鲁木齐县养护队家属院住宅楼位于天山区碱泉一街10号二区49号，住宅楼年久失修，完成房屋改造。</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eastAsia="zh-CN"/>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cs="宋体"/>
                <w:kern w:val="0"/>
                <w:sz w:val="20"/>
                <w:szCs w:val="20"/>
                <w:lang w:eastAsia="zh-CN"/>
              </w:rPr>
              <w:t>养护队房屋</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color w:val="000000"/>
                <w:kern w:val="0"/>
                <w:sz w:val="20"/>
                <w:szCs w:val="20"/>
                <w:lang w:val="en-US" w:eastAsia="zh-CN"/>
              </w:rPr>
              <w:t>计划改造维修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color w:val="000000"/>
                <w:kern w:val="0"/>
                <w:sz w:val="20"/>
                <w:szCs w:val="20"/>
                <w:lang w:val="en-US" w:eastAsia="zh-CN"/>
              </w:rPr>
              <w:t>完成改造维修</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Theme="minorEastAsia" w:hAnsiTheme="minorEastAsia" w:eastAsiaTheme="minorEastAsia" w:cstheme="minorEastAsia"/>
                <w:sz w:val="20"/>
                <w:szCs w:val="20"/>
              </w:rPr>
              <w:t>项目（工程）验收合格率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Theme="minorEastAsia" w:hAnsiTheme="minorEastAsia" w:eastAsiaTheme="minorEastAsia" w:cstheme="minorEastAsia"/>
                <w:color w:val="000000"/>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Theme="minorEastAsia" w:hAnsiTheme="minorEastAsia" w:eastAsiaTheme="minorEastAsia" w:cstheme="minorEastAsia"/>
                <w:color w:val="000000"/>
                <w:kern w:val="0"/>
                <w:sz w:val="20"/>
                <w:szCs w:val="20"/>
              </w:rPr>
              <w:t>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eastAsia="宋体" w:cs="宋体"/>
                <w:color w:val="000000"/>
                <w:kern w:val="0"/>
                <w:sz w:val="20"/>
                <w:szCs w:val="20"/>
              </w:rPr>
              <w:t>　投资按期完成率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eastAsia="宋体" w:cs="宋体"/>
                <w:color w:val="000000"/>
                <w:kern w:val="0"/>
                <w:sz w:val="20"/>
                <w:szCs w:val="20"/>
                <w:lang w:val="en-US" w:eastAsia="zh-CN"/>
              </w:rPr>
              <w:t>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r>
              <w:rPr>
                <w:rFonts w:hint="eastAsia" w:ascii="宋体" w:hAnsi="宋体" w:eastAsia="宋体" w:cs="宋体"/>
                <w:color w:val="000000"/>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eastAsia="zh-CN"/>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eastAsia="宋体" w:cs="宋体"/>
                <w:color w:val="000000"/>
                <w:kern w:val="0"/>
                <w:sz w:val="20"/>
                <w:szCs w:val="20"/>
              </w:rPr>
              <w:t>按</w:t>
            </w:r>
            <w:r>
              <w:rPr>
                <w:rFonts w:hint="eastAsia" w:ascii="宋体" w:hAnsi="宋体" w:cs="宋体"/>
                <w:color w:val="000000"/>
                <w:kern w:val="0"/>
                <w:sz w:val="20"/>
                <w:szCs w:val="20"/>
                <w:lang w:eastAsia="zh-CN"/>
              </w:rPr>
              <w:t>县财政拨款数额完成</w:t>
            </w:r>
          </w:p>
        </w:tc>
        <w:tc>
          <w:tcPr>
            <w:tcW w:w="2060" w:type="dxa"/>
            <w:tcBorders>
              <w:top w:val="nil"/>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val="en-US" w:eastAsia="zh-CN"/>
              </w:rPr>
            </w:pP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rPr>
              <w:t>万元</w:t>
            </w:r>
            <w:r>
              <w:rPr>
                <w:rFonts w:hint="eastAsia" w:ascii="宋体" w:hAnsi="宋体" w:cs="宋体"/>
                <w:color w:val="000000"/>
                <w:kern w:val="0"/>
                <w:sz w:val="20"/>
                <w:szCs w:val="20"/>
                <w:lang w:eastAsia="zh-CN"/>
              </w:rPr>
              <w:t>，县财政配套</w:t>
            </w:r>
            <w:r>
              <w:rPr>
                <w:rFonts w:hint="eastAsia" w:ascii="宋体" w:hAnsi="宋体" w:cs="宋体"/>
                <w:color w:val="000000"/>
                <w:kern w:val="0"/>
                <w:sz w:val="20"/>
                <w:szCs w:val="20"/>
                <w:lang w:val="en-US" w:eastAsia="zh-CN"/>
              </w:rPr>
              <w:t>5万元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rPr>
              <w:t>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仿宋_GB2312" w:hAnsi="宋体" w:eastAsia="宋体" w:cs="宋体"/>
                <w:color w:val="000000"/>
                <w:kern w:val="0"/>
                <w:sz w:val="20"/>
                <w:szCs w:val="32"/>
                <w:lang w:eastAsia="zh-CN"/>
              </w:rPr>
              <w:t>促进经济可持续发展</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eastAsia="宋体" w:cs="宋体"/>
                <w:color w:val="000000"/>
                <w:kern w:val="0"/>
                <w:sz w:val="20"/>
                <w:szCs w:val="20"/>
              </w:rPr>
              <w:t>明显</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eastAsia="宋体" w:cs="宋体"/>
                <w:color w:val="000000"/>
                <w:kern w:val="0"/>
                <w:sz w:val="20"/>
                <w:szCs w:val="20"/>
              </w:rPr>
              <w:t>明显</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eastAsia="zh-CN"/>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Theme="minorEastAsia" w:hAnsiTheme="minorEastAsia" w:eastAsiaTheme="minorEastAsia" w:cstheme="minorEastAsia"/>
                <w:sz w:val="20"/>
                <w:szCs w:val="20"/>
                <w:lang w:eastAsia="zh-CN"/>
              </w:rPr>
              <w:t>保障职工居住需求</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eastAsia="宋体" w:cs="宋体"/>
                <w:color w:val="000000"/>
                <w:kern w:val="0"/>
                <w:sz w:val="20"/>
                <w:szCs w:val="20"/>
              </w:rPr>
              <w:t>明显</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eastAsia="宋体" w:cs="宋体"/>
                <w:color w:val="000000"/>
                <w:kern w:val="0"/>
                <w:sz w:val="20"/>
                <w:szCs w:val="20"/>
              </w:rPr>
              <w:t>明显</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宋体" w:eastAsia="宋体" w:cs="宋体"/>
                <w:kern w:val="0"/>
                <w:sz w:val="20"/>
                <w:szCs w:val="20"/>
                <w:lang w:eastAsia="zh-CN"/>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tabs>
                <w:tab w:val="center" w:pos="872"/>
              </w:tabs>
              <w:jc w:val="left"/>
              <w:rPr>
                <w:rFonts w:hint="eastAsia" w:ascii="宋体" w:eastAsia="宋体" w:cs="宋体"/>
                <w:kern w:val="0"/>
                <w:sz w:val="20"/>
                <w:szCs w:val="20"/>
                <w:lang w:eastAsia="zh-CN"/>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Theme="minorEastAsia" w:hAnsiTheme="minorEastAsia" w:eastAsiaTheme="minorEastAsia" w:cstheme="minorEastAsia"/>
                <w:sz w:val="20"/>
                <w:szCs w:val="20"/>
                <w:lang w:eastAsia="zh-CN"/>
              </w:rPr>
              <w:t>保障职工需求</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eastAsia="宋体" w:cs="宋体"/>
                <w:color w:val="000000"/>
                <w:kern w:val="0"/>
                <w:sz w:val="20"/>
                <w:szCs w:val="20"/>
                <w:lang w:eastAsia="zh-CN"/>
              </w:rPr>
              <w:t>长期</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eastAsia="宋体" w:cs="宋体"/>
                <w:color w:val="000000"/>
                <w:kern w:val="0"/>
                <w:sz w:val="20"/>
                <w:szCs w:val="20"/>
                <w:lang w:eastAsia="zh-CN"/>
              </w:rPr>
              <w:t>长期</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34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4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hint="eastAsia" w:ascii="宋体" w:hAnsi="宋体" w:eastAsia="宋体" w:cs="宋体"/>
                <w:color w:val="000000"/>
                <w:kern w:val="0"/>
                <w:sz w:val="20"/>
                <w:szCs w:val="20"/>
              </w:rPr>
              <w:t>　</w:t>
            </w:r>
            <w:r>
              <w:rPr>
                <w:rFonts w:hint="eastAsia" w:ascii="宋体" w:hAnsi="宋体" w:cs="宋体"/>
                <w:color w:val="000000"/>
                <w:kern w:val="0"/>
                <w:sz w:val="20"/>
                <w:szCs w:val="20"/>
                <w:lang w:eastAsia="zh-CN"/>
              </w:rPr>
              <w:t>养护队职工</w:t>
            </w:r>
            <w:r>
              <w:rPr>
                <w:rFonts w:hint="eastAsia" w:ascii="宋体" w:hAnsi="宋体" w:eastAsia="宋体" w:cs="宋体"/>
                <w:color w:val="000000"/>
                <w:kern w:val="0"/>
                <w:sz w:val="20"/>
                <w:szCs w:val="20"/>
              </w:rPr>
              <w:t>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Theme="minorEastAsia" w:hAnsiTheme="minorEastAsia" w:eastAsiaTheme="minorEastAsia" w:cstheme="minorEastAsia"/>
                <w:sz w:val="20"/>
                <w:szCs w:val="20"/>
              </w:rPr>
              <w:t>≥90%</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Theme="minorEastAsia" w:hAnsiTheme="minorEastAsia" w:eastAsiaTheme="minorEastAsia" w:cstheme="minorEastAsia"/>
                <w:sz w:val="20"/>
                <w:szCs w:val="20"/>
              </w:rPr>
              <w:t>≥90%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3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路桥项目及公交站点项目绩效自评综述：根据年初设定的绩效目标，路桥项目及公交站点目绩效自评得分为87分。项目全年预算数为2846.66万元，执行数为2813.72万元，完成预算的98</w:t>
      </w:r>
      <w:r>
        <w:rPr>
          <w:rFonts w:hint="eastAsia" w:ascii="仿宋_GB2312" w:eastAsia="仿宋_GB2312"/>
          <w:sz w:val="32"/>
          <w:szCs w:val="32"/>
          <w:lang w:val="en-US" w:eastAsia="zh-CN"/>
        </w:rPr>
        <w:t>.</w:t>
      </w:r>
      <w:r>
        <w:rPr>
          <w:rFonts w:hint="eastAsia" w:ascii="仿宋_GB2312" w:eastAsia="仿宋_GB2312"/>
          <w:sz w:val="32"/>
          <w:szCs w:val="32"/>
        </w:rPr>
        <w:t>84</w:t>
      </w:r>
      <w:r>
        <w:rPr>
          <w:rFonts w:hint="eastAsia" w:ascii="仿宋_GB2312" w:eastAsia="仿宋_GB2312"/>
          <w:sz w:val="32"/>
          <w:szCs w:val="32"/>
          <w:lang w:val="en-US" w:eastAsia="zh-CN"/>
        </w:rPr>
        <w:t>%</w:t>
      </w:r>
      <w:r>
        <w:rPr>
          <w:rFonts w:hint="eastAsia" w:ascii="仿宋_GB2312" w:eastAsia="仿宋_GB2312"/>
          <w:sz w:val="32"/>
          <w:szCs w:val="32"/>
        </w:rPr>
        <w:t>。</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农村基础设施项目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县交通局　</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：路面</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新增沥青混凝土路面里程</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63.3km</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：桥墩</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新增桥墩数</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12个</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指标3：涵洞</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新增涵洞</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118座</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新增中桥</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8座</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：设计</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道路、桥梁设计及建设管理达标率</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100%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：桥梁混凝土路面平均每公里成本（路面宽10米）</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沥青混凝土路面宽度</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≥10m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指标3：混凝土路面平均每公里成本（路面宽15米）市政道路</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沥青混凝土路面宽度</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≥15m</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指标4：沥青混凝土厚度</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沥青混凝土厚度</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≥5cm</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指标5：沥青混凝土路面压实度</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沥青混凝土路面压实度</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≥92%</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开工时间</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2017年7月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完工时间</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2018年10月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投入使用时间</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2018年10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：混凝土路面平均每公里成本（路面宽10米）</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混凝土路面平均每公里成本（路面宽10米）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≤260万元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：混凝土路面平均每公里成本（路面宽15米）市政道路</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混凝土路面平均每公里成本（路面宽15米）市政道路</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≤1300万元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：经济发展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经济发展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带动经济可持续发展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：基本公共服务水平</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基本公共服务水平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基本公共服务水平提升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：硬化里程63.3km</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硬化里程63.3km</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减少扬尘污染，有效改善环境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：新增公路使用年限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新增公路使用年限</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≥15年</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：项目区域群众满意度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项目区域群众满意度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≥95%</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公交安保及路灯、围栏安装项目绩效自评综述：根据年初设定的绩效目标，公交安保及路灯、围栏安装目绩效自评得分为86分。项目全年预算数为100万元，执行数为100万元，完成预算的1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。主要产出和效果：需要招聘不少于44名随车安保人员，保障乡村公交线路8031、8032、8033、8034正常运营。</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乡村公交基础设施建设项目</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县交通局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80</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80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0</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eastAsia="仿宋" w:cs="宋体"/>
                <w:kern w:val="0"/>
                <w:sz w:val="20"/>
                <w:szCs w:val="20"/>
              </w:rPr>
            </w:pPr>
            <w:r>
              <w:rPr>
                <w:rFonts w:hint="eastAsia" w:ascii="宋体" w:hAnsi="宋体" w:cs="宋体"/>
                <w:kern w:val="0"/>
                <w:sz w:val="20"/>
                <w:szCs w:val="20"/>
              </w:rPr>
              <w:t>　需要招聘不少于44名随车安保人员，保障乡村公交线路8031、8032、8033、8034正常运营。</w:t>
            </w:r>
          </w:p>
        </w:tc>
        <w:tc>
          <w:tcPr>
            <w:tcW w:w="3840" w:type="dxa"/>
            <w:gridSpan w:val="2"/>
            <w:tcBorders>
              <w:top w:val="single" w:color="auto" w:sz="4" w:space="0"/>
              <w:left w:val="nil"/>
              <w:bottom w:val="single" w:color="auto" w:sz="4" w:space="0"/>
              <w:right w:val="single" w:color="000000" w:sz="4" w:space="0"/>
            </w:tcBorders>
          </w:tcPr>
          <w:p>
            <w:pPr>
              <w:widowControl/>
              <w:jc w:val="center"/>
              <w:rPr>
                <w:rFonts w:ascii="宋体" w:cs="宋体"/>
                <w:kern w:val="0"/>
                <w:sz w:val="20"/>
                <w:szCs w:val="20"/>
              </w:rPr>
            </w:pPr>
            <w:r>
              <w:rPr>
                <w:rFonts w:hint="eastAsia" w:ascii="宋体" w:hAnsi="宋体" w:cs="宋体"/>
                <w:kern w:val="0"/>
                <w:sz w:val="20"/>
                <w:szCs w:val="20"/>
              </w:rPr>
              <w:t>需要招聘不少于44名随车安保人员，保障乡村公交线路8031、8032、8033、8034正常运营。</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：完成规定工作任务</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≥98</w:t>
            </w:r>
            <w:r>
              <w:rPr>
                <w:rFonts w:ascii="宋体" w:hAnsi="宋体" w:cs="宋体"/>
                <w:kern w:val="0"/>
                <w:sz w:val="20"/>
                <w:szCs w:val="20"/>
              </w:rPr>
              <w:t>%</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100%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：公交安保工作考核标准</w:t>
            </w:r>
          </w:p>
        </w:tc>
        <w:tc>
          <w:tcPr>
            <w:tcW w:w="206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≥98</w:t>
            </w:r>
            <w:r>
              <w:rPr>
                <w:rFonts w:ascii="宋体" w:hAnsi="宋体" w:cs="宋体"/>
                <w:kern w:val="0"/>
                <w:sz w:val="20"/>
                <w:szCs w:val="20"/>
              </w:rPr>
              <w:t>%</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100%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：工作完成情况</w:t>
            </w:r>
          </w:p>
        </w:tc>
        <w:tc>
          <w:tcPr>
            <w:tcW w:w="20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合格</w:t>
            </w:r>
          </w:p>
        </w:tc>
        <w:tc>
          <w:tcPr>
            <w:tcW w:w="178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合格</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：安保人员素质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政治方面</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遵守中华人民共和国宪法和法律，拥护中国共产党的领导，热爱社会主义，反对民族分裂。</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：上岗时间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上岗时间</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早8:00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r>
              <w:rPr>
                <w:rFonts w:hint="eastAsia" w:ascii="宋体" w:cs="宋体"/>
                <w:kern w:val="0"/>
                <w:sz w:val="20"/>
                <w:szCs w:val="20"/>
              </w:rPr>
              <w:t>下班时间</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下班时间</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晚9:00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：每名安保人员每月费用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每名安保人员每月费用</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≤4000元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：经济发展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经济发展</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带动沿线经济发展，保障公交有序运营。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：基本公共服务水平</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基本公共服务水平</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基本公共服务水平提升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：绿色环保出行的交通工具</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绿色环保出行的交通工具</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沿线群众采取公交出行，减少汽车尾气排放，对保护生态环境起到积极作用。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：持续增强沿线群众的获得感、幸福感</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持续增强沿线群众的获得感、幸福感</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持续增强沿线群众的获得感、幸福感</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：沿线群众满意度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访汇聚工作经费及伙食补助项目绩效自评综述：根据年初设定的绩效目标，访汇聚工作经费及伙食补助目绩效自评得分为90分。项目全年预算数为18.64万元，执行数为18.64万元，完成预算的1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。主要产出和效果：项目资金2万元，主要用于单位访惠聚工作队经费开支。</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cs="宋体"/>
                <w:kern w:val="0"/>
                <w:sz w:val="24"/>
              </w:rPr>
            </w:pPr>
          </w:p>
        </w:tc>
        <w:tc>
          <w:tcPr>
            <w:tcW w:w="1140" w:type="dxa"/>
            <w:tcBorders>
              <w:top w:val="nil"/>
              <w:left w:val="nil"/>
              <w:bottom w:val="nil"/>
              <w:right w:val="nil"/>
            </w:tcBorders>
            <w:noWrap w:val="0"/>
            <w:vAlign w:val="center"/>
          </w:tcPr>
          <w:p>
            <w:pPr>
              <w:widowControl/>
              <w:jc w:val="center"/>
              <w:rPr>
                <w:rFonts w:ascii="宋体" w:cs="宋体"/>
                <w:kern w:val="0"/>
                <w:sz w:val="24"/>
              </w:rPr>
            </w:pPr>
          </w:p>
        </w:tc>
        <w:tc>
          <w:tcPr>
            <w:tcW w:w="1360" w:type="dxa"/>
            <w:tcBorders>
              <w:top w:val="nil"/>
              <w:left w:val="nil"/>
              <w:bottom w:val="nil"/>
              <w:right w:val="nil"/>
            </w:tcBorders>
            <w:noWrap w:val="0"/>
            <w:vAlign w:val="center"/>
          </w:tcPr>
          <w:p>
            <w:pPr>
              <w:widowControl/>
              <w:jc w:val="center"/>
              <w:rPr>
                <w:rFonts w:ascii="宋体" w:cs="宋体"/>
                <w:kern w:val="0"/>
                <w:sz w:val="24"/>
              </w:rPr>
            </w:pPr>
          </w:p>
        </w:tc>
        <w:tc>
          <w:tcPr>
            <w:tcW w:w="1080" w:type="dxa"/>
            <w:tcBorders>
              <w:top w:val="nil"/>
              <w:left w:val="nil"/>
              <w:bottom w:val="nil"/>
              <w:right w:val="nil"/>
            </w:tcBorders>
            <w:noWrap w:val="0"/>
            <w:vAlign w:val="center"/>
          </w:tcPr>
          <w:p>
            <w:pPr>
              <w:widowControl/>
              <w:jc w:val="center"/>
              <w:rPr>
                <w:rFonts w:ascii="宋体" w:cs="宋体"/>
                <w:kern w:val="0"/>
                <w:sz w:val="24"/>
              </w:rPr>
            </w:pPr>
          </w:p>
        </w:tc>
        <w:tc>
          <w:tcPr>
            <w:tcW w:w="880" w:type="dxa"/>
            <w:tcBorders>
              <w:top w:val="nil"/>
              <w:left w:val="nil"/>
              <w:bottom w:val="nil"/>
              <w:right w:val="nil"/>
            </w:tcBorders>
            <w:noWrap w:val="0"/>
            <w:vAlign w:val="center"/>
          </w:tcPr>
          <w:p>
            <w:pPr>
              <w:widowControl/>
              <w:jc w:val="center"/>
              <w:rPr>
                <w:rFonts w:ascii="宋体" w:cs="宋体"/>
                <w:kern w:val="0"/>
                <w:sz w:val="24"/>
              </w:rPr>
            </w:pPr>
          </w:p>
        </w:tc>
        <w:tc>
          <w:tcPr>
            <w:tcW w:w="2060" w:type="dxa"/>
            <w:tcBorders>
              <w:top w:val="nil"/>
              <w:left w:val="nil"/>
              <w:bottom w:val="nil"/>
              <w:right w:val="nil"/>
            </w:tcBorders>
            <w:noWrap w:val="0"/>
            <w:vAlign w:val="center"/>
          </w:tcPr>
          <w:p>
            <w:pPr>
              <w:widowControl/>
              <w:jc w:val="center"/>
              <w:rPr>
                <w:rFonts w:ascii="宋体" w:cs="宋体"/>
                <w:kern w:val="0"/>
                <w:sz w:val="24"/>
              </w:rPr>
            </w:pPr>
          </w:p>
        </w:tc>
        <w:tc>
          <w:tcPr>
            <w:tcW w:w="1780" w:type="dxa"/>
            <w:tcBorders>
              <w:top w:val="nil"/>
              <w:left w:val="nil"/>
              <w:bottom w:val="nil"/>
              <w:right w:val="nil"/>
            </w:tcBorders>
            <w:noWrap w:val="0"/>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2018年访惠聚驻社区工作队经费及伙食补助费项目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　乌鲁木齐县交通局</w:t>
            </w:r>
          </w:p>
        </w:tc>
      </w:tr>
      <w:tr>
        <w:tblPrEx>
          <w:tblCellMar>
            <w:top w:w="0" w:type="dxa"/>
            <w:left w:w="108" w:type="dxa"/>
            <w:bottom w:w="0" w:type="dxa"/>
            <w:right w:w="108" w:type="dxa"/>
          </w:tblCellMar>
        </w:tblPrEx>
        <w:trPr>
          <w:trHeight w:val="48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cs="宋体"/>
                <w:kern w:val="0"/>
                <w:sz w:val="20"/>
                <w:szCs w:val="20"/>
              </w:rPr>
            </w:pPr>
            <w:r>
              <w:rPr>
                <w:rFonts w:hint="eastAsia" w:ascii="宋体" w:hAnsi="宋体" w:cs="宋体"/>
                <w:kern w:val="0"/>
                <w:sz w:val="20"/>
                <w:szCs w:val="20"/>
              </w:rPr>
              <w:t>18.64</w:t>
            </w:r>
          </w:p>
        </w:tc>
        <w:tc>
          <w:tcPr>
            <w:tcW w:w="2060" w:type="dxa"/>
            <w:tcBorders>
              <w:top w:val="nil"/>
              <w:left w:val="nil"/>
              <w:bottom w:val="single" w:color="auto" w:sz="4" w:space="0"/>
              <w:right w:val="single" w:color="auto" w:sz="4" w:space="0"/>
            </w:tcBorders>
            <w:noWrap w:val="0"/>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17.61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cs="宋体"/>
                <w:kern w:val="0"/>
                <w:sz w:val="20"/>
                <w:szCs w:val="20"/>
              </w:rPr>
            </w:pPr>
            <w:r>
              <w:rPr>
                <w:rFonts w:hint="eastAsia" w:ascii="宋体" w:hAnsi="宋体" w:cs="宋体"/>
                <w:kern w:val="0"/>
                <w:sz w:val="20"/>
                <w:szCs w:val="20"/>
              </w:rPr>
              <w:t>18.64</w:t>
            </w:r>
          </w:p>
        </w:tc>
        <w:tc>
          <w:tcPr>
            <w:tcW w:w="2060" w:type="dxa"/>
            <w:tcBorders>
              <w:top w:val="nil"/>
              <w:left w:val="nil"/>
              <w:bottom w:val="nil"/>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17.61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center"/>
              <w:rPr>
                <w:rFonts w:ascii="宋体" w:hAnsi="宋体" w:cs="宋体"/>
                <w:kern w:val="0"/>
                <w:sz w:val="20"/>
                <w:szCs w:val="20"/>
              </w:rPr>
            </w:pPr>
            <w:r>
              <w:rPr>
                <w:rFonts w:hint="eastAsia" w:ascii="宋体" w:hAnsi="宋体" w:cs="宋体"/>
                <w:kern w:val="0"/>
                <w:sz w:val="20"/>
                <w:szCs w:val="20"/>
              </w:rPr>
              <w:t>　项目资金2万元，主要用于单位访惠聚工作队经费开支。</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center"/>
              <w:rPr>
                <w:rFonts w:ascii="宋体" w:hAnsi="宋体" w:cs="宋体"/>
                <w:kern w:val="0"/>
                <w:sz w:val="20"/>
                <w:szCs w:val="20"/>
              </w:rPr>
            </w:pPr>
            <w:r>
              <w:rPr>
                <w:rFonts w:hint="eastAsia" w:ascii="宋体" w:hAnsi="宋体" w:cs="宋体"/>
                <w:kern w:val="0"/>
                <w:sz w:val="20"/>
                <w:szCs w:val="20"/>
              </w:rPr>
              <w:t>项目资金2万元，主要用于单位访惠聚工作队经费开支。</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：完成规定工作任务</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≥98</w:t>
            </w:r>
            <w:r>
              <w:rPr>
                <w:rFonts w:ascii="宋体" w:hAnsi="宋体" w:cs="宋体"/>
                <w:kern w:val="0"/>
                <w:sz w:val="20"/>
                <w:szCs w:val="20"/>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100%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r>
              <w:rPr>
                <w:rFonts w:hint="eastAsia" w:ascii="宋体" w:hAnsi="宋体" w:eastAsia="宋体" w:cs="宋体"/>
                <w:color w:val="000000"/>
                <w:kern w:val="0"/>
                <w:sz w:val="20"/>
                <w:szCs w:val="20"/>
              </w:rPr>
              <w:t>　</w:t>
            </w:r>
            <w:r>
              <w:rPr>
                <w:rFonts w:hint="eastAsia" w:ascii="宋体" w:hAnsi="宋体" w:cs="宋体"/>
                <w:kern w:val="0"/>
                <w:sz w:val="20"/>
                <w:szCs w:val="20"/>
              </w:rPr>
              <w:t>达到访惠聚工作考核标准</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≥98</w:t>
            </w:r>
            <w:r>
              <w:rPr>
                <w:rFonts w:ascii="宋体" w:hAnsi="宋体" w:cs="宋体"/>
                <w:kern w:val="0"/>
                <w:sz w:val="20"/>
                <w:szCs w:val="20"/>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：工作完成情况</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合格</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合格</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：项目完成时限</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2018年12月完成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2018年12月已全部完成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：任务计划按期完成率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≥98</w:t>
            </w:r>
            <w:r>
              <w:rPr>
                <w:rFonts w:ascii="宋体" w:hAnsi="宋体" w:cs="宋体"/>
                <w:kern w:val="0"/>
                <w:sz w:val="20"/>
                <w:szCs w:val="20"/>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：工作经费项目投资</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总投资18.64万元</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实际17.61万元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：严格执行政府采购法</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所有开支项目办理政府采购</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　严格开支资金节约。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ascii="宋体" w:cs="宋体"/>
                <w:kern w:val="0"/>
                <w:sz w:val="20"/>
                <w:szCs w:val="20"/>
              </w:rPr>
              <w:t xml:space="preserve"> </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：各种宣传、活动等增进了工作队和辖区居民之间的感情</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各种宣传、活动等增进了工作队和辖区居民之间的感情</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各种宣传、活动等增进了工作队和辖区居民之间的感情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ascii="宋体" w:cs="宋体"/>
                <w:kern w:val="0"/>
                <w:sz w:val="20"/>
                <w:szCs w:val="20"/>
              </w:rPr>
              <w:t xml:space="preserve"> </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：对当地发展的影响力</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可长期使用</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可长期使用</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：对项目实施满意度调查</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提高工作队满意度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提高工作队满意度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cs="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　</w:t>
            </w:r>
          </w:p>
        </w:tc>
      </w:tr>
    </w:tbl>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20802</w:t>
      </w:r>
      <w:bookmarkStart w:id="0" w:name="_GoBack"/>
      <w:r>
        <w:rPr>
          <w:rFonts w:hint="eastAsia" w:ascii="仿宋_GB2312" w:eastAsia="仿宋_GB2312"/>
          <w:sz w:val="32"/>
          <w:szCs w:val="32"/>
        </w:rPr>
        <w:t>08基层政权和社区建设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2120803城市建设支出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2120804农村基础设施建设支出</w:t>
      </w:r>
    </w:p>
    <w:bookmarkEnd w:id="0"/>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2121301城市公共设施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2121399其他城市基础设施配套费安排的支出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2129999其他城乡社区支出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2130142农村道路建设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2140101行政运行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2140106公路养护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2140112公路运输管理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2140199其他公路水路运输支出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2140602车辆购置税用于农村公路建设支出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2149999其他交通运输支出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2299901其他支出</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186021FC"/>
    <w:rsid w:val="3B1671A1"/>
    <w:rsid w:val="4572647A"/>
    <w:rsid w:val="6F12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0"/>
    <w:pPr>
      <w:jc w:val="left"/>
    </w:pPr>
    <w:rPr>
      <w:rFonts w:ascii="Times New Roman" w:hAnsi="Times New Roman" w:eastAsia="宋体" w:cs="Times New Roman"/>
      <w:szCs w:val="24"/>
    </w:rPr>
  </w:style>
  <w:style w:type="paragraph" w:styleId="3">
    <w:name w:val="Balloon Text"/>
    <w:basedOn w:val="1"/>
    <w:link w:val="9"/>
    <w:semiHidden/>
    <w:unhideWhenUsed/>
    <w:qFormat/>
    <w:uiPriority w:val="99"/>
    <w:rPr>
      <w:sz w:val="18"/>
      <w:szCs w:val="18"/>
    </w:rPr>
  </w:style>
  <w:style w:type="character" w:styleId="6">
    <w:name w:val="Strong"/>
    <w:basedOn w:val="5"/>
    <w:qFormat/>
    <w:uiPriority w:val="99"/>
    <w:rPr>
      <w:rFonts w:cs="Times New Roman"/>
      <w:b/>
      <w:bCs/>
    </w:rPr>
  </w:style>
  <w:style w:type="character" w:styleId="7">
    <w:name w:val="annotation reference"/>
    <w:basedOn w:val="5"/>
    <w:semiHidden/>
    <w:unhideWhenUsed/>
    <w:qFormat/>
    <w:uiPriority w:val="99"/>
    <w:rPr>
      <w:sz w:val="21"/>
      <w:szCs w:val="21"/>
    </w:rPr>
  </w:style>
  <w:style w:type="character" w:customStyle="1" w:styleId="8">
    <w:name w:val="批注文字 Char"/>
    <w:basedOn w:val="5"/>
    <w:link w:val="2"/>
    <w:qFormat/>
    <w:uiPriority w:val="0"/>
    <w:rPr>
      <w:rFonts w:ascii="Times New Roman" w:hAnsi="Times New Roman" w:eastAsia="宋体" w:cs="Times New Roman"/>
      <w:szCs w:val="24"/>
    </w:rPr>
  </w:style>
  <w:style w:type="character" w:customStyle="1" w:styleId="9">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1</TotalTime>
  <ScaleCrop>false</ScaleCrop>
  <LinksUpToDate>false</LinksUpToDate>
  <CharactersWithSpaces>5246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2021-05-19T06:53:26Z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73EB262293C24F7597036354913AEEB7</vt:lpwstr>
  </property>
</Properties>
</file>