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2018年度乌鲁木齐县政法委员会部门决算</w:t>
      </w: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（一）根据党的路线方针政策和党委的决策部署，研究制定贯彻落实的具体措施，统一政法各部门的思想和行动。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（二）组织、指导维护社会稳定工作，掌握和分析社会稳定情况，协调处理群体性事件。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（三）检查政法部门公正廉洁执法的情况，结合实际，研究制定促进公正廉洁执法的具体办法。</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（四）大力支持和严格监督政法各部门依法行使职权，指导和协调政法部门在依法相互制约的同时密切配合，督促大案要案的查处工作。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（五）牵头协调社会管理相关工作，推进社会管理创新，组织开展社会治安综合治理，营造安定有序的社会环境。</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（六）开展排查化解矛盾隐患，指导、协调、推动政法部门做好涉法涉诉信访工作。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（七）组织落实平安建设措施，推进基层平安创建工作。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（八）研究加强政法队伍建设和领导班子建设的措施，协助县委和县委组织部考察、管理政法部门的领导干部。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（九）组织、推动政法部门开展党风廉政建设，协助纪检部门查处违纪违法行为。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（十）研究分析涉及政法工作的舆论情况和影响社会稳定的舆情信息，指导、协调政法综治维稳、平安宣传和舆论引导工作。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（十一）组织开展调查研究，及时向县委报告政法工作的重大情况。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（十二）做好防范和处理邪教工作。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（十三）做好流动人口和出租房屋管理工作。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（十四）承办县委交办的其他事项。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从决算单位构成看，新疆乌鲁木齐县政法委员会部门决算包括：新疆乌鲁木齐县政法委员会部门本级决算、</w:t>
      </w:r>
      <w:r>
        <w:rPr>
          <w:rFonts w:hint="eastAsia" w:ascii="仿宋_GB2312" w:eastAsia="仿宋_GB2312"/>
          <w:sz w:val="32"/>
          <w:szCs w:val="32"/>
          <w:lang w:eastAsia="zh-CN"/>
        </w:rPr>
        <w:t>无下</w:t>
      </w:r>
      <w:r>
        <w:rPr>
          <w:rFonts w:hint="eastAsia" w:ascii="仿宋_GB2312" w:eastAsia="仿宋_GB2312"/>
          <w:sz w:val="32"/>
          <w:szCs w:val="32"/>
        </w:rPr>
        <w:t>属单位决算。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新疆乌鲁木齐县政法委员会编制数13个，包括行政编制8个，事业编制5个。年末实有人数10人，其中：行政在职8人，事业在职2人。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纳入新疆乌鲁木齐县政法委员会2018年部门决算编制范围的单位名单见下表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新疆乌鲁木齐县政法委员会</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837.61万元,与上年相比，增加51.21万元，增长6.51%，增减变化主要原因是：项目预算增加，增加基本工资经费等；支出929.09万元,与上年相比，增加341.43万元，增长58.1%，增减变化主要原因是：增加人员，项目预算增加基本工资经费，维稳补助等经费；结余232.90万元，与上年相比，减少124.65万元，降低34.86%。增减变化主要原因是：</w:t>
      </w:r>
      <w:r>
        <w:rPr>
          <w:rFonts w:hint="eastAsia" w:ascii="仿宋_GB2312" w:eastAsia="仿宋_GB2312"/>
          <w:sz w:val="32"/>
          <w:szCs w:val="32"/>
          <w:lang w:eastAsia="zh-CN"/>
        </w:rPr>
        <w:t>加快支付进度，结余减少</w:t>
      </w:r>
      <w:r>
        <w:rPr>
          <w:rFonts w:hint="eastAsia" w:ascii="仿宋_GB2312" w:eastAsia="仿宋_GB2312"/>
          <w:sz w:val="32"/>
          <w:szCs w:val="32"/>
        </w:rPr>
        <w:t>。</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837.61万元，其中：财政拨款收入806.35万元，占96.27%；上级补助收入0.00万元，占0.00%；事业收入0.00万元，占0.00%；经营收入0.00万元，占0.00%；附属单位缴款0.00万元，占0.00%；其他收入31.26万元，占3.73%。</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与年初预算数相比情况：本年收入年初预算数436.96万元，决算数837.61万元，预决算差异率91.69%，差异主要原因年中追加</w:t>
      </w:r>
      <w:r>
        <w:rPr>
          <w:rFonts w:hint="eastAsia" w:ascii="仿宋_GB2312" w:eastAsia="仿宋_GB2312"/>
          <w:sz w:val="32"/>
          <w:szCs w:val="32"/>
          <w:lang w:eastAsia="zh-CN"/>
        </w:rPr>
        <w:t>指挥部一体化作战平台建设</w:t>
      </w:r>
      <w:r>
        <w:rPr>
          <w:rFonts w:hint="eastAsia" w:ascii="仿宋_GB2312" w:eastAsia="仿宋_GB2312"/>
          <w:sz w:val="32"/>
          <w:szCs w:val="32"/>
        </w:rPr>
        <w:t>项目</w:t>
      </w:r>
      <w:r>
        <w:rPr>
          <w:rFonts w:hint="eastAsia" w:ascii="仿宋_GB2312" w:eastAsia="仿宋_GB2312"/>
          <w:sz w:val="32"/>
          <w:szCs w:val="32"/>
          <w:lang w:eastAsia="zh-CN"/>
        </w:rPr>
        <w:t>及人员</w:t>
      </w:r>
      <w:r>
        <w:rPr>
          <w:rFonts w:hint="eastAsia" w:ascii="仿宋_GB2312" w:eastAsia="仿宋_GB2312"/>
          <w:sz w:val="32"/>
          <w:szCs w:val="32"/>
        </w:rPr>
        <w:t>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本年支出合计929.09万元，其中：基本支出420.89万元，占45.30%；项目支出508.21万元，占54.70%；上缴上级支出0.00万元，占0.00%；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与年初预算数相比情况：本年支出年初预算数436.96万元，决算数929.09万元，预决算差异率112.63%，差异主要原因年中追加</w:t>
      </w:r>
      <w:r>
        <w:rPr>
          <w:rFonts w:hint="eastAsia" w:ascii="仿宋_GB2312" w:eastAsia="仿宋_GB2312"/>
          <w:sz w:val="32"/>
          <w:szCs w:val="32"/>
          <w:lang w:eastAsia="zh-CN"/>
        </w:rPr>
        <w:t>指挥部一体化作战平台建设</w:t>
      </w:r>
      <w:r>
        <w:rPr>
          <w:rFonts w:hint="eastAsia" w:ascii="仿宋_GB2312" w:eastAsia="仿宋_GB2312"/>
          <w:sz w:val="32"/>
          <w:szCs w:val="32"/>
        </w:rPr>
        <w:t>项目</w:t>
      </w:r>
      <w:r>
        <w:rPr>
          <w:rFonts w:hint="eastAsia" w:ascii="仿宋_GB2312" w:eastAsia="仿宋_GB2312"/>
          <w:sz w:val="32"/>
          <w:szCs w:val="32"/>
          <w:lang w:eastAsia="zh-CN"/>
        </w:rPr>
        <w:t>及人员</w:t>
      </w:r>
      <w:r>
        <w:rPr>
          <w:rFonts w:hint="eastAsia" w:ascii="仿宋_GB2312" w:eastAsia="仿宋_GB2312"/>
          <w:sz w:val="32"/>
          <w:szCs w:val="32"/>
        </w:rPr>
        <w:t>经费，预决算存在差异。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806.35万元，与上年相比，增加358.16万元，增长79.91%。增减变化的主要原因是：增加人员，项目预算增加基本工资经费，维稳补助等经费。财政拨款支出707.63万元，与上年相比，增加218.47万元，增长44.66%，增减变化的主要原因是：增加人员，项目预算增加基本工资经费，维稳补助等经费。其中：基本支出391.17万元，项目支出316.46万元。财政拨款结转结余183.39万元，与上年相比，增加65.55万元，增长55.62%。增减变化的主要原因是：</w:t>
      </w:r>
      <w:r>
        <w:rPr>
          <w:rFonts w:hint="eastAsia" w:ascii="仿宋_GB2312" w:eastAsia="仿宋_GB2312"/>
          <w:sz w:val="32"/>
          <w:szCs w:val="32"/>
          <w:lang w:eastAsia="zh-CN"/>
        </w:rPr>
        <w:t>指挥部一体化作战平台建设项目本年未完工，待下年支出</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436.96万元，决算数806.35万元，预决算差异率84.54%，差异主要原因年中追加人员经费及项目经费，预决算存在差异。财政拨款支出年初预算数436.96万元，决算数707.63万元，预决算差异率61.94%，差异主要原因年中追加人员经费及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578.18万元。与上年相比，增加225.22万元，增长63.81%。增减变化的主要原因是：增加人员，项目预算增加基本工资经费，维稳补助等经费。一般公共预算财政拨款支出561.06万元。与上年相比，增加167.13万元，增长42.43%。增减变化的主要原因是：增加人员，项目预算增加基本工资经费，维稳补助等经费。其中：按功能分类科目（按类级科目公开），</w:t>
      </w:r>
      <w:bookmarkStart w:id="0" w:name="_GoBack"/>
      <w:bookmarkEnd w:id="0"/>
      <w:r>
        <w:rPr>
          <w:rFonts w:hint="eastAsia" w:ascii="仿宋_GB2312" w:eastAsia="仿宋_GB2312"/>
          <w:sz w:val="32"/>
          <w:szCs w:val="32"/>
        </w:rPr>
        <w:t>一般公共服务支出516.96万元，科学技术支出8.54万元</w:t>
      </w:r>
      <w:r>
        <w:rPr>
          <w:rFonts w:hint="eastAsia" w:ascii="仿宋_GB2312" w:eastAsia="仿宋_GB2312"/>
          <w:sz w:val="32"/>
          <w:szCs w:val="32"/>
          <w:lang w:eastAsia="zh-CN"/>
        </w:rPr>
        <w:t>，社会保障和就业支出24.88万元，农林水支出4.62万元，其他支出6.07万元</w:t>
      </w:r>
      <w:r>
        <w:rPr>
          <w:rFonts w:hint="eastAsia" w:ascii="仿宋_GB2312" w:eastAsia="仿宋_GB2312"/>
          <w:sz w:val="32"/>
          <w:szCs w:val="32"/>
        </w:rPr>
        <w:t>。按经济分类科目（按类级科目公开），工资福利支出202.47万元，商品和服务支出147.58万元，对个人和家庭的支出147.50万元</w:t>
      </w:r>
      <w:r>
        <w:rPr>
          <w:rFonts w:hint="eastAsia" w:ascii="仿宋_GB2312" w:eastAsia="仿宋_GB2312"/>
          <w:sz w:val="32"/>
          <w:szCs w:val="32"/>
          <w:lang w:eastAsia="zh-CN"/>
        </w:rPr>
        <w:t>，</w:t>
      </w:r>
      <w:r>
        <w:rPr>
          <w:rFonts w:hint="eastAsia" w:ascii="仿宋_GB2312" w:eastAsia="仿宋_GB2312"/>
          <w:sz w:val="32"/>
          <w:szCs w:val="32"/>
        </w:rPr>
        <w:t>资本性支出63.51万元。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436.96万元，决算数578.18万元，预决算差异率32.32%，差异主要原因年中追加人员经费及项目经费，预决算存在差异。一般公共预算财政拨款支出年初预算数436.96万元，决算数561.06万元，预决算差异率28.40%，差异主要原因年中追加人员经费及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228.17万元，与上年相比，增加132.94万元，增长139.6%。增减变化的主要原因是：基金拨款增加，增加双联户补助经费，二维码平台使用经费等。政府性基金预算支出146.57万元。与上年相比，增加51.34万元，增长53.91%。增减变化的主要原因是：基金拨款增加，增加双联户补助经费，二维码平台使用经费等。其中：按功能分类科目（按类级科目公开），城乡社区支出146.57万元。按经济分类科目（按类级科目公开），资本性支出146.57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与年初预算数相比情况：政府性基金预算财政拨款收入年初预算数0.00万元，决算数228.17万元，预决算差异率</w:t>
      </w:r>
      <w:r>
        <w:rPr>
          <w:rFonts w:hint="eastAsia" w:ascii="仿宋_GB2312" w:eastAsia="仿宋_GB2312"/>
          <w:sz w:val="32"/>
          <w:szCs w:val="32"/>
          <w:lang w:val="en-US" w:eastAsia="zh-CN"/>
        </w:rPr>
        <w:t>100</w:t>
      </w:r>
      <w:r>
        <w:rPr>
          <w:rFonts w:hint="eastAsia" w:ascii="仿宋_GB2312" w:eastAsia="仿宋_GB2312"/>
          <w:sz w:val="32"/>
          <w:szCs w:val="32"/>
        </w:rPr>
        <w:t>.00%，差异主要原因年中追加</w:t>
      </w:r>
      <w:r>
        <w:rPr>
          <w:rFonts w:hint="eastAsia" w:ascii="仿宋_GB2312" w:eastAsia="仿宋_GB2312"/>
          <w:sz w:val="32"/>
          <w:szCs w:val="32"/>
          <w:lang w:eastAsia="zh-CN"/>
        </w:rPr>
        <w:t>指挥部一体化作战平台建设</w:t>
      </w:r>
      <w:r>
        <w:rPr>
          <w:rFonts w:hint="eastAsia" w:ascii="仿宋_GB2312" w:eastAsia="仿宋_GB2312"/>
          <w:sz w:val="32"/>
          <w:szCs w:val="32"/>
        </w:rPr>
        <w:t>项目经费，预决算存在差异。政府性基金预算财政拨款支出年初预算数0.00万元，决算数146.57万元，预决算差异率</w:t>
      </w:r>
      <w:r>
        <w:rPr>
          <w:rFonts w:hint="eastAsia" w:ascii="仿宋_GB2312" w:eastAsia="仿宋_GB2312"/>
          <w:sz w:val="32"/>
          <w:szCs w:val="32"/>
          <w:lang w:val="en-US" w:eastAsia="zh-CN"/>
        </w:rPr>
        <w:t>100</w:t>
      </w:r>
      <w:r>
        <w:rPr>
          <w:rFonts w:hint="eastAsia" w:ascii="仿宋_GB2312" w:eastAsia="仿宋_GB2312"/>
          <w:sz w:val="32"/>
          <w:szCs w:val="32"/>
        </w:rPr>
        <w:t>.00%，差异主要原因年中追加</w:t>
      </w:r>
      <w:r>
        <w:rPr>
          <w:rFonts w:hint="eastAsia" w:ascii="仿宋_GB2312" w:eastAsia="仿宋_GB2312"/>
          <w:sz w:val="32"/>
          <w:szCs w:val="32"/>
          <w:lang w:eastAsia="zh-CN"/>
        </w:rPr>
        <w:t>指挥部一体化作战平台建设</w:t>
      </w:r>
      <w:r>
        <w:rPr>
          <w:rFonts w:hint="eastAsia" w:ascii="仿宋_GB2312" w:eastAsia="仿宋_GB2312"/>
          <w:sz w:val="32"/>
          <w:szCs w:val="32"/>
        </w:rPr>
        <w:t>项目经费。</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年末结转结余232.90万元。与上年相比，减少124.65万元，降低34.86%。</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其中财政拨款结转结余183.39万元。与上年相比，增加65.55万元，增长55.62%。</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2018年度一般公共预算“三公”经费支出决算12.10万元，比上年减少4.06万元，降低25.11%，减少原因是车辆经费减少，节约开支。其中，因公出国（境）费支出0.00万元，占0.00%，比上年</w:t>
      </w:r>
      <w:r>
        <w:rPr>
          <w:rFonts w:hint="eastAsia" w:ascii="仿宋_GB2312" w:eastAsia="仿宋_GB2312"/>
          <w:sz w:val="32"/>
          <w:szCs w:val="32"/>
          <w:lang w:eastAsia="zh-CN"/>
        </w:rPr>
        <w:t>减少</w:t>
      </w:r>
      <w:r>
        <w:rPr>
          <w:rFonts w:hint="eastAsia" w:ascii="仿宋_GB2312" w:eastAsia="仿宋_GB2312"/>
          <w:sz w:val="32"/>
          <w:szCs w:val="32"/>
        </w:rPr>
        <w:t>0.0万元，降低0%，减少原因是</w:t>
      </w:r>
      <w:r>
        <w:rPr>
          <w:rFonts w:hint="eastAsia" w:ascii="仿宋_GB2312" w:eastAsia="仿宋_GB2312"/>
          <w:sz w:val="32"/>
          <w:szCs w:val="32"/>
          <w:lang w:eastAsia="zh-CN"/>
        </w:rPr>
        <w:t>单位无</w:t>
      </w:r>
      <w:r>
        <w:rPr>
          <w:rFonts w:hint="eastAsia" w:ascii="仿宋_GB2312" w:eastAsia="仿宋_GB2312"/>
          <w:sz w:val="32"/>
          <w:szCs w:val="32"/>
        </w:rPr>
        <w:t>因公出国（境）费；公务用车购置及运行维护费支出12.10万元，占100.00%，比上年减少3.95万元，降低24.61%，减少原因是车辆经费减少，节约开支；公务接待费支出0.00万元，占0.00%，比上年减少0.11万元，降低100%，减少原因是</w:t>
      </w:r>
      <w:r>
        <w:rPr>
          <w:rFonts w:hint="eastAsia" w:ascii="仿宋_GB2312" w:eastAsia="仿宋_GB2312"/>
          <w:sz w:val="32"/>
          <w:szCs w:val="32"/>
          <w:lang w:eastAsia="zh-CN"/>
        </w:rPr>
        <w:t>严控经费，厉行节约</w:t>
      </w:r>
      <w:r>
        <w:rPr>
          <w:rFonts w:hint="eastAsia" w:ascii="仿宋_GB2312" w:eastAsia="仿宋_GB2312"/>
          <w:sz w:val="32"/>
          <w:szCs w:val="32"/>
        </w:rPr>
        <w:t>。具体情况如下：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因公出国（境）费支出0.00万元。新疆乌鲁木齐县政法委员会全年使用一般公共预算财政拨款安排的出国（境）团组0个，累计0人次。开支内容包括：</w:t>
      </w:r>
      <w:r>
        <w:rPr>
          <w:rFonts w:hint="eastAsia" w:ascii="仿宋_GB2312" w:eastAsia="仿宋_GB2312"/>
          <w:sz w:val="32"/>
          <w:szCs w:val="32"/>
          <w:lang w:eastAsia="zh-CN"/>
        </w:rPr>
        <w:t>单位无</w:t>
      </w:r>
      <w:r>
        <w:rPr>
          <w:rFonts w:hint="eastAsia" w:ascii="仿宋_GB2312" w:eastAsia="仿宋_GB2312"/>
          <w:sz w:val="32"/>
          <w:szCs w:val="32"/>
        </w:rPr>
        <w:t>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公务用车购置及运行维护费12.10万元,其中，公务用车购置0.00万元，公务用车运行维护费12.10万元。主要用于</w:t>
      </w:r>
      <w:r>
        <w:rPr>
          <w:rFonts w:hint="eastAsia" w:ascii="仿宋_GB2312" w:eastAsia="仿宋_GB2312"/>
          <w:sz w:val="32"/>
          <w:szCs w:val="32"/>
          <w:lang w:eastAsia="zh-CN"/>
        </w:rPr>
        <w:t>车辆运行维护、维修</w:t>
      </w:r>
      <w:r>
        <w:rPr>
          <w:rFonts w:hint="eastAsia" w:ascii="仿宋_GB2312" w:eastAsia="仿宋_GB2312"/>
          <w:sz w:val="32"/>
          <w:szCs w:val="32"/>
        </w:rPr>
        <w:t>等。单位一般公共财政拨款安排的公务用车购置量0辆，保有量为3辆。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w:t>
      </w:r>
      <w:r>
        <w:rPr>
          <w:rFonts w:hint="eastAsia" w:ascii="仿宋_GB2312" w:eastAsia="仿宋_GB2312"/>
          <w:sz w:val="32"/>
          <w:szCs w:val="32"/>
          <w:lang w:eastAsia="zh-CN"/>
        </w:rPr>
        <w:t>单位无</w:t>
      </w:r>
      <w:r>
        <w:rPr>
          <w:rFonts w:hint="eastAsia" w:ascii="仿宋_GB2312" w:eastAsia="仿宋_GB2312"/>
          <w:sz w:val="32"/>
          <w:szCs w:val="32"/>
        </w:rPr>
        <w:t>公务接待费等。新疆乌鲁木齐县政法委员会国内公务接待0批次，0人次。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与年初预算数相比情况：一般公共预算“三公”经费支出年初预算数12.10万元，决算数12.10万元，预决算差异率0.00%，差异主要原因</w:t>
      </w:r>
      <w:r>
        <w:rPr>
          <w:rFonts w:hint="eastAsia" w:ascii="仿宋_GB2312" w:eastAsia="仿宋_GB2312"/>
          <w:sz w:val="32"/>
          <w:szCs w:val="32"/>
          <w:lang w:eastAsia="zh-CN"/>
        </w:rPr>
        <w:t>预决算一致，无差异</w:t>
      </w:r>
      <w:r>
        <w:rPr>
          <w:rFonts w:hint="eastAsia" w:ascii="仿宋_GB2312" w:eastAsia="仿宋_GB2312"/>
          <w:sz w:val="32"/>
          <w:szCs w:val="32"/>
        </w:rPr>
        <w:t>。</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单位无</w:t>
      </w:r>
      <w:r>
        <w:rPr>
          <w:rFonts w:hint="eastAsia" w:ascii="仿宋_GB2312" w:hAnsi="宋体" w:eastAsia="仿宋_GB2312" w:cs="宋体"/>
          <w:kern w:val="0"/>
          <w:sz w:val="32"/>
          <w:szCs w:val="32"/>
        </w:rPr>
        <w:t>因公出国（境）费</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w:t>
      </w:r>
      <w:r>
        <w:rPr>
          <w:rFonts w:hint="eastAsia" w:ascii="仿宋_GB2312" w:eastAsia="仿宋_GB2312"/>
          <w:sz w:val="32"/>
          <w:szCs w:val="32"/>
          <w:lang w:eastAsia="zh-CN"/>
        </w:rPr>
        <w:t>单位无车辆购置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预算数12.10万元，决算数12.10万元，预决算差异率0.00%，差异主要原因</w:t>
      </w:r>
      <w:r>
        <w:rPr>
          <w:rFonts w:hint="eastAsia" w:ascii="仿宋_GB2312" w:eastAsia="仿宋_GB2312"/>
          <w:sz w:val="32"/>
          <w:szCs w:val="32"/>
          <w:lang w:eastAsia="zh-CN"/>
        </w:rPr>
        <w:t>预决算一致，无差异</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单位无</w:t>
      </w:r>
      <w:r>
        <w:rPr>
          <w:rFonts w:hint="eastAsia" w:ascii="仿宋_GB2312" w:hAnsi="宋体" w:eastAsia="仿宋_GB2312" w:cs="宋体"/>
          <w:kern w:val="0"/>
          <w:sz w:val="32"/>
          <w:szCs w:val="32"/>
        </w:rPr>
        <w:t>公务接待费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2018年度新疆乌鲁木齐县政法委员会（行政单位和参照公务员法管理事业单位）机关运行经费支出41.20万元，比上年增加9.29万元，增长29.12%，主要原因是增加人员，支出增加。</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2018年度政府采购支出总额402.89万元，其中：政府采购货物支出185.79万元、政府采购工程支出153.53万元、政府采购服务支出63.57万元。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3辆，价值68.58万元，其中：副部（省）级及以上领导用车0辆、主要领导干部用车0辆、机要通信用车0辆、应急保障用车1辆、执法执勤用车2辆、特种专业技术用车0辆、离退休干部用车0辆、其他用车0辆，其他用车主要是：</w:t>
      </w:r>
      <w:r>
        <w:rPr>
          <w:rFonts w:hint="eastAsia" w:ascii="仿宋_GB2312" w:eastAsia="仿宋_GB2312"/>
          <w:sz w:val="32"/>
          <w:szCs w:val="32"/>
          <w:lang w:eastAsia="zh-CN"/>
        </w:rPr>
        <w:t>单位无其他车辆</w:t>
      </w:r>
      <w:r>
        <w:rPr>
          <w:rFonts w:hint="eastAsia" w:ascii="仿宋_GB2312" w:eastAsia="仿宋_GB2312"/>
          <w:sz w:val="32"/>
          <w:szCs w:val="32"/>
        </w:rPr>
        <w:t>；单位价值50万元以上通用设备1台（套）、单位价值100万元以上专用设备0台（套）。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579" w:firstLineChars="181"/>
        <w:rPr>
          <w:rFonts w:hint="eastAsia" w:ascii="仿宋_GB2312" w:eastAsia="仿宋_GB2312"/>
          <w:sz w:val="32"/>
          <w:szCs w:val="32"/>
        </w:rPr>
      </w:pPr>
      <w:r>
        <w:rPr>
          <w:rFonts w:hint="eastAsia" w:ascii="仿宋_GB2312" w:eastAsia="仿宋_GB2312"/>
          <w:sz w:val="32"/>
          <w:szCs w:val="32"/>
        </w:rPr>
        <w:t>司法救助项目绩效自评综述：根据年初设定的绩效目标，司法救助项目绩效自评得分为</w:t>
      </w:r>
      <w:r>
        <w:rPr>
          <w:rFonts w:hint="eastAsia" w:ascii="仿宋_GB2312" w:eastAsia="仿宋_GB2312"/>
          <w:sz w:val="32"/>
          <w:szCs w:val="32"/>
          <w:lang w:val="en-US" w:eastAsia="zh-CN"/>
        </w:rPr>
        <w:t>91</w:t>
      </w:r>
      <w:r>
        <w:rPr>
          <w:rFonts w:hint="eastAsia" w:ascii="仿宋_GB2312" w:eastAsia="仿宋_GB2312"/>
          <w:sz w:val="32"/>
          <w:szCs w:val="32"/>
        </w:rPr>
        <w:t>分。项目全年预算数为</w:t>
      </w:r>
      <w:r>
        <w:rPr>
          <w:rFonts w:hint="eastAsia" w:ascii="仿宋_GB2312" w:eastAsia="仿宋_GB2312"/>
          <w:sz w:val="32"/>
          <w:szCs w:val="32"/>
          <w:lang w:val="en-US" w:eastAsia="zh-CN"/>
        </w:rPr>
        <w:t>5</w:t>
      </w:r>
      <w:r>
        <w:rPr>
          <w:rFonts w:hint="eastAsia" w:ascii="仿宋_GB2312" w:eastAsia="仿宋_GB2312"/>
          <w:sz w:val="32"/>
          <w:szCs w:val="32"/>
        </w:rPr>
        <w:t>万元，执行数为</w:t>
      </w:r>
      <w:r>
        <w:rPr>
          <w:rFonts w:hint="eastAsia" w:ascii="仿宋_GB2312" w:eastAsia="仿宋_GB2312"/>
          <w:sz w:val="32"/>
          <w:szCs w:val="32"/>
          <w:lang w:val="en-US" w:eastAsia="zh-CN"/>
        </w:rPr>
        <w:t>5</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主要产出和效果：救助涉法涉诉信访人员，给他们提供一定的帮助，为他们的生活提供了保障，有效的防止出现不稳定因素。发现的问题及原因：今后我们将继续根据工作需要合理的支配本项目，并根据实际情况给予涉法涉诉信访人一定的补助，县委政法委和县政法部门将负责监督检查救助金的发放工作。下一步改进措施：</w:t>
      </w:r>
      <w:r>
        <w:rPr>
          <w:rFonts w:hint="eastAsia" w:ascii="仿宋_GB2312" w:eastAsia="仿宋_GB2312"/>
          <w:sz w:val="32"/>
          <w:szCs w:val="32"/>
          <w:lang w:eastAsia="zh-CN"/>
        </w:rPr>
        <w:t>单位无下一步改进措施</w:t>
      </w:r>
      <w:r>
        <w:rPr>
          <w:rFonts w:hint="eastAsia" w:ascii="仿宋_GB2312" w:eastAsia="仿宋_GB2312"/>
          <w:sz w:val="32"/>
          <w:szCs w:val="32"/>
        </w:rPr>
        <w:t>。有关项目自评情况可以附项目支出绩效自评表。</w:t>
      </w:r>
    </w:p>
    <w:tbl>
      <w:tblPr>
        <w:tblStyle w:val="5"/>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司法救助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中共乌鲁木齐县委员会政法委员会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5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5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5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5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hAnsi="宋体" w:cs="宋体"/>
                <w:kern w:val="0"/>
                <w:sz w:val="20"/>
                <w:szCs w:val="20"/>
              </w:rPr>
            </w:pPr>
            <w:r>
              <w:rPr>
                <w:rFonts w:hint="eastAsia" w:ascii="宋体" w:hAnsi="宋体" w:cs="宋体"/>
                <w:kern w:val="0"/>
                <w:sz w:val="20"/>
                <w:szCs w:val="20"/>
              </w:rPr>
              <w:t xml:space="preserve">　    </w:t>
            </w:r>
          </w:p>
          <w:p>
            <w:pPr>
              <w:widowControl/>
              <w:ind w:firstLine="400" w:firstLineChars="200"/>
              <w:jc w:val="left"/>
              <w:rPr>
                <w:rFonts w:ascii="宋体" w:cs="宋体"/>
                <w:kern w:val="0"/>
                <w:sz w:val="20"/>
                <w:szCs w:val="20"/>
              </w:rPr>
            </w:pPr>
            <w:r>
              <w:rPr>
                <w:rFonts w:hint="eastAsia" w:ascii="宋体" w:hAnsi="宋体" w:cs="宋体"/>
                <w:kern w:val="0"/>
                <w:sz w:val="20"/>
                <w:szCs w:val="20"/>
              </w:rPr>
              <w:t>救助涉法涉诉信访人员，给他们提供一定的帮助，</w:t>
            </w:r>
            <w:r>
              <w:rPr>
                <w:rFonts w:hint="eastAsia" w:ascii="宋体" w:hAnsi="宋体" w:cs="宋体"/>
                <w:bCs/>
                <w:kern w:val="0"/>
                <w:sz w:val="20"/>
                <w:szCs w:val="20"/>
              </w:rPr>
              <w:t>为他们的生活提供了保障，有效的防止出现不稳定因素。</w:t>
            </w:r>
          </w:p>
        </w:tc>
        <w:tc>
          <w:tcPr>
            <w:tcW w:w="3840" w:type="dxa"/>
            <w:gridSpan w:val="2"/>
            <w:tcBorders>
              <w:top w:val="single" w:color="auto" w:sz="4" w:space="0"/>
              <w:left w:val="nil"/>
              <w:bottom w:val="single" w:color="auto" w:sz="4" w:space="0"/>
              <w:right w:val="single" w:color="000000" w:sz="4" w:space="0"/>
            </w:tcBorders>
          </w:tcPr>
          <w:p>
            <w:pPr>
              <w:widowControl/>
              <w:ind w:firstLine="400" w:firstLineChars="200"/>
              <w:jc w:val="left"/>
              <w:rPr>
                <w:rFonts w:ascii="宋体" w:cs="宋体"/>
                <w:kern w:val="0"/>
                <w:sz w:val="20"/>
                <w:szCs w:val="20"/>
              </w:rPr>
            </w:pPr>
            <w:r>
              <w:rPr>
                <w:rFonts w:hint="eastAsia" w:ascii="宋体" w:hAnsi="宋体" w:cs="宋体"/>
                <w:kern w:val="0"/>
                <w:sz w:val="20"/>
                <w:szCs w:val="20"/>
              </w:rPr>
              <w:t>救助涉法涉诉信访人员，</w:t>
            </w:r>
            <w:r>
              <w:rPr>
                <w:rFonts w:hint="eastAsia" w:ascii="宋体" w:hAnsi="宋体" w:cs="宋体"/>
                <w:bCs/>
                <w:kern w:val="0"/>
                <w:sz w:val="20"/>
                <w:szCs w:val="20"/>
              </w:rPr>
              <w:t>有效的防止出现不稳定因素。</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：救助涉法涉诉信访人</w:t>
            </w:r>
          </w:p>
        </w:tc>
        <w:tc>
          <w:tcPr>
            <w:tcW w:w="2060" w:type="dxa"/>
            <w:tcBorders>
              <w:top w:val="nil"/>
              <w:left w:val="nil"/>
              <w:bottom w:val="single" w:color="auto" w:sz="4" w:space="0"/>
              <w:right w:val="single" w:color="auto" w:sz="4" w:space="0"/>
            </w:tcBorders>
            <w:vAlign w:val="center"/>
          </w:tcPr>
          <w:p>
            <w:pPr>
              <w:widowControl/>
              <w:ind w:left="300" w:hanging="300" w:hangingChars="150"/>
              <w:jc w:val="left"/>
              <w:rPr>
                <w:rFonts w:ascii="宋体" w:cs="宋体"/>
                <w:kern w:val="0"/>
                <w:sz w:val="20"/>
                <w:szCs w:val="20"/>
              </w:rPr>
            </w:pPr>
            <w:r>
              <w:rPr>
                <w:rFonts w:hint="eastAsia" w:ascii="宋体" w:hAnsi="宋体" w:cs="宋体"/>
                <w:kern w:val="0"/>
                <w:sz w:val="20"/>
                <w:szCs w:val="20"/>
              </w:rPr>
              <w:t>　救助涉法涉诉人员≥1人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目前0人鉴于案件正在办理当中预计救助将在2019年度3月实施</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：及时救助</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了解清楚案情及时救助</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及时救助</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：救助需要救助的人员</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减轻涉法涉诉人员困难</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救助符合条件人</w:t>
            </w:r>
          </w:p>
        </w:tc>
      </w:tr>
      <w:tr>
        <w:tblPrEx>
          <w:tblCellMar>
            <w:top w:w="0" w:type="dxa"/>
            <w:left w:w="108" w:type="dxa"/>
            <w:bottom w:w="0" w:type="dxa"/>
            <w:right w:w="108" w:type="dxa"/>
          </w:tblCellMar>
        </w:tblPrEx>
        <w:trPr>
          <w:trHeight w:val="998"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：救助涉法涉诉信访人及其亲属</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涉法涉诉信访人及其亲属的救助          ≥1人</w:t>
            </w:r>
          </w:p>
          <w:p>
            <w:pPr>
              <w:widowControl/>
              <w:jc w:val="left"/>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涉法涉诉信访人及其亲属的救助     ≥1人</w:t>
            </w:r>
          </w:p>
          <w:p>
            <w:pPr>
              <w:widowControl/>
              <w:jc w:val="left"/>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：社会稳定</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促使涉法涉诉信访人息诉罢访       ≥1人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促使涉法涉诉信访人息诉罢访≥1人</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维护社会稳定</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维护社会稳定</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：救助涉法涉诉人员</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救助涉法涉诉人员≥98%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救助涉法涉诉人员≥</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：人民群众满意</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群众满意度≥95%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群众满意度≥96%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指标3：</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579" w:firstLineChars="181"/>
        <w:rPr>
          <w:rFonts w:hint="eastAsia" w:ascii="仿宋_GB2312" w:eastAsia="仿宋_GB2312"/>
          <w:sz w:val="32"/>
          <w:szCs w:val="32"/>
        </w:rPr>
      </w:pPr>
      <w:r>
        <w:rPr>
          <w:rFonts w:hint="eastAsia" w:ascii="仿宋_GB2312" w:eastAsia="仿宋_GB2312"/>
          <w:sz w:val="32"/>
          <w:szCs w:val="32"/>
        </w:rPr>
        <w:t>双联户、十户长补助、流口平台费用项目绩效自评综述：根据年初设定的绩效目标，双联户、十户长补助、流口平台费用项目绩效自评得分为</w:t>
      </w:r>
      <w:r>
        <w:rPr>
          <w:rFonts w:hint="eastAsia" w:ascii="仿宋_GB2312" w:eastAsia="仿宋_GB2312"/>
          <w:sz w:val="32"/>
          <w:szCs w:val="32"/>
          <w:lang w:val="en-US" w:eastAsia="zh-CN"/>
        </w:rPr>
        <w:t>90</w:t>
      </w:r>
      <w:r>
        <w:rPr>
          <w:rFonts w:hint="eastAsia" w:ascii="仿宋_GB2312" w:eastAsia="仿宋_GB2312"/>
          <w:sz w:val="32"/>
          <w:szCs w:val="32"/>
        </w:rPr>
        <w:t>分。项目全年预算数为582.29万元，执行数为439.92万元，完成预算的</w:t>
      </w:r>
      <w:r>
        <w:rPr>
          <w:rFonts w:hint="eastAsia" w:ascii="仿宋_GB2312" w:eastAsia="仿宋_GB2312"/>
          <w:sz w:val="32"/>
          <w:szCs w:val="32"/>
          <w:lang w:val="en-US" w:eastAsia="zh-CN"/>
        </w:rPr>
        <w:t>75.55</w:t>
      </w:r>
      <w:r>
        <w:rPr>
          <w:rFonts w:hint="eastAsia" w:ascii="仿宋_GB2312" w:eastAsia="仿宋_GB2312"/>
          <w:sz w:val="32"/>
          <w:szCs w:val="32"/>
        </w:rPr>
        <w:t>%。主要产出和效果：有效的调动基层群众参与到维稳工作中来，有效的夯实基层维稳工作。发现的问题及原因：有些联户长、十户长具体发挥作用的情况不明显，工作中没有亮点。下一步改进措施：1、按照县委、县政府的表彰决定，对开展双联户工作表现突出的联户长给予一定的表彰。2、继续推进激励奖励机制，鼓励更多的人参与到维稳工作中来，为维护社会的稳定做出贡献。3、按照十户联保长开展工作的实际情况发放补助。4、继续利用好流动人口和出租房屋平台，推进我县流动人口管理迈向一个新的台阶。有关项目自评情况可以附项目支出绩效自评表。</w:t>
      </w:r>
    </w:p>
    <w:tbl>
      <w:tblPr>
        <w:tblStyle w:val="5"/>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双联户长、十户联保长补助及流口平台费用</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中共乌鲁木齐县委员会政法委员会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582.293285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439.922032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276.1097</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248.172032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306.183585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191.75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拓展和延伸村（社区）“网格化”管理，夯实维护稳定和服务群众的基层基础。</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有效的调动基层群众参与到维稳工作中来，有效的夯实基层维稳工作。</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：全年≥750人</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全年≥750人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符合发放标准的人≥700人</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：按照文件标准发放</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每人每月100元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每人每月100元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：维护辖区稳定</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落实各项维稳措施</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落实维稳措施，存在落实不力情况</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：辖区稳定和谐</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组织辖区居民开展维稳工作</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调动辖区居民参与维稳工作</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：各项工作安排及时落实</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按时完成各项工作任务</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工作完成存在折扣的现象</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：每月按时发放补助</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按时按标准发放补助</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每半年发放一次</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：保质保量节约成本</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按照每个联户长和十户长发放</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按照实际发挥作用的人发放</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：发放补助，便于落实各项工作</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给十户长和双联户长开展工作开展便利</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联户长和十户长按照每人每月100元发放补助</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十户长一键报警器年使用费360元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十户长一键报警器年使用费360元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：全名参与维稳</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调动全民参与维稳工作</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有效的调动基层居民参与维稳工作</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：维护社会稳定</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维护社会稳定</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维护社会稳定</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：长期坚持</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维护社会稳定</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维护社会稳定</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：群众满意</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群众满意度不断提升　</w:t>
            </w:r>
          </w:p>
        </w:tc>
        <w:tc>
          <w:tcPr>
            <w:tcW w:w="1780" w:type="dxa"/>
            <w:tcBorders>
              <w:top w:val="nil"/>
              <w:left w:val="nil"/>
              <w:bottom w:val="single" w:color="auto" w:sz="4" w:space="0"/>
              <w:right w:val="single" w:color="auto" w:sz="4" w:space="0"/>
            </w:tcBorders>
            <w:vAlign w:val="center"/>
          </w:tcPr>
          <w:p>
            <w:pPr>
              <w:widowControl/>
              <w:ind w:left="200" w:hanging="200" w:hangingChars="100"/>
              <w:jc w:val="left"/>
              <w:rPr>
                <w:rFonts w:ascii="宋体" w:cs="宋体"/>
                <w:kern w:val="0"/>
                <w:sz w:val="20"/>
                <w:szCs w:val="20"/>
              </w:rPr>
            </w:pPr>
            <w:r>
              <w:rPr>
                <w:rFonts w:hint="eastAsia" w:ascii="宋体" w:hAnsi="宋体" w:cs="宋体"/>
                <w:kern w:val="0"/>
                <w:sz w:val="20"/>
                <w:szCs w:val="20"/>
              </w:rPr>
              <w:t>　群众满意度  ≥95%</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：辖区安定，人民群众满意</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群众安全感不断提升　</w:t>
            </w:r>
          </w:p>
        </w:tc>
        <w:tc>
          <w:tcPr>
            <w:tcW w:w="1780" w:type="dxa"/>
            <w:tcBorders>
              <w:top w:val="nil"/>
              <w:left w:val="nil"/>
              <w:bottom w:val="single" w:color="auto" w:sz="4" w:space="0"/>
              <w:right w:val="single" w:color="auto" w:sz="4" w:space="0"/>
            </w:tcBorders>
            <w:vAlign w:val="center"/>
          </w:tcPr>
          <w:p>
            <w:pPr>
              <w:widowControl/>
              <w:ind w:left="300" w:hanging="300" w:hangingChars="150"/>
              <w:jc w:val="left"/>
              <w:rPr>
                <w:rFonts w:ascii="宋体" w:cs="宋体"/>
                <w:kern w:val="0"/>
                <w:sz w:val="20"/>
                <w:szCs w:val="20"/>
              </w:rPr>
            </w:pPr>
            <w:r>
              <w:rPr>
                <w:rFonts w:hint="eastAsia" w:ascii="宋体" w:hAnsi="宋体" w:cs="宋体"/>
                <w:kern w:val="0"/>
                <w:sz w:val="20"/>
                <w:szCs w:val="20"/>
              </w:rPr>
              <w:t>　群众满意度  ≥95%</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widowControl/>
        <w:jc w:val="left"/>
        <w:rPr>
          <w:rFonts w:hint="eastAsia" w:ascii="仿宋_GB2312" w:eastAsia="仿宋_GB2312"/>
          <w:sz w:val="32"/>
          <w:szCs w:val="32"/>
        </w:rPr>
      </w:pPr>
      <w:r>
        <w:rPr>
          <w:rFonts w:hint="eastAsia" w:hAnsi="宋体" w:eastAsia="仿宋_GB2312" w:cs="宋体"/>
          <w:kern w:val="0"/>
          <w:sz w:val="36"/>
          <w:szCs w:val="36"/>
          <w:lang w:val="en-US" w:eastAsia="zh-CN"/>
        </w:rPr>
        <w:t xml:space="preserve">     </w:t>
      </w:r>
      <w:r>
        <w:rPr>
          <w:rFonts w:hint="eastAsia" w:ascii="仿宋_GB2312" w:eastAsia="仿宋_GB2312"/>
          <w:sz w:val="32"/>
          <w:szCs w:val="32"/>
        </w:rPr>
        <w:t>“访惠聚”第一书记办实事经费项目绩效自评综述：根据年初设定的绩效目标，“访惠聚”第一书记办实事经费项目绩效自评得分为</w:t>
      </w:r>
      <w:r>
        <w:rPr>
          <w:rFonts w:hint="eastAsia" w:ascii="仿宋_GB2312" w:eastAsia="仿宋_GB2312"/>
          <w:sz w:val="32"/>
          <w:szCs w:val="32"/>
          <w:lang w:val="en-US" w:eastAsia="zh-CN"/>
        </w:rPr>
        <w:t>93</w:t>
      </w:r>
      <w:r>
        <w:rPr>
          <w:rFonts w:hint="eastAsia" w:ascii="仿宋_GB2312" w:eastAsia="仿宋_GB2312"/>
          <w:sz w:val="32"/>
          <w:szCs w:val="32"/>
        </w:rPr>
        <w:t>分。项目全年预算数为</w:t>
      </w:r>
      <w:r>
        <w:rPr>
          <w:rFonts w:hint="eastAsia" w:ascii="仿宋_GB2312" w:eastAsia="仿宋_GB2312"/>
          <w:sz w:val="32"/>
          <w:szCs w:val="32"/>
          <w:lang w:val="en-US" w:eastAsia="zh-CN"/>
        </w:rPr>
        <w:t>2</w:t>
      </w:r>
      <w:r>
        <w:rPr>
          <w:rFonts w:hint="eastAsia" w:ascii="仿宋_GB2312" w:eastAsia="仿宋_GB2312"/>
          <w:sz w:val="32"/>
          <w:szCs w:val="32"/>
        </w:rPr>
        <w:t>万元，执行数为</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0</w:t>
      </w:r>
      <w:r>
        <w:rPr>
          <w:rFonts w:hint="eastAsia" w:ascii="仿宋_GB2312" w:eastAsia="仿宋_GB2312"/>
          <w:sz w:val="32"/>
          <w:szCs w:val="32"/>
        </w:rPr>
        <w:t>%。主要产出和效果：为我县工商质检工作提供有力宣传保障。发现的问题及原因：一是工作队人员素质有待加强。工作队在驻村的期间，要加强自我学习，努力提高自身发现问题、分析问题和解决问题的能力。认真学习领会上级的文件精神，深入贯彻执行上级的方针、政策。二是为民办实事的工作能力有待提高，工作队要深入实际工作，收集一手的基层资料，针对问题，做出正确的决策，真正做到为民办实事、办好事，真正解决基层的实际困难。下一步改进措施：为确保今后“访惠聚”工作队的后续工作，2019年将根据上级拨款经费及相关年初任务计划，总结2018年工作中好的做法，好的经验，改进工作中存在的问题，力争将工作队的任务效率达到98%以上。有关项目自评情况可以附项目支出绩效自评表。</w:t>
      </w:r>
    </w:p>
    <w:tbl>
      <w:tblPr>
        <w:tblStyle w:val="5"/>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hint="eastAsia" w:ascii="宋体" w:hAnsi="宋体" w:cs="宋体"/>
                <w:b/>
                <w:bCs/>
                <w:kern w:val="0"/>
                <w:sz w:val="32"/>
                <w:szCs w:val="32"/>
              </w:rPr>
            </w:pPr>
          </w:p>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774"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p>
          <w:p>
            <w:pPr>
              <w:widowControl/>
              <w:ind w:firstLine="300" w:firstLineChars="150"/>
              <w:rPr>
                <w:rFonts w:ascii="宋体" w:hAnsi="宋体" w:cs="宋体"/>
                <w:kern w:val="0"/>
                <w:sz w:val="20"/>
                <w:szCs w:val="20"/>
              </w:rPr>
            </w:pPr>
            <w:r>
              <w:rPr>
                <w:rFonts w:hint="eastAsia" w:ascii="宋体" w:hAnsi="宋体" w:cs="宋体"/>
                <w:kern w:val="0"/>
                <w:sz w:val="20"/>
                <w:szCs w:val="20"/>
              </w:rPr>
              <w:t>“访惠聚”第一书记为民办实事工作经费</w:t>
            </w:r>
          </w:p>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中共乌鲁木齐县委员会政法委员会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sz w:val="20"/>
                <w:szCs w:val="20"/>
              </w:rPr>
            </w:pPr>
            <w:r>
              <w:rPr>
                <w:rFonts w:hint="eastAsia" w:ascii="宋体" w:cs="宋体"/>
                <w:kern w:val="0"/>
                <w:sz w:val="20"/>
                <w:szCs w:val="20"/>
              </w:rPr>
              <w:t>为我县工商质检工作提供有力宣传保障</w:t>
            </w:r>
          </w:p>
          <w:p>
            <w:pPr>
              <w:widowControl/>
              <w:jc w:val="left"/>
              <w:rPr>
                <w:rFonts w:ascii="宋体" w:cs="宋体"/>
                <w:kern w:val="0"/>
                <w:sz w:val="20"/>
                <w:szCs w:val="20"/>
              </w:rPr>
            </w:pPr>
          </w:p>
        </w:tc>
        <w:tc>
          <w:tcPr>
            <w:tcW w:w="3840" w:type="dxa"/>
            <w:gridSpan w:val="2"/>
            <w:tcBorders>
              <w:top w:val="single" w:color="auto" w:sz="4" w:space="0"/>
              <w:left w:val="nil"/>
              <w:bottom w:val="single" w:color="auto" w:sz="4" w:space="0"/>
              <w:right w:val="single" w:color="000000" w:sz="4" w:space="0"/>
            </w:tcBorders>
          </w:tcPr>
          <w:p>
            <w:pPr>
              <w:widowControl/>
              <w:jc w:val="center"/>
              <w:rPr>
                <w:rFonts w:ascii="宋体" w:cs="宋体"/>
                <w:kern w:val="0"/>
                <w:sz w:val="20"/>
                <w:szCs w:val="20"/>
              </w:rPr>
            </w:pPr>
          </w:p>
          <w:p>
            <w:pPr>
              <w:widowControl/>
              <w:jc w:val="center"/>
              <w:rPr>
                <w:rFonts w:ascii="宋体" w:cs="宋体"/>
                <w:kern w:val="0"/>
                <w:sz w:val="20"/>
                <w:szCs w:val="20"/>
              </w:rPr>
            </w:pPr>
          </w:p>
          <w:p>
            <w:pPr>
              <w:widowControl/>
              <w:jc w:val="center"/>
              <w:rPr>
                <w:rFonts w:ascii="宋体" w:cs="宋体"/>
                <w:kern w:val="0"/>
                <w:sz w:val="20"/>
                <w:szCs w:val="20"/>
              </w:rPr>
            </w:pPr>
            <w:r>
              <w:rPr>
                <w:rFonts w:hint="eastAsia" w:ascii="宋体" w:cs="宋体"/>
                <w:kern w:val="0"/>
                <w:sz w:val="20"/>
                <w:szCs w:val="20"/>
              </w:rPr>
              <w:t>全部达到预期目标。</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经费开支</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经费开支在2万元以内</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t>各项工作任务圆满完成</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工作队人员考核优秀率达标98%以上</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已经达标</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rPr>
              <w:t>工作任务完成情况</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t>201</w:t>
            </w:r>
            <w:r>
              <w:rPr>
                <w:rFonts w:hint="eastAsia"/>
              </w:rPr>
              <w:t>8</w:t>
            </w:r>
            <w:r>
              <w:t xml:space="preserve"> 年底根据工 作完成</w:t>
            </w:r>
            <w:r>
              <w:rPr>
                <w:rFonts w:hint="eastAsia"/>
              </w:rPr>
              <w:t>情况</w:t>
            </w:r>
            <w:r>
              <w:t>进行考核</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合格</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经费2万元</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标准经费2万元范围内</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rPr>
                <w:rFonts w:ascii="宋体" w:hAnsi="宋体" w:cs="宋体"/>
                <w:kern w:val="0"/>
                <w:sz w:val="20"/>
                <w:szCs w:val="20"/>
              </w:rPr>
            </w:pPr>
          </w:p>
          <w:p>
            <w:pPr>
              <w:rPr>
                <w:sz w:val="20"/>
                <w:szCs w:val="20"/>
              </w:rPr>
            </w:pPr>
            <w:r>
              <w:rPr>
                <w:rFonts w:hint="eastAsia" w:ascii="宋体" w:hAnsi="宋体" w:cs="宋体"/>
                <w:kern w:val="0"/>
                <w:sz w:val="20"/>
                <w:szCs w:val="20"/>
              </w:rPr>
              <w:t>合理开支，节约成本</w:t>
            </w:r>
          </w:p>
          <w:p>
            <w:pPr>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经费不超，事要办好</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未开支</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9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群众更多地了解法律法规</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知晓度达98%以上</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完成</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对党、对祖国忠诚</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达到100%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完成</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环境改善</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生态环境较大提高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溪水社会环境越来越好</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rPr>
                <w:sz w:val="20"/>
                <w:szCs w:val="20"/>
              </w:rPr>
            </w:pPr>
            <w:r>
              <w:rPr>
                <w:rFonts w:ascii="宋体" w:hAnsi="宋体" w:cs="宋体"/>
                <w:kern w:val="0"/>
                <w:sz w:val="20"/>
                <w:szCs w:val="20"/>
              </w:rPr>
              <w:t xml:space="preserve"> </w:t>
            </w:r>
            <w:r>
              <w:rPr>
                <w:rFonts w:hint="eastAsia" w:ascii="宋体" w:hAnsi="宋体"/>
                <w:sz w:val="20"/>
                <w:szCs w:val="20"/>
              </w:rPr>
              <w:t>将工作队工作高质量地递延下去</w:t>
            </w:r>
          </w:p>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sz w:val="20"/>
                <w:szCs w:val="20"/>
              </w:rPr>
              <w:t>每年不间断地派出工作队驻村，为民工作</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完成</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群众满意度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95%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95%</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579" w:firstLineChars="181"/>
        <w:rPr>
          <w:rFonts w:hint="eastAsia" w:ascii="仿宋_GB2312" w:eastAsia="仿宋_GB2312"/>
          <w:sz w:val="32"/>
          <w:szCs w:val="32"/>
        </w:rPr>
      </w:pPr>
      <w:r>
        <w:rPr>
          <w:rFonts w:hint="eastAsia" w:ascii="仿宋_GB2312" w:eastAsia="仿宋_GB2312"/>
          <w:sz w:val="32"/>
          <w:szCs w:val="32"/>
        </w:rPr>
        <w:t>县反恐维稳指挥部一体化建设项目绩效自评综述：根据年初设定的绩效目标，县反恐维稳指挥部一体化建设项目绩效自评得分为</w:t>
      </w:r>
      <w:r>
        <w:rPr>
          <w:rFonts w:hint="eastAsia" w:ascii="仿宋_GB2312" w:eastAsia="仿宋_GB2312"/>
          <w:sz w:val="32"/>
          <w:szCs w:val="32"/>
          <w:lang w:val="en-US" w:eastAsia="zh-CN"/>
        </w:rPr>
        <w:t>93</w:t>
      </w:r>
      <w:r>
        <w:rPr>
          <w:rFonts w:hint="eastAsia" w:ascii="仿宋_GB2312" w:eastAsia="仿宋_GB2312"/>
          <w:sz w:val="32"/>
          <w:szCs w:val="32"/>
        </w:rPr>
        <w:t>分。项目全年预算数为242.7</w:t>
      </w:r>
      <w:r>
        <w:rPr>
          <w:rFonts w:hint="eastAsia" w:ascii="仿宋_GB2312" w:eastAsia="仿宋_GB2312"/>
          <w:sz w:val="32"/>
          <w:szCs w:val="32"/>
          <w:lang w:val="en-US" w:eastAsia="zh-CN"/>
        </w:rPr>
        <w:t>8</w:t>
      </w:r>
      <w:r>
        <w:rPr>
          <w:rFonts w:hint="eastAsia" w:ascii="仿宋_GB2312" w:eastAsia="仿宋_GB2312"/>
          <w:sz w:val="32"/>
          <w:szCs w:val="32"/>
        </w:rPr>
        <w:t>万元，执行数为242.7</w:t>
      </w:r>
      <w:r>
        <w:rPr>
          <w:rFonts w:hint="eastAsia" w:ascii="仿宋_GB2312" w:eastAsia="仿宋_GB2312"/>
          <w:sz w:val="32"/>
          <w:szCs w:val="32"/>
          <w:lang w:val="en-US" w:eastAsia="zh-CN"/>
        </w:rPr>
        <w:t>8</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主要产出和效果：按照市委工作安排，建成县反恐维稳指挥部各个中心，同时各个中心能够正常运行，保质保量的完成了市委、县委安排的各项工作任务。发现的问题及原因：项目的实施要及时和市委和其他区多沟通交流，防止出现资金浪费情况，另外在项目的实施过程中要指定专门的人负责好，及时跟进项目的进度，对已经完成的部分要及时验收，发现问题及时整改。下一步改进措施：我单位将根据市委工作要求及时更新软硬设施，及时落实各项维稳工作措施，将各项工作落实好。有关项目自评情况可以附项目支出绩效自评表。</w:t>
      </w:r>
    </w:p>
    <w:tbl>
      <w:tblPr>
        <w:tblStyle w:val="5"/>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县反恐维稳指挥部一体化建设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中共乌鲁木齐县委政法委员会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242.775241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242.775241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242.775241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按照市委工作安排，建成县反恐维稳指挥部各个中心，并保证各个中心能够正常运行，保质保量的完成各项工作任务。</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按照市委工作安排，建成县反恐维稳指挥部各个中心，同时各个中心能够正常运行，保质保量的完成了市委、县委安排的各项工作任务。</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：反恐维稳指挥部各大中心建成</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建成七大中心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完成七大中心的建设（其中一个中心的建设还未支付完）</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：监测社会舆情</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各大中心能够正常开展各项维稳工作，有效的手机各类维稳信息</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各大中心能够正常开展各项维稳工作，有效的手机各类维稳信息</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指标3：按照文件精神配齐工作人员</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各大中心人员配齐</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按照文件要求</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：各大中心能够正常开展各项工作</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各大中心正常运转</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完全能够按照市委的要求开展各类工作</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：按时保质保量完成建设任务</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按照市委要求及时建设各大中心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按时完成，并投入使用</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：按文件要求及时更换服装</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按照市反恐维稳指挥部的要求，及时将人员和服装配齐配好</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按时保质保量完成</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：县财政拨款300万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县级财政保障300万</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截止目前花费242.775241　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：维护社会稳定</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维护社会稳定</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维护社会稳定，为经济的发展提供良好的社会环境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：经济持续稳定发展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促进我县经济的持续发展</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促进我县经济的持续发展</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：提升维稳实战能力</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提升反恐维稳实战能力</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反恐维稳工作</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：保证社会大局稳定</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提高整体工作效能</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高效率的完成各项维稳工作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：长期使用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长期使用≥30年</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长期使用≥30年</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：人民群众满意</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群众满意度不断提高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群众满意度不断提高≥95%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2018年访惠聚驻社区工作队经费项目绩效自评综述：根据年初设定的绩效目标，2018年访惠聚驻社区工作队经费项目绩效自评得分为</w:t>
      </w:r>
      <w:r>
        <w:rPr>
          <w:rFonts w:hint="eastAsia" w:ascii="仿宋_GB2312" w:eastAsia="仿宋_GB2312"/>
          <w:sz w:val="32"/>
          <w:szCs w:val="32"/>
          <w:lang w:val="en-US" w:eastAsia="zh-CN"/>
        </w:rPr>
        <w:t>86</w:t>
      </w:r>
      <w:r>
        <w:rPr>
          <w:rFonts w:hint="eastAsia" w:ascii="仿宋_GB2312" w:eastAsia="仿宋_GB2312"/>
          <w:sz w:val="32"/>
          <w:szCs w:val="32"/>
        </w:rPr>
        <w:t>分。项目全年预算数为</w:t>
      </w:r>
      <w:r>
        <w:rPr>
          <w:rFonts w:hint="eastAsia" w:ascii="仿宋_GB2312" w:eastAsia="仿宋_GB2312"/>
          <w:sz w:val="32"/>
          <w:szCs w:val="32"/>
          <w:lang w:val="en-US" w:eastAsia="zh-CN"/>
        </w:rPr>
        <w:t>5</w:t>
      </w:r>
      <w:r>
        <w:rPr>
          <w:rFonts w:hint="eastAsia" w:ascii="仿宋_GB2312" w:eastAsia="仿宋_GB2312"/>
          <w:sz w:val="32"/>
          <w:szCs w:val="32"/>
        </w:rPr>
        <w:t>万元，执行数为</w:t>
      </w:r>
      <w:r>
        <w:rPr>
          <w:rFonts w:hint="eastAsia" w:ascii="仿宋_GB2312" w:eastAsia="仿宋_GB2312"/>
          <w:sz w:val="32"/>
          <w:szCs w:val="32"/>
          <w:lang w:val="en-US" w:eastAsia="zh-CN"/>
        </w:rPr>
        <w:t>4.62</w:t>
      </w:r>
      <w:r>
        <w:rPr>
          <w:rFonts w:hint="eastAsia" w:ascii="仿宋_GB2312" w:eastAsia="仿宋_GB2312"/>
          <w:sz w:val="32"/>
          <w:szCs w:val="32"/>
        </w:rPr>
        <w:t>万元，完成预算的</w:t>
      </w:r>
      <w:r>
        <w:rPr>
          <w:rFonts w:hint="eastAsia" w:ascii="仿宋_GB2312" w:eastAsia="仿宋_GB2312"/>
          <w:sz w:val="32"/>
          <w:szCs w:val="32"/>
          <w:lang w:val="en-US" w:eastAsia="zh-CN"/>
        </w:rPr>
        <w:t>94.21</w:t>
      </w:r>
      <w:r>
        <w:rPr>
          <w:rFonts w:hint="eastAsia" w:ascii="仿宋_GB2312" w:eastAsia="仿宋_GB2312"/>
          <w:sz w:val="32"/>
          <w:szCs w:val="32"/>
        </w:rPr>
        <w:t>%。主要产出和效果：认真落实好“访惠聚”　办安排的各项工作。发现的问题及原因：一是工作队人员素质有待加强。工作队在驻村的期间，要加强自我学习，努力提高自身发现问题、分析问题和解决问题的能力。认真学习领会上级的文件精神，深入贯彻执行上级的方针、政策。二是为民办实事的工作能力有待提高，工作队要深入实际工作，收集一手的基层资料，针对问题，做出正确的决策，真正做到为民办实事、办好事，真正解决基层的实际困难。下一步改进措施：紧紧围绕总目标，全力抓好社区各项维稳工作，进一步健强基层组织建设，进一步找好社会事业发展工作。有关项目自评情况可以附项目支出绩效自评表。</w:t>
      </w:r>
    </w:p>
    <w:tbl>
      <w:tblPr>
        <w:tblStyle w:val="5"/>
        <w:tblW w:w="9180" w:type="dxa"/>
        <w:tblInd w:w="93" w:type="dxa"/>
        <w:tblLayout w:type="fixed"/>
        <w:tblCellMar>
          <w:top w:w="0" w:type="dxa"/>
          <w:left w:w="108" w:type="dxa"/>
          <w:bottom w:w="0" w:type="dxa"/>
          <w:right w:w="108" w:type="dxa"/>
        </w:tblCellMar>
      </w:tblPr>
      <w:tblGrid>
        <w:gridCol w:w="560"/>
        <w:gridCol w:w="560"/>
        <w:gridCol w:w="840"/>
        <w:gridCol w:w="1980"/>
        <w:gridCol w:w="1380"/>
        <w:gridCol w:w="1400"/>
        <w:gridCol w:w="1220"/>
        <w:gridCol w:w="1240"/>
      </w:tblGrid>
      <w:tr>
        <w:tblPrEx>
          <w:tblCellMar>
            <w:top w:w="0" w:type="dxa"/>
            <w:left w:w="108" w:type="dxa"/>
            <w:bottom w:w="0" w:type="dxa"/>
            <w:right w:w="108" w:type="dxa"/>
          </w:tblCellMar>
        </w:tblPrEx>
        <w:trPr>
          <w:trHeight w:val="600" w:hRule="atLeast"/>
        </w:trPr>
        <w:tc>
          <w:tcPr>
            <w:tcW w:w="9180" w:type="dxa"/>
            <w:gridSpan w:val="8"/>
            <w:tcBorders>
              <w:top w:val="nil"/>
              <w:left w:val="nil"/>
              <w:bottom w:val="nil"/>
              <w:right w:val="nil"/>
            </w:tcBorders>
            <w:shd w:val="clear" w:color="auto" w:fill="auto"/>
            <w:noWrap w:val="0"/>
            <w:vAlign w:val="center"/>
          </w:tcPr>
          <w:p>
            <w:pPr>
              <w:widowControl/>
              <w:jc w:val="center"/>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乌鲁木齐市级对县级专项转移支付绩效自评表</w:t>
            </w:r>
          </w:p>
        </w:tc>
      </w:tr>
      <w:tr>
        <w:tblPrEx>
          <w:tblCellMar>
            <w:top w:w="0" w:type="dxa"/>
            <w:left w:w="108" w:type="dxa"/>
            <w:bottom w:w="0" w:type="dxa"/>
            <w:right w:w="108" w:type="dxa"/>
          </w:tblCellMar>
        </w:tblPrEx>
        <w:trPr>
          <w:trHeight w:val="432" w:hRule="atLeast"/>
        </w:trPr>
        <w:tc>
          <w:tcPr>
            <w:tcW w:w="9180" w:type="dxa"/>
            <w:gridSpan w:val="8"/>
            <w:tcBorders>
              <w:top w:val="nil"/>
              <w:left w:val="nil"/>
              <w:bottom w:val="single" w:color="auto" w:sz="4" w:space="0"/>
              <w:right w:val="nil"/>
            </w:tcBorders>
            <w:shd w:val="clear" w:color="auto" w:fill="auto"/>
            <w:noWrap w:val="0"/>
            <w:vAlign w:val="to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（2018年度）</w:t>
            </w:r>
          </w:p>
        </w:tc>
      </w:tr>
      <w:tr>
        <w:tblPrEx>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专项名称</w:t>
            </w:r>
          </w:p>
        </w:tc>
        <w:tc>
          <w:tcPr>
            <w:tcW w:w="7220"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“访惠聚”专项经费　</w:t>
            </w:r>
          </w:p>
        </w:tc>
      </w:tr>
      <w:tr>
        <w:tblPrEx>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上级主管部门</w:t>
            </w:r>
          </w:p>
        </w:tc>
        <w:tc>
          <w:tcPr>
            <w:tcW w:w="722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中共乌鲁木齐县委员会政法委员会　</w:t>
            </w:r>
          </w:p>
        </w:tc>
      </w:tr>
      <w:tr>
        <w:tblPrEx>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地方主管部门</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中共乌鲁木齐县委员会政法委员会</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实施单位</w:t>
            </w:r>
          </w:p>
        </w:tc>
        <w:tc>
          <w:tcPr>
            <w:tcW w:w="24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中共乌鲁木齐县委员会政法委员会　</w:t>
            </w:r>
          </w:p>
        </w:tc>
      </w:tr>
      <w:tr>
        <w:tblPrEx>
          <w:tblCellMar>
            <w:top w:w="0" w:type="dxa"/>
            <w:left w:w="108" w:type="dxa"/>
            <w:bottom w:w="0" w:type="dxa"/>
            <w:right w:w="108" w:type="dxa"/>
          </w:tblCellMar>
        </w:tblPrEx>
        <w:trPr>
          <w:trHeight w:val="675" w:hRule="atLeast"/>
        </w:trPr>
        <w:tc>
          <w:tcPr>
            <w:tcW w:w="1960"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项目资金（万元）</w:t>
            </w:r>
          </w:p>
        </w:tc>
        <w:tc>
          <w:tcPr>
            <w:tcW w:w="19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全年预算数（A,含结余结转）</w:t>
            </w:r>
          </w:p>
        </w:tc>
        <w:tc>
          <w:tcPr>
            <w:tcW w:w="26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全年执行数（B）</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执行率（B/A)</w:t>
            </w:r>
          </w:p>
        </w:tc>
      </w:tr>
      <w:tr>
        <w:tblPrEx>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年度资金总额：</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　</w:t>
            </w:r>
          </w:p>
        </w:tc>
        <w:tc>
          <w:tcPr>
            <w:tcW w:w="26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4.0623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92.46%</w:t>
            </w:r>
          </w:p>
        </w:tc>
      </w:tr>
      <w:tr>
        <w:tblPrEx>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其中：市级补助</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　</w:t>
            </w:r>
          </w:p>
        </w:tc>
        <w:tc>
          <w:tcPr>
            <w:tcW w:w="26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4.0623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92.46%</w:t>
            </w:r>
          </w:p>
        </w:tc>
      </w:tr>
      <w:tr>
        <w:tblPrEx>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县级资金</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6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w:t>
            </w:r>
          </w:p>
        </w:tc>
        <w:tc>
          <w:tcPr>
            <w:tcW w:w="13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6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5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年度总体目标</w:t>
            </w:r>
          </w:p>
        </w:tc>
        <w:tc>
          <w:tcPr>
            <w:tcW w:w="4760"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年初设定目标</w:t>
            </w:r>
          </w:p>
        </w:tc>
        <w:tc>
          <w:tcPr>
            <w:tcW w:w="386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全年实际完成情况</w:t>
            </w:r>
          </w:p>
        </w:tc>
      </w:tr>
      <w:tr>
        <w:tblPrEx>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4760"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开展好“访惠聚”工作　</w:t>
            </w:r>
          </w:p>
        </w:tc>
        <w:tc>
          <w:tcPr>
            <w:tcW w:w="386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认真落实好“访惠聚”　办安排的各项工作</w:t>
            </w:r>
          </w:p>
        </w:tc>
      </w:tr>
      <w:tr>
        <w:tblPrEx>
          <w:tblCellMar>
            <w:top w:w="0" w:type="dxa"/>
            <w:left w:w="108" w:type="dxa"/>
            <w:bottom w:w="0" w:type="dxa"/>
            <w:right w:w="108" w:type="dxa"/>
          </w:tblCellMar>
        </w:tblPrEx>
        <w:trPr>
          <w:trHeight w:val="522" w:hRule="atLeast"/>
        </w:trPr>
        <w:tc>
          <w:tcPr>
            <w:tcW w:w="560" w:type="dxa"/>
            <w:vMerge w:val="restart"/>
            <w:tcBorders>
              <w:top w:val="nil"/>
              <w:left w:val="single" w:color="auto" w:sz="4" w:space="0"/>
              <w:bottom w:val="single" w:color="auto" w:sz="4" w:space="0"/>
              <w:right w:val="single" w:color="auto" w:sz="4" w:space="0"/>
            </w:tcBorders>
            <w:shd w:val="clear" w:color="auto" w:fill="auto"/>
            <w:noWrap w:val="0"/>
            <w:textDirection w:val="tbRlV"/>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绩效指标</w:t>
            </w:r>
          </w:p>
        </w:tc>
        <w:tc>
          <w:tcPr>
            <w:tcW w:w="5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8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二级指标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三级指标</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年度指标值</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全年完成值</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未完成原因和改进措施</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w:t>
            </w: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数量指标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指标1：为民办实事、办好事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多为辖区居民做好事，做实事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60件</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全部完成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指标2：开展走访慰问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≥60次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100%</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指标3：开展各类文体娱乐活动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≥60次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100%</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质量指标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指标1：对走访排查出的问题进行梳理和解决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100%</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时效指标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指标1：持续为民办实事办好事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本年度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100%</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成本指标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市级拨款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5万元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4.0623</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年底扎帐经费未支出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w:t>
            </w: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经济效益指标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辖区困难群众生活得到改善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生活质量越来越好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95%</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个别人家是在困难，且没有主要劳动力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社会效益指标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zh-CN"/>
              </w:rPr>
              <w:t>工作的开展，为基层党组织建设，起到了民心凝聚的效果</w:t>
            </w: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人民满意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100%</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生态效益指标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访民情、惠民生、聚民心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为民办实事好事</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100%</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8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服务对象满意度指标</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群众满意度不断提高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群众满意</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95%</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20"/>
                <w:szCs w:val="20"/>
              </w:rPr>
            </w:pPr>
          </w:p>
        </w:tc>
        <w:tc>
          <w:tcPr>
            <w:tcW w:w="8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33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说明</w:t>
            </w:r>
          </w:p>
        </w:tc>
        <w:tc>
          <w:tcPr>
            <w:tcW w:w="862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请在此处说明各级审计和财政监督检查中发现问题所涉及的金额，如没有请填无。</w:t>
            </w:r>
          </w:p>
        </w:tc>
      </w:tr>
      <w:tr>
        <w:tblPrEx>
          <w:tblCellMar>
            <w:top w:w="0" w:type="dxa"/>
            <w:left w:w="108" w:type="dxa"/>
            <w:bottom w:w="0" w:type="dxa"/>
            <w:right w:w="108" w:type="dxa"/>
          </w:tblCellMar>
        </w:tblPrEx>
        <w:trPr>
          <w:trHeight w:val="540" w:hRule="atLeast"/>
        </w:trPr>
        <w:tc>
          <w:tcPr>
            <w:tcW w:w="9180" w:type="dxa"/>
            <w:gridSpan w:val="8"/>
            <w:tcBorders>
              <w:top w:val="nil"/>
              <w:left w:val="nil"/>
              <w:bottom w:val="nil"/>
              <w:right w:val="nil"/>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注：1.定性指标根据指标完成情况分为：达成预期指标、部分达成预期指标并具有一定效果、未达成预期指标且效果较差三档，分别按照100-80%（含80%）、80-50%（含50%）、50-0%合理填写完成比例。</w:t>
            </w:r>
          </w:p>
        </w:tc>
      </w:tr>
      <w:tr>
        <w:tblPrEx>
          <w:tblCellMar>
            <w:top w:w="0" w:type="dxa"/>
            <w:left w:w="108" w:type="dxa"/>
            <w:bottom w:w="0" w:type="dxa"/>
            <w:right w:w="108" w:type="dxa"/>
          </w:tblCellMar>
        </w:tblPrEx>
        <w:trPr>
          <w:trHeight w:val="480" w:hRule="atLeast"/>
        </w:trPr>
        <w:tc>
          <w:tcPr>
            <w:tcW w:w="9180" w:type="dxa"/>
            <w:gridSpan w:val="8"/>
            <w:tcBorders>
              <w:top w:val="nil"/>
              <w:left w:val="nil"/>
              <w:bottom w:val="nil"/>
              <w:right w:val="nil"/>
            </w:tcBorders>
            <w:shd w:val="clear" w:color="auto" w:fill="auto"/>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2.定量指标若为正向指标（即指标值为≥*），则得分计算方法应用全年实际值（B）/年度指标值（A）</w:t>
            </w:r>
            <w:r>
              <w:rPr>
                <w:rFonts w:hint="eastAsia" w:ascii="宋体" w:hAnsi="宋体" w:eastAsia="宋体" w:cs="宋体"/>
                <w:color w:val="000000"/>
                <w:kern w:val="0"/>
                <w:sz w:val="12"/>
                <w:szCs w:val="12"/>
              </w:rPr>
              <w:t>╳</w:t>
            </w:r>
            <w:r>
              <w:rPr>
                <w:rFonts w:hint="eastAsia" w:ascii="宋体" w:hAnsi="宋体" w:eastAsia="宋体" w:cs="宋体"/>
                <w:color w:val="000000"/>
                <w:kern w:val="0"/>
                <w:sz w:val="18"/>
                <w:szCs w:val="18"/>
              </w:rPr>
              <w:t>该指标分值；若定量指标为反向指标（即指标值为≤*），则得分计算方法应用年度指标值（A）/全年实际值（B）</w:t>
            </w:r>
            <w:r>
              <w:rPr>
                <w:rFonts w:hint="eastAsia" w:ascii="宋体" w:hAnsi="宋体" w:eastAsia="宋体" w:cs="宋体"/>
                <w:color w:val="000000"/>
                <w:kern w:val="0"/>
                <w:sz w:val="12"/>
                <w:szCs w:val="12"/>
              </w:rPr>
              <w:t>╳</w:t>
            </w:r>
            <w:r>
              <w:rPr>
                <w:rFonts w:hint="eastAsia" w:ascii="宋体" w:hAnsi="宋体" w:eastAsia="宋体" w:cs="宋体"/>
                <w:color w:val="000000"/>
                <w:kern w:val="0"/>
                <w:sz w:val="18"/>
                <w:szCs w:val="18"/>
              </w:rPr>
              <w:t>该指标分值。</w:t>
            </w:r>
          </w:p>
        </w:tc>
      </w:tr>
    </w:tbl>
    <w:p>
      <w:pPr>
        <w:spacing w:line="600" w:lineRule="exact"/>
        <w:ind w:firstLine="640" w:firstLineChars="200"/>
        <w:rPr>
          <w:rFonts w:ascii="仿宋_GB2312" w:eastAsia="仿宋_GB2312"/>
          <w:sz w:val="32"/>
          <w:szCs w:val="32"/>
        </w:rPr>
      </w:pPr>
    </w:p>
    <w:p>
      <w:pPr>
        <w:spacing w:line="540" w:lineRule="exact"/>
        <w:ind w:firstLine="640" w:firstLineChars="200"/>
        <w:rPr>
          <w:rFonts w:hint="eastAsia" w:ascii="仿宋_GB2312" w:eastAsia="仿宋_GB2312"/>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2013199</w:t>
      </w:r>
      <w:r>
        <w:rPr>
          <w:rFonts w:hint="eastAsia" w:ascii="仿宋_GB2312" w:eastAsia="仿宋_GB2312"/>
          <w:sz w:val="32"/>
          <w:szCs w:val="32"/>
          <w:lang w:eastAsia="zh-CN"/>
        </w:rPr>
        <w:t>指</w:t>
      </w:r>
      <w:r>
        <w:rPr>
          <w:rFonts w:hint="eastAsia" w:ascii="仿宋_GB2312" w:eastAsia="仿宋_GB2312"/>
          <w:sz w:val="32"/>
          <w:szCs w:val="32"/>
        </w:rPr>
        <w:t>其他党委办公厅（室）及相关机构事务支出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2013601</w:t>
      </w:r>
      <w:r>
        <w:rPr>
          <w:rFonts w:hint="eastAsia" w:ascii="仿宋_GB2312" w:eastAsia="仿宋_GB2312"/>
          <w:sz w:val="32"/>
          <w:szCs w:val="32"/>
          <w:lang w:eastAsia="zh-CN"/>
        </w:rPr>
        <w:t>指</w:t>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2013699</w:t>
      </w:r>
      <w:r>
        <w:rPr>
          <w:rFonts w:hint="eastAsia" w:ascii="仿宋_GB2312" w:eastAsia="仿宋_GB2312"/>
          <w:sz w:val="32"/>
          <w:szCs w:val="32"/>
          <w:lang w:eastAsia="zh-CN"/>
        </w:rPr>
        <w:t>指</w:t>
      </w:r>
      <w:r>
        <w:rPr>
          <w:rFonts w:hint="eastAsia" w:ascii="仿宋_GB2312" w:eastAsia="仿宋_GB2312"/>
          <w:sz w:val="32"/>
          <w:szCs w:val="32"/>
        </w:rPr>
        <w:t>其他共产党事务支出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2060402</w:t>
      </w:r>
      <w:r>
        <w:rPr>
          <w:rFonts w:hint="eastAsia" w:ascii="仿宋_GB2312" w:eastAsia="仿宋_GB2312"/>
          <w:sz w:val="32"/>
          <w:szCs w:val="32"/>
          <w:lang w:eastAsia="zh-CN"/>
        </w:rPr>
        <w:t>指</w:t>
      </w:r>
      <w:r>
        <w:rPr>
          <w:rFonts w:hint="eastAsia" w:ascii="仿宋_GB2312" w:eastAsia="仿宋_GB2312"/>
          <w:sz w:val="32"/>
          <w:szCs w:val="32"/>
        </w:rPr>
        <w:t>应用技术研究与开发</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2080505</w:t>
      </w:r>
      <w:r>
        <w:rPr>
          <w:rFonts w:hint="eastAsia" w:ascii="仿宋_GB2312" w:eastAsia="仿宋_GB2312"/>
          <w:sz w:val="32"/>
          <w:szCs w:val="32"/>
          <w:lang w:eastAsia="zh-CN"/>
        </w:rPr>
        <w:t>指</w:t>
      </w:r>
      <w:r>
        <w:rPr>
          <w:rFonts w:hint="eastAsia" w:ascii="仿宋_GB2312" w:eastAsia="仿宋_GB2312"/>
          <w:sz w:val="32"/>
          <w:szCs w:val="32"/>
        </w:rPr>
        <w:t>机关事业单位基本养老保险缴费支出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2080506</w:t>
      </w:r>
      <w:r>
        <w:rPr>
          <w:rFonts w:hint="eastAsia" w:ascii="仿宋_GB2312" w:eastAsia="仿宋_GB2312"/>
          <w:sz w:val="32"/>
          <w:szCs w:val="32"/>
          <w:lang w:eastAsia="zh-CN"/>
        </w:rPr>
        <w:t>指</w:t>
      </w:r>
      <w:r>
        <w:rPr>
          <w:rFonts w:hint="eastAsia" w:ascii="仿宋_GB2312" w:eastAsia="仿宋_GB2312"/>
          <w:sz w:val="32"/>
          <w:szCs w:val="32"/>
        </w:rPr>
        <w:t>机关事业单位职业年金缴费支出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2120804</w:t>
      </w:r>
      <w:r>
        <w:rPr>
          <w:rFonts w:hint="eastAsia" w:ascii="仿宋_GB2312" w:eastAsia="仿宋_GB2312"/>
          <w:sz w:val="32"/>
          <w:szCs w:val="32"/>
          <w:lang w:eastAsia="zh-CN"/>
        </w:rPr>
        <w:t>指</w:t>
      </w:r>
      <w:r>
        <w:rPr>
          <w:rFonts w:hint="eastAsia" w:ascii="仿宋_GB2312" w:eastAsia="仿宋_GB2312"/>
          <w:sz w:val="32"/>
          <w:szCs w:val="32"/>
        </w:rPr>
        <w:t>农村基础设施建设支出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2139999</w:t>
      </w:r>
      <w:r>
        <w:rPr>
          <w:rFonts w:hint="eastAsia" w:ascii="仿宋_GB2312" w:eastAsia="仿宋_GB2312"/>
          <w:sz w:val="32"/>
          <w:szCs w:val="32"/>
          <w:lang w:eastAsia="zh-CN"/>
        </w:rPr>
        <w:t>指</w:t>
      </w:r>
      <w:r>
        <w:rPr>
          <w:rFonts w:hint="eastAsia" w:ascii="仿宋_GB2312" w:eastAsia="仿宋_GB2312"/>
          <w:sz w:val="32"/>
          <w:szCs w:val="32"/>
        </w:rPr>
        <w:t>其他农林水支出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2299901</w:t>
      </w:r>
      <w:r>
        <w:rPr>
          <w:rFonts w:hint="eastAsia" w:ascii="仿宋_GB2312" w:eastAsia="仿宋_GB2312"/>
          <w:sz w:val="32"/>
          <w:szCs w:val="32"/>
          <w:lang w:eastAsia="zh-CN"/>
        </w:rPr>
        <w:t>指</w:t>
      </w:r>
      <w:r>
        <w:rPr>
          <w:rFonts w:hint="eastAsia" w:ascii="仿宋_GB2312" w:eastAsia="仿宋_GB2312"/>
          <w:sz w:val="32"/>
          <w:szCs w:val="32"/>
        </w:rPr>
        <w:t>其他支出。</w:t>
      </w:r>
    </w:p>
    <w:p>
      <w:pPr>
        <w:spacing w:line="540" w:lineRule="exact"/>
        <w:ind w:firstLine="640" w:firstLineChars="200"/>
        <w:rPr>
          <w:rFonts w:ascii="仿宋_GB2312" w:eastAsia="仿宋_GB2312"/>
          <w:b/>
          <w:sz w:val="32"/>
          <w:szCs w:val="32"/>
        </w:rPr>
      </w:pPr>
      <w:r>
        <w:rPr>
          <w:rFonts w:hint="eastAsia" w:ascii="仿宋_GB2312" w:eastAsia="仿宋_GB2312"/>
          <w:sz w:val="32"/>
          <w:szCs w:val="32"/>
        </w:rPr>
        <w:t>其他有关说明内容</w:t>
      </w:r>
      <w:r>
        <w:rPr>
          <w:rFonts w:hint="eastAsia" w:ascii="仿宋_GB2312" w:hAnsi="Calibri" w:eastAsia="仿宋_GB2312"/>
          <w:sz w:val="32"/>
          <w:szCs w:val="32"/>
          <w:lang w:val="en-GB"/>
        </w:rPr>
        <w:t>。</w:t>
      </w: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58643C"/>
    <w:rsid w:val="006059F7"/>
    <w:rsid w:val="009A4996"/>
    <w:rsid w:val="00BE7FE7"/>
    <w:rsid w:val="00CE0C1D"/>
    <w:rsid w:val="00CF769E"/>
    <w:rsid w:val="00D923F6"/>
    <w:rsid w:val="00F21610"/>
    <w:rsid w:val="194F4D04"/>
    <w:rsid w:val="27CD2B36"/>
    <w:rsid w:val="4572647A"/>
    <w:rsid w:val="566A4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pPr>
      <w:jc w:val="left"/>
    </w:pPr>
    <w:rPr>
      <w:rFonts w:ascii="Times New Roman" w:hAnsi="Times New Roman" w:eastAsia="宋体" w:cs="Times New Roman"/>
      <w:szCs w:val="24"/>
    </w:rPr>
  </w:style>
  <w:style w:type="paragraph" w:styleId="3">
    <w:name w:val="Balloon Text"/>
    <w:basedOn w:val="1"/>
    <w:link w:val="10"/>
    <w:semiHidden/>
    <w:unhideWhenUsed/>
    <w:qFormat/>
    <w:uiPriority w:val="99"/>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99"/>
    <w:rPr>
      <w:rFonts w:cs="Times New Roman"/>
      <w:b/>
      <w:bCs/>
    </w:rPr>
  </w:style>
  <w:style w:type="character" w:styleId="8">
    <w:name w:val="annotation reference"/>
    <w:basedOn w:val="6"/>
    <w:semiHidden/>
    <w:unhideWhenUsed/>
    <w:qFormat/>
    <w:uiPriority w:val="99"/>
    <w:rPr>
      <w:sz w:val="21"/>
      <w:szCs w:val="21"/>
    </w:rPr>
  </w:style>
  <w:style w:type="character" w:customStyle="1" w:styleId="9">
    <w:name w:val="批注文字 Char"/>
    <w:basedOn w:val="6"/>
    <w:link w:val="2"/>
    <w:qFormat/>
    <w:uiPriority w:val="0"/>
    <w:rPr>
      <w:rFonts w:ascii="Times New Roman" w:hAnsi="Times New Roman" w:eastAsia="宋体" w:cs="Times New Roman"/>
      <w:szCs w:val="24"/>
    </w:rPr>
  </w:style>
  <w:style w:type="character" w:customStyle="1" w:styleId="10">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784</Words>
  <Characters>4472</Characters>
  <Lines>37</Lines>
  <Paragraphs>10</Paragraphs>
  <TotalTime>5</TotalTime>
  <ScaleCrop>false</ScaleCrop>
  <LinksUpToDate>false</LinksUpToDate>
  <CharactersWithSpaces>5246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秣</cp:lastModifiedBy>
  <dcterms:modified xsi:type="dcterms:W3CDTF">2021-05-18T14:20:52Z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BB6CE05533784D02B6AAC0555EB1DFF9</vt:lpwstr>
  </property>
</Properties>
</file>