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黑体" w:hAnsi="黑体" w:eastAsia="黑体"/>
          <w:sz w:val="32"/>
          <w:szCs w:val="32"/>
        </w:rPr>
      </w:pPr>
      <w:r>
        <w:rPr>
          <w:rFonts w:hint="eastAsia" w:ascii="黑体" w:hAnsi="黑体" w:eastAsia="黑体"/>
          <w:sz w:val="32"/>
          <w:szCs w:val="32"/>
        </w:rPr>
        <w:t>附件1：</w:t>
      </w:r>
    </w:p>
    <w:p>
      <w:pPr>
        <w:spacing w:line="540" w:lineRule="exact"/>
        <w:rPr>
          <w:rFonts w:ascii="方正小标宋_GBK" w:hAnsi="宋体" w:eastAsia="方正小标宋_GBK"/>
          <w:sz w:val="44"/>
          <w:szCs w:val="44"/>
        </w:rPr>
      </w:pPr>
    </w:p>
    <w:p>
      <w:pPr>
        <w:spacing w:line="540" w:lineRule="exact"/>
        <w:jc w:val="center"/>
        <w:rPr>
          <w:rFonts w:ascii="方正小标宋_GBK" w:hAnsi="宋体" w:eastAsia="方正小标宋_GBK"/>
          <w:sz w:val="44"/>
          <w:szCs w:val="44"/>
        </w:rPr>
      </w:pPr>
      <w:r>
        <w:rPr>
          <w:rFonts w:hint="eastAsia" w:ascii="方正小标宋_GBK" w:hAnsi="宋体" w:eastAsia="方正小标宋_GBK"/>
          <w:sz w:val="44"/>
          <w:szCs w:val="44"/>
        </w:rPr>
        <w:t>2018年度乌鲁木齐县永合小学部门决算公开说明</w:t>
      </w:r>
    </w:p>
    <w:p>
      <w:pPr>
        <w:spacing w:line="540" w:lineRule="exact"/>
        <w:rPr>
          <w:rFonts w:ascii="仿宋_GB2312" w:hAnsi="宋体" w:eastAsia="仿宋_GB2312"/>
          <w:sz w:val="32"/>
          <w:szCs w:val="32"/>
        </w:rPr>
      </w:pPr>
    </w:p>
    <w:p>
      <w:pPr>
        <w:spacing w:line="540" w:lineRule="exact"/>
        <w:jc w:val="center"/>
        <w:rPr>
          <w:rFonts w:ascii="黑体" w:hAnsi="黑体" w:eastAsia="黑体"/>
          <w:bCs/>
          <w:kern w:val="0"/>
          <w:sz w:val="32"/>
          <w:szCs w:val="32"/>
        </w:rPr>
      </w:pPr>
      <w:r>
        <w:rPr>
          <w:rFonts w:hint="eastAsia" w:ascii="黑体" w:hAnsi="黑体" w:eastAsia="黑体"/>
          <w:bCs/>
          <w:kern w:val="0"/>
          <w:sz w:val="32"/>
          <w:szCs w:val="32"/>
        </w:rPr>
        <w:t>目  录</w:t>
      </w:r>
    </w:p>
    <w:p>
      <w:pPr>
        <w:spacing w:line="540" w:lineRule="exact"/>
        <w:rPr>
          <w:rFonts w:ascii="仿宋_GB2312" w:hAnsi="宋体" w:eastAsia="仿宋_GB2312"/>
          <w:b/>
          <w:kern w:val="0"/>
          <w:sz w:val="32"/>
          <w:szCs w:val="32"/>
        </w:rPr>
      </w:pP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第一部分 部门单位概况</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一、主要职能</w:t>
      </w:r>
    </w:p>
    <w:p>
      <w:pPr>
        <w:spacing w:line="54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eastAsia="仿宋_GB2312"/>
          <w:sz w:val="32"/>
          <w:szCs w:val="32"/>
        </w:rPr>
        <w:t>机构设置情况</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第二部分 部门决算情况说明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一、部门收支总体情况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（一）部门收入支出决算总体情况说明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（三）部门支出总体情况说明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二、部门财政拨款收支情况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七、其他重要事项的情况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（二）预算绩效情况的说明</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第三部分 专业名词解释</w:t>
      </w:r>
    </w:p>
    <w:p>
      <w:pPr>
        <w:spacing w:line="540" w:lineRule="exact"/>
        <w:ind w:firstLine="640" w:firstLineChars="200"/>
        <w:rPr>
          <w:rFonts w:ascii="黑体" w:hAnsi="黑体" w:eastAsia="黑体"/>
          <w:kern w:val="0"/>
          <w:sz w:val="32"/>
          <w:szCs w:val="32"/>
        </w:rPr>
      </w:pPr>
      <w:r>
        <w:rPr>
          <w:rFonts w:hint="eastAsia" w:ascii="黑体" w:hAnsi="黑体" w:eastAsia="黑体"/>
          <w:kern w:val="0"/>
          <w:sz w:val="32"/>
          <w:szCs w:val="32"/>
        </w:rPr>
        <w:t>第四部分 部</w:t>
      </w:r>
      <w:r>
        <w:rPr>
          <w:rFonts w:hint="eastAsia" w:ascii="黑体" w:hAnsi="黑体" w:eastAsia="黑体"/>
          <w:sz w:val="32"/>
          <w:szCs w:val="32"/>
        </w:rPr>
        <w:t>门决算公开的8张报表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《一般公共预算财政拨款“三公”经费支出决算表》</w:t>
      </w:r>
    </w:p>
    <w:p>
      <w:pPr>
        <w:spacing w:line="540" w:lineRule="exact"/>
        <w:ind w:firstLine="640" w:firstLineChars="200"/>
        <w:rPr>
          <w:rFonts w:ascii="仿宋_GB2312" w:hAnsi="宋体" w:eastAsia="仿宋_GB2312"/>
          <w:sz w:val="32"/>
          <w:szCs w:val="32"/>
        </w:rPr>
      </w:pPr>
      <w:r>
        <w:rPr>
          <w:rFonts w:hint="eastAsia" w:ascii="仿宋_GB2312" w:eastAsia="仿宋_GB2312"/>
          <w:sz w:val="32"/>
          <w:szCs w:val="32"/>
        </w:rPr>
        <w:t>《政府性基金预算财政拨款收入支出决算表》</w:t>
      </w:r>
    </w:p>
    <w:p>
      <w:pPr>
        <w:spacing w:line="540" w:lineRule="exact"/>
        <w:ind w:firstLine="640" w:firstLineChars="200"/>
        <w:rPr>
          <w:rFonts w:ascii="黑体" w:hAnsi="黑体" w:eastAsia="黑体"/>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第一部分 部门单位概况</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一、主要职能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乌鲁木齐县永合小学是一所六年一贯制汉语学校。主要职能是贯彻执行国家、自治区和乌鲁木齐市有关教育工作的方针、政策和法律、法规实施小学六年义务教育。 </w:t>
      </w:r>
    </w:p>
    <w:p>
      <w:pPr>
        <w:spacing w:line="54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二、机构设置情况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从决算单位构成看，新疆乌鲁木齐县永合小学部门决算包括：新疆乌鲁木齐县永合小学部门本级决算，无下属单位决算。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新疆乌鲁木齐县永合小学编制数19个，包括行政编制0个，事业编制19个。年末实有人数19人，其中：行政在职0人，事业在职19人。</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纳入新疆乌鲁木齐县永合小学2018年部门决算编制范围的单位名单见下表</w:t>
      </w:r>
      <w:r>
        <w:rPr>
          <w:rFonts w:hint="eastAsia" w:ascii="仿宋_GB2312" w:eastAsia="仿宋_GB2312"/>
          <w:spacing w:val="-6"/>
          <w:sz w:val="32"/>
          <w:szCs w:val="32"/>
        </w:rPr>
        <w:t>：</w:t>
      </w:r>
    </w:p>
    <w:p>
      <w:pPr>
        <w:spacing w:line="500" w:lineRule="exact"/>
        <w:ind w:firstLine="616" w:firstLineChars="200"/>
        <w:rPr>
          <w:rFonts w:ascii="仿宋_GB2312" w:eastAsia="仿宋_GB2312"/>
          <w:spacing w:val="-6"/>
          <w:sz w:val="32"/>
          <w:szCs w:val="32"/>
        </w:rPr>
      </w:pPr>
    </w:p>
    <w:tbl>
      <w:tblPr>
        <w:tblStyle w:val="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512"/>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序号</w:t>
            </w:r>
          </w:p>
        </w:tc>
        <w:tc>
          <w:tcPr>
            <w:tcW w:w="7512" w:type="dxa"/>
            <w:vAlign w:val="center"/>
          </w:tcPr>
          <w:p>
            <w:pPr>
              <w:spacing w:line="500" w:lineRule="exact"/>
              <w:ind w:firstLine="640" w:firstLineChars="200"/>
              <w:rPr>
                <w:rFonts w:ascii="仿宋_GB2312" w:eastAsia="仿宋_GB2312"/>
                <w:sz w:val="32"/>
                <w:szCs w:val="32"/>
              </w:rPr>
            </w:pPr>
            <w:r>
              <w:rPr>
                <w:rFonts w:hint="eastAsia" w:ascii="仿宋_GB2312" w:eastAsia="仿宋_GB2312"/>
                <w:sz w:val="32"/>
                <w:szCs w:val="32"/>
              </w:rPr>
              <w:t xml:space="preserve">              单位名称</w:t>
            </w:r>
          </w:p>
        </w:tc>
        <w:tc>
          <w:tcPr>
            <w:tcW w:w="964" w:type="dxa"/>
            <w:vAlign w:val="center"/>
          </w:tcPr>
          <w:p>
            <w:pPr>
              <w:spacing w:line="500" w:lineRule="exact"/>
              <w:rPr>
                <w:rFonts w:ascii="仿宋_GB2312" w:eastAsia="仿宋_GB2312"/>
                <w:sz w:val="32"/>
                <w:szCs w:val="32"/>
              </w:rPr>
            </w:pPr>
            <w:r>
              <w:rPr>
                <w:rFonts w:hint="eastAsia" w:ascii="仿宋_GB2312" w:eastAsia="仿宋_GB2312"/>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1</w:t>
            </w:r>
          </w:p>
        </w:tc>
        <w:tc>
          <w:tcPr>
            <w:tcW w:w="7512" w:type="dxa"/>
            <w:vAlign w:val="center"/>
          </w:tcPr>
          <w:p>
            <w:pPr>
              <w:spacing w:line="500" w:lineRule="exact"/>
              <w:rPr>
                <w:rFonts w:ascii="仿宋_GB2312" w:eastAsia="仿宋_GB2312"/>
                <w:sz w:val="32"/>
                <w:szCs w:val="32"/>
              </w:rPr>
            </w:pPr>
            <w:r>
              <w:rPr>
                <w:rFonts w:hint="eastAsia" w:ascii="仿宋_GB2312" w:eastAsia="仿宋_GB2312"/>
                <w:sz w:val="32"/>
                <w:szCs w:val="32"/>
              </w:rPr>
              <w:t>新疆乌鲁木齐县永合小学</w:t>
            </w:r>
            <w:r>
              <w:rPr>
                <w:rFonts w:ascii="仿宋_GB2312" w:eastAsia="仿宋_GB2312"/>
                <w:sz w:val="32"/>
                <w:szCs w:val="32"/>
              </w:rPr>
              <w:t xml:space="preserve"> </w:t>
            </w: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2</w:t>
            </w:r>
          </w:p>
        </w:tc>
        <w:tc>
          <w:tcPr>
            <w:tcW w:w="7512" w:type="dxa"/>
            <w:vAlign w:val="center"/>
          </w:tcPr>
          <w:p>
            <w:pPr>
              <w:spacing w:line="500" w:lineRule="exact"/>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rPr>
                <w:rFonts w:ascii="仿宋_GB2312" w:eastAsia="仿宋_GB2312"/>
                <w:sz w:val="32"/>
                <w:szCs w:val="32"/>
              </w:rPr>
            </w:pPr>
            <w:r>
              <w:rPr>
                <w:rFonts w:hint="eastAsia" w:ascii="仿宋_GB2312" w:eastAsia="仿宋_GB2312"/>
                <w:sz w:val="32"/>
                <w:szCs w:val="32"/>
              </w:rPr>
              <w:t xml:space="preserve">  </w:t>
            </w: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988" w:type="dxa"/>
            <w:vAlign w:val="center"/>
          </w:tcPr>
          <w:p>
            <w:pPr>
              <w:spacing w:line="500" w:lineRule="exact"/>
              <w:ind w:firstLine="640" w:firstLineChars="200"/>
              <w:rPr>
                <w:rFonts w:ascii="仿宋_GB2312" w:eastAsia="仿宋_GB2312"/>
                <w:sz w:val="32"/>
                <w:szCs w:val="32"/>
              </w:rPr>
            </w:pPr>
          </w:p>
        </w:tc>
        <w:tc>
          <w:tcPr>
            <w:tcW w:w="7512" w:type="dxa"/>
            <w:vAlign w:val="center"/>
          </w:tcPr>
          <w:p>
            <w:pPr>
              <w:spacing w:line="500" w:lineRule="exact"/>
              <w:ind w:firstLine="640" w:firstLineChars="200"/>
              <w:rPr>
                <w:rFonts w:ascii="仿宋_GB2312" w:eastAsia="仿宋_GB2312"/>
                <w:sz w:val="32"/>
                <w:szCs w:val="32"/>
              </w:rPr>
            </w:pPr>
          </w:p>
        </w:tc>
        <w:tc>
          <w:tcPr>
            <w:tcW w:w="964" w:type="dxa"/>
            <w:vAlign w:val="center"/>
          </w:tcPr>
          <w:p>
            <w:pPr>
              <w:spacing w:line="500" w:lineRule="exact"/>
              <w:rPr>
                <w:rFonts w:ascii="仿宋_GB2312" w:eastAsia="仿宋_GB2312"/>
                <w:sz w:val="32"/>
                <w:szCs w:val="32"/>
              </w:rPr>
            </w:pPr>
          </w:p>
        </w:tc>
      </w:tr>
    </w:tbl>
    <w:p>
      <w:pPr>
        <w:spacing w:line="500" w:lineRule="exact"/>
        <w:ind w:firstLine="627"/>
        <w:jc w:val="center"/>
        <w:rPr>
          <w:rFonts w:ascii="仿宋_GB2312" w:hAnsi="宋体" w:eastAsia="仿宋_GB2312" w:cs="宋体"/>
          <w:kern w:val="0"/>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第二部分 部门决算情况说明</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一、部门收支总体情况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（一）部门收入支出决算总体情况说明</w:t>
      </w:r>
    </w:p>
    <w:p>
      <w:pPr>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2018年度收入501.81万元,与上年相比，增加35.93万元，增长7.71%，增减变化主要原因是：由于年终考核</w:t>
      </w:r>
      <w:r>
        <w:rPr>
          <w:rFonts w:hint="eastAsia" w:ascii="仿宋_GB2312" w:eastAsia="仿宋_GB2312"/>
          <w:sz w:val="32"/>
          <w:szCs w:val="32"/>
          <w:lang w:eastAsia="zh-CN"/>
        </w:rPr>
        <w:t>未</w:t>
      </w:r>
      <w:r>
        <w:rPr>
          <w:rFonts w:hint="eastAsia" w:ascii="仿宋_GB2312" w:eastAsia="仿宋_GB2312"/>
          <w:sz w:val="32"/>
          <w:szCs w:val="32"/>
        </w:rPr>
        <w:t>完成，所以2018年各种奖金未发放；支出485.64万元,与上年相比，增加35.85万元，增长7.97%，增减变化主要原因是：本年新增变压器1台；结余80.33万元，与上年相比，增加16.17万元，增长25.2%。增减变化主要原因是：由于年终考核为完成，所以2018年各种奖金未发放。</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（二）部门收入总体情况说明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本年收入合计501.81万元，其中：财政拨款收入492.16万元，占98.08%；上级补助收入0.00万元，占0.00%；事业收入0.00万元，占0.00%；经营收入0.00万元，占0.00%；附属单位缴款0.00万元，占0.00%；其他收入9.64万元，占1.92%。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与年初预算数相比情况：本年收入年初预算数412.91万元，决算数501.81万元，预决算差异率21.53%，差异主要原因年中追加人员经费及项目经费，预决算存在差异。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（三）部门支出总体情况说明</w:t>
      </w:r>
    </w:p>
    <w:p>
      <w:pPr>
        <w:spacing w:line="540" w:lineRule="exact"/>
        <w:ind w:firstLine="640" w:firstLineChars="200"/>
        <w:rPr>
          <w:rFonts w:ascii="仿宋_GB2312" w:eastAsia="仿宋_GB2312"/>
          <w:spacing w:val="-6"/>
          <w:sz w:val="32"/>
          <w:szCs w:val="32"/>
        </w:rPr>
      </w:pPr>
      <w:r>
        <w:rPr>
          <w:rFonts w:hint="eastAsia" w:ascii="仿宋_GB2312" w:eastAsia="仿宋_GB2312"/>
          <w:sz w:val="32"/>
          <w:szCs w:val="32"/>
        </w:rPr>
        <w:t>本年支出合计485.64万元，其中：基本支出328.47万元，占67.64%；项目支出157.17万元，占32.36%；上缴上级支出0.00万元，占0.00%；</w:t>
      </w:r>
      <w:r>
        <w:rPr>
          <w:rFonts w:hint="eastAsia" w:ascii="仿宋_GB2312" w:eastAsia="仿宋_GB2312"/>
          <w:spacing w:val="-6"/>
          <w:sz w:val="32"/>
          <w:szCs w:val="32"/>
        </w:rPr>
        <w:t>经营支出0.00万元，占0.00%；对附属单位补助支出0.00万元，占0.00%。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与年初预算数相比情况：本年支出年初预算数412.91万元，决算数485.64万元，预决算差异率17.61%，差异主要原因年中追加人员经费及项目经费，预决算存在差异。</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二、部门财政拨款收支情况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（一）财政拨款收支总体情况说明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2018年度财政拨款收入492.16万元，与上年相比，增加145.32万元，增长41.9%。增减变化的主要原因是：由于年终考核</w:t>
      </w:r>
      <w:r>
        <w:rPr>
          <w:rFonts w:hint="eastAsia" w:ascii="仿宋_GB2312" w:eastAsia="仿宋_GB2312"/>
          <w:sz w:val="32"/>
          <w:szCs w:val="32"/>
          <w:lang w:eastAsia="zh-CN"/>
        </w:rPr>
        <w:t>未</w:t>
      </w:r>
      <w:r>
        <w:rPr>
          <w:rFonts w:hint="eastAsia" w:ascii="仿宋_GB2312" w:eastAsia="仿宋_GB2312"/>
          <w:sz w:val="32"/>
          <w:szCs w:val="32"/>
        </w:rPr>
        <w:t>完成，所以2018年各种奖金未发放。财政拨款支出476.20万元，与上年相比，增加133.34万元，增长38.89%，增减变化的主要原因是：本年新增变压器1台，由于年终考核为完成，所以2018年各种奖金未发放。其中：基本支出328.35万元，项目支出147.85万元。财政拨款结转结余66.17万元，与上年相比，增加15.96万元，增长31.79%。增减变化的主要原因是：由于年终考核为完成，所以2018年各种奖金未发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财政拨款收入年初预算数412.91万元，决算数492.16万元，预决算差异率19.19%，差异主要原因年中追加人员经费及项目经费，预决算存在差异。财政拨款支出年初预算数412.91万元，决算数476.20万元，预决算差异率15.33%，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（二）一般公共预算收支决算情况说明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财政拨款收入492.16万元。与上年相比，增加149.72万元，增长43.72%。增减变化的主要原因是：由于年终考核为完成，所以2018年各种奖金未发放。一般公共预算财政拨款支出473.05万元。与上年相比，增加131.44万元，增长38.48%。增减变化的主要原因是：本年新增变压器1台</w:t>
      </w:r>
      <w:r>
        <w:rPr>
          <w:rFonts w:hint="eastAsia" w:ascii="仿宋_GB2312" w:eastAsia="仿宋_GB2312"/>
          <w:sz w:val="32"/>
          <w:szCs w:val="32"/>
          <w:lang w:eastAsia="zh-CN"/>
        </w:rPr>
        <w:t>，</w:t>
      </w:r>
      <w:r>
        <w:rPr>
          <w:rFonts w:hint="eastAsia" w:ascii="仿宋_GB2312" w:eastAsia="仿宋_GB2312"/>
          <w:sz w:val="32"/>
          <w:szCs w:val="32"/>
        </w:rPr>
        <w:t>由于年终考核为完成，所以2018年各种奖金未发放。其中：按功能分类科目（按类级科目公开），教育支出448.76万元，社会保障和就业支出24.29万元。按经济分类科目（按类级科目公开），工资福利支出306.56万元，商品和服务支出94.52万元.</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财政拨款收入年初预算数412.91万元，决算数492.16万元，预决算差异率19.19%，差异主要原因年中追加人员经费及项目经费，预决算存在差异。一般公共预算财政拨款支出年初预算数412.91万元，决算数473.05万元，预决算差异率14.57%，差异主要原因年中追加人员经费及项目经费，预决算存在差异。</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（三）政府性基金预算收支决算情况说明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性基金预算财政拨款收入0.00万元，与上年相比，减少4.4万元，降低100%。增减变化的主要原因是：上年结余的变压器购置。政府性基金预算支出3.15万元。与上年相比，增加1.9万元，增长152.0%。增减变化的主要原因是：本年道路硬化、暖气管线维修改造项目支出增加。其中：按功能分类科目（按类级科目公开）城乡社区支出3.15万元，按经济分类科目（按类级科目公开），工资福利支出0.00万元，商品和服务支出3.15万元。</w:t>
      </w:r>
      <w:r>
        <w:rPr>
          <w:rFonts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政府性基金预算财政拨款收入年初预算数0.00万元，决算数0.00万元，预决算差异率0.00%，差异主要原因无政府性基金预算财政拨款。政府性基金预算财政拨款支出年初预算数0.00万元，决算数3.15万元，预决算差异率</w:t>
      </w:r>
      <w:r>
        <w:rPr>
          <w:rFonts w:hint="eastAsia" w:ascii="仿宋_GB2312" w:eastAsia="仿宋_GB2312"/>
          <w:sz w:val="32"/>
          <w:szCs w:val="32"/>
          <w:lang w:val="en-US" w:eastAsia="zh-CN"/>
        </w:rPr>
        <w:t>1</w:t>
      </w:r>
      <w:r>
        <w:rPr>
          <w:rFonts w:hint="eastAsia" w:ascii="仿宋_GB2312" w:eastAsia="仿宋_GB2312"/>
          <w:sz w:val="32"/>
          <w:szCs w:val="32"/>
        </w:rPr>
        <w:t>00%，差异主要原因年中追加变压器购置安排项目。</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三、部门结转结余情况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年末结转结余80.33万元。与上年相比，增加16.17万元，增长25.2%。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其中财政拨款结转结余66.17万元。与上年相比，增加15.96万元，增长31.79%。</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四、一般公共预算“三公”经费支出情况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2018年度一般公共预算“三公”经费支出决算0.00万元，比上年减少0万元，降低0%，减少原因是</w:t>
      </w:r>
      <w:r>
        <w:rPr>
          <w:rFonts w:hint="eastAsia" w:ascii="仿宋_GB2312" w:eastAsia="仿宋_GB2312"/>
          <w:sz w:val="32"/>
          <w:szCs w:val="32"/>
          <w:lang w:eastAsia="zh-CN"/>
        </w:rPr>
        <w:t>本单位无</w:t>
      </w:r>
      <w:r>
        <w:rPr>
          <w:rFonts w:hint="eastAsia" w:ascii="仿宋_GB2312" w:eastAsia="仿宋_GB2312"/>
          <w:sz w:val="32"/>
          <w:szCs w:val="32"/>
        </w:rPr>
        <w:t>“三公”经费支出。其中，因公出国（境）费支出0.00万元，占0.00%，比上年减少0.0万元，降低0%，减少原因是无因公出国（境）费支出；公务用车购置及运行维护费支出0.00万元，占0.00%，比上年减少0万元，降低0%，减少原因是</w:t>
      </w:r>
      <w:r>
        <w:rPr>
          <w:rFonts w:hint="eastAsia" w:ascii="仿宋_GB2312" w:eastAsia="仿宋_GB2312"/>
          <w:sz w:val="32"/>
          <w:szCs w:val="32"/>
          <w:lang w:eastAsia="zh-CN"/>
        </w:rPr>
        <w:t>无</w:t>
      </w:r>
      <w:r>
        <w:rPr>
          <w:rFonts w:hint="eastAsia" w:ascii="仿宋_GB2312" w:eastAsia="仿宋_GB2312"/>
          <w:sz w:val="32"/>
          <w:szCs w:val="32"/>
        </w:rPr>
        <w:t>公务用车购置及运行维护费；公务接待费支出0.00万元，占0.00%，比上年增加0.0万元，降低0%，减少原因是无公务接待费。具体情况如下：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因公出国（境）费支出0.00万元。新疆乌鲁木齐县永合小学全年使用一般公共预算财政拨款安排的出国（境）团组0个，累计0人次。开支内容包括：无因公出国（境）费支出。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公务用车购置及运行维护费0.00万元,其中，公务用车购置0.00万元，公务用车运行维护费0.00万元。主要用于无公务用车购等。单位一般公共财政拨款安排的公务用车购置量0辆，保有量为0辆。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公务接待费0.00万元。具体是：国内公务接待支出0.00万元，主要是无公务接待费等。新疆乌鲁木齐县永合小学国内公务接待0批次，0人次。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与年初预算数相比情况：一般公共预算“三公”经费支出年初预算数0.00万元，决算数0.00万元，预决算差异率0.00%，差异主要原因无“三公”经费支出。</w:t>
      </w:r>
      <w:r>
        <w:rPr>
          <w:rFonts w:hint="eastAsia" w:ascii="仿宋_GB2312" w:hAnsi="宋体" w:eastAsia="仿宋_GB2312" w:cs="宋体"/>
          <w:kern w:val="0"/>
          <w:sz w:val="32"/>
          <w:szCs w:val="32"/>
        </w:rPr>
        <w:t>其中：因公出国（境）费</w:t>
      </w:r>
      <w:r>
        <w:rPr>
          <w:rFonts w:hint="eastAsia" w:ascii="仿宋_GB2312" w:eastAsia="仿宋_GB2312"/>
          <w:sz w:val="32"/>
          <w:szCs w:val="32"/>
        </w:rPr>
        <w:t>预算数0.00万元，决算数0.00万元，预决算差异率0.00%，差异主要原因本单位无因公出国（境）费；</w:t>
      </w:r>
      <w:r>
        <w:rPr>
          <w:rFonts w:hint="eastAsia" w:ascii="仿宋_GB2312" w:hAnsi="宋体" w:eastAsia="仿宋_GB2312" w:cs="宋体"/>
          <w:kern w:val="0"/>
          <w:sz w:val="32"/>
          <w:szCs w:val="32"/>
        </w:rPr>
        <w:t>公务用车购置</w:t>
      </w:r>
      <w:r>
        <w:rPr>
          <w:rFonts w:hint="eastAsia" w:ascii="仿宋_GB2312" w:eastAsia="仿宋_GB2312"/>
          <w:sz w:val="32"/>
          <w:szCs w:val="32"/>
        </w:rPr>
        <w:t>预算数0万元，决算数0.00万元，预决算差异率0.00%，差异主要原因无</w:t>
      </w:r>
      <w:r>
        <w:rPr>
          <w:rFonts w:hint="eastAsia" w:ascii="仿宋_GB2312" w:hAnsi="宋体" w:eastAsia="仿宋_GB2312" w:cs="宋体"/>
          <w:kern w:val="0"/>
          <w:sz w:val="32"/>
          <w:szCs w:val="32"/>
        </w:rPr>
        <w:t>公务用车购置</w:t>
      </w:r>
      <w:r>
        <w:rPr>
          <w:rFonts w:hint="eastAsia" w:ascii="仿宋_GB2312" w:eastAsia="仿宋_GB2312"/>
          <w:sz w:val="32"/>
          <w:szCs w:val="32"/>
        </w:rPr>
        <w:t>；</w:t>
      </w:r>
      <w:r>
        <w:rPr>
          <w:rFonts w:hint="eastAsia" w:ascii="仿宋_GB2312" w:hAnsi="宋体" w:eastAsia="仿宋_GB2312" w:cs="宋体"/>
          <w:kern w:val="0"/>
          <w:sz w:val="32"/>
          <w:szCs w:val="32"/>
        </w:rPr>
        <w:t>公务用车运行费</w:t>
      </w:r>
      <w:r>
        <w:rPr>
          <w:rFonts w:hint="eastAsia" w:ascii="仿宋_GB2312" w:eastAsia="仿宋_GB2312"/>
          <w:sz w:val="32"/>
          <w:szCs w:val="32"/>
        </w:rPr>
        <w:t>预算数0.00万元，决算数0.00万元，预决算差异率0.00%，差异主要原因无</w:t>
      </w:r>
      <w:r>
        <w:rPr>
          <w:rFonts w:hint="eastAsia" w:ascii="仿宋_GB2312" w:hAnsi="宋体" w:eastAsia="仿宋_GB2312" w:cs="宋体"/>
          <w:kern w:val="0"/>
          <w:sz w:val="32"/>
          <w:szCs w:val="32"/>
        </w:rPr>
        <w:t>公务用车运行费</w:t>
      </w:r>
      <w:r>
        <w:rPr>
          <w:rFonts w:hint="eastAsia" w:ascii="仿宋_GB2312" w:eastAsia="仿宋_GB2312"/>
          <w:sz w:val="32"/>
          <w:szCs w:val="32"/>
        </w:rPr>
        <w:t>；</w:t>
      </w:r>
      <w:r>
        <w:rPr>
          <w:rFonts w:hint="eastAsia" w:ascii="仿宋_GB2312" w:hAnsi="宋体" w:eastAsia="仿宋_GB2312" w:cs="宋体"/>
          <w:kern w:val="0"/>
          <w:sz w:val="32"/>
          <w:szCs w:val="32"/>
        </w:rPr>
        <w:t>公务接待费</w:t>
      </w:r>
      <w:r>
        <w:rPr>
          <w:rFonts w:hint="eastAsia" w:ascii="仿宋_GB2312" w:eastAsia="仿宋_GB2312"/>
          <w:sz w:val="32"/>
          <w:szCs w:val="32"/>
        </w:rPr>
        <w:t>预算数0.00万元，决算数0.00万元，预决算差异率0.00%，差异主要原因无</w:t>
      </w:r>
      <w:r>
        <w:rPr>
          <w:rFonts w:hint="eastAsia" w:ascii="仿宋_GB2312" w:hAnsi="宋体" w:eastAsia="仿宋_GB2312" w:cs="宋体"/>
          <w:kern w:val="0"/>
          <w:sz w:val="32"/>
          <w:szCs w:val="32"/>
        </w:rPr>
        <w:t>公务接待费</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五、机关运行经费支出情况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新疆乌鲁木齐县永合小学（事业单位）日常公用经费25.12万元，比上年增加3.37万元，增长15.49%，主要原因是</w:t>
      </w:r>
      <w:r>
        <w:rPr>
          <w:rFonts w:hint="eastAsia" w:ascii="仿宋_GB2312" w:eastAsia="仿宋_GB2312"/>
          <w:sz w:val="32"/>
          <w:szCs w:val="32"/>
          <w:lang w:eastAsia="zh-CN"/>
        </w:rPr>
        <w:t>业务需要，办公用品增加</w:t>
      </w:r>
      <w:r>
        <w:rPr>
          <w:rFonts w:hint="eastAsia" w:ascii="仿宋_GB2312" w:eastAsia="仿宋_GB2312"/>
          <w:sz w:val="32"/>
          <w:szCs w:val="32"/>
        </w:rPr>
        <w:t>。</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六、政府采购情况</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2018年度政府采购支出总额25.80万元，其中：政府采购货物支出24.47万元、政府采购工程支出0.00万元、政府采购服务支出1.33万元。</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七、其他重要事项的情况</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（一）国有资产占用情况说明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截至2018年12月31日，单位共有车辆0辆，价值0.00万元，其中：副部（省）级及以上领导用车0辆、主要领导干部用车0辆、机要通信用车0辆、应急保障用车0辆、执法执勤用车0辆、特种专业技术用车0辆、离退休干部用车0辆、其他用车0辆，其他用车主要是：无其他用车；单位价值50万元以上通用设备1台（套）、单位价值100万元以上专用设备0台（套）。</w:t>
      </w:r>
    </w:p>
    <w:p>
      <w:pPr>
        <w:spacing w:line="540" w:lineRule="exact"/>
        <w:ind w:firstLine="643" w:firstLineChars="200"/>
        <w:rPr>
          <w:rFonts w:ascii="楷体_GB2312" w:eastAsia="楷体_GB2312"/>
          <w:b/>
          <w:bCs/>
          <w:sz w:val="32"/>
          <w:szCs w:val="32"/>
        </w:rPr>
      </w:pPr>
      <w:r>
        <w:rPr>
          <w:rFonts w:hint="eastAsia" w:ascii="楷体_GB2312" w:eastAsia="楷体_GB2312"/>
          <w:b/>
          <w:bCs/>
          <w:sz w:val="32"/>
          <w:szCs w:val="32"/>
        </w:rPr>
        <w:t>（二）预算绩效情况的说明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2018年度，本部门单位预算绩效自评情况：自述有关预算绩效管理和绩效自评开展情况。</w:t>
      </w:r>
    </w:p>
    <w:p>
      <w:pPr>
        <w:spacing w:line="540" w:lineRule="exact"/>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市级品牌学校创建项目绩效自评综述：根据年初设定的绩效目标，市级品牌学校创建项目绩效自评得分为92分。项目全年预算数为5万元，执行数为5万元，完成预算的100%。主要产出和效果：市级品牌学校创建项目，本质上是提升学校价值取向，从而提高教师自信心；另外能够引进更加先进的教学资源，使得真正体现我们的学校特色。发现的问题及原因：缺乏主动性，由于预算绩效管理的专业性、复杂性等特性，业务水平还不能满足绩效管理工作要求，专业素质有待提高.</w:t>
      </w:r>
    </w:p>
    <w:p>
      <w:pPr>
        <w:spacing w:line="540" w:lineRule="exact"/>
        <w:ind w:firstLine="579" w:firstLineChars="181"/>
        <w:rPr>
          <w:rFonts w:asciiTheme="minorEastAsia" w:hAnsiTheme="minorEastAsia"/>
          <w:b/>
          <w:spacing w:val="-4"/>
          <w:sz w:val="32"/>
          <w:szCs w:val="32"/>
        </w:rPr>
      </w:pPr>
      <w:r>
        <w:rPr>
          <w:rFonts w:hint="eastAsia" w:ascii="仿宋_GB2312" w:eastAsia="仿宋_GB2312"/>
          <w:sz w:val="32"/>
          <w:szCs w:val="32"/>
        </w:rPr>
        <w:t>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t>
            </w:r>
            <w:r>
              <w:rPr>
                <w:rFonts w:asciiTheme="minorEastAsia" w:hAnsiTheme="minorEastAsia"/>
                <w:kern w:val="0"/>
                <w:sz w:val="24"/>
              </w:rPr>
              <w:t xml:space="preserve">  2018 </w:t>
            </w:r>
            <w:r>
              <w:rPr>
                <w:rFonts w:hint="eastAsia" w:cs="宋体" w:asciiTheme="minorEastAsia" w:hAnsiTheme="minorEastAsia"/>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14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36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08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88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206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780" w:type="dxa"/>
            <w:tcBorders>
              <w:top w:val="nil"/>
              <w:left w:val="nil"/>
              <w:bottom w:val="nil"/>
              <w:right w:val="nil"/>
            </w:tcBorders>
            <w:vAlign w:val="center"/>
          </w:tcPr>
          <w:p>
            <w:pPr>
              <w:widowControl/>
              <w:jc w:val="center"/>
              <w:rPr>
                <w:rFonts w:cs="宋体" w:asciiTheme="minorEastAsia" w:hAnsiTheme="minorEastAsia"/>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市级品牌学校创建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预算</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执行</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5　</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5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5</w:t>
            </w:r>
          </w:p>
        </w:tc>
        <w:tc>
          <w:tcPr>
            <w:tcW w:w="2060" w:type="dxa"/>
            <w:tcBorders>
              <w:top w:val="nil"/>
              <w:left w:val="nil"/>
              <w:bottom w:val="nil"/>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5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年度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目标</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完成</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市级品牌学校创建项目，本质上是提升学校价值取向，从而提高教师自信心；另外能够引进更加先进的教学资源，使得真正体现我们的学校特色。</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市级品牌学校创建项目，本质上是提升学校价值取向，从而提高教师自信心；另外能够引进更加先进的教学资源，使得真正体现我们的学校特色。</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年度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绩效</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完成</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p>
        </w:tc>
        <w:tc>
          <w:tcPr>
            <w:tcW w:w="1140" w:type="dxa"/>
            <w:tcBorders>
              <w:top w:val="nil"/>
              <w:left w:val="nil"/>
              <w:bottom w:val="nil"/>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330人</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：市级品牌学校创建</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1所小学</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5万元</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5万元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经济效益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：提高教育教学质量</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社会效益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：提高学生素质</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生态效益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：促进学校品牌特色</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促进了学校品牌特色</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可持续影响</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满意度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spacing w:line="540" w:lineRule="exact"/>
        <w:ind w:firstLine="567" w:firstLineChars="181"/>
        <w:rPr>
          <w:rFonts w:asciiTheme="minorEastAsia" w:hAnsiTheme="minorEastAsia"/>
          <w:b/>
          <w:spacing w:val="-4"/>
          <w:sz w:val="32"/>
          <w:szCs w:val="32"/>
        </w:rPr>
      </w:pPr>
    </w:p>
    <w:p>
      <w:pPr>
        <w:pStyle w:val="14"/>
        <w:adjustRightInd w:val="0"/>
        <w:snapToGrid w:val="0"/>
        <w:spacing w:line="600" w:lineRule="exact"/>
        <w:rPr>
          <w:rFonts w:ascii="宋体" w:hAnsi="宋体" w:cs="宋体"/>
          <w:bCs/>
          <w:sz w:val="32"/>
          <w:szCs w:val="32"/>
          <w:lang w:eastAsia="zh-CN"/>
        </w:rPr>
      </w:pPr>
      <w:r>
        <w:rPr>
          <w:rFonts w:hint="eastAsia" w:ascii="仿宋_GB2312" w:eastAsia="仿宋_GB2312"/>
          <w:sz w:val="32"/>
          <w:szCs w:val="32"/>
        </w:rPr>
        <w:t>暖气管线维修改造项目绩效自评综述：根据年初设定的绩效目标，暖气管线维修改造项目绩效自评得分为92分。项目全年预算数为15万元，执行数为5.78万元，完成预算的38.53%。主要产出和效果：暖气管线维修改造项目是保障教育教学顺利完成的前提条件，通过对老化的管线进行更换，对不能够正常工作的设备进行淘汰更新，做到防患于未然。发现的问题及原因：缺乏主动性，由于预算绩效管理的专业性、复杂性等特性，业务水平还不能满足绩效管理工作要求，专业素质有待提高。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暖气管线维修改造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15</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5.78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15</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5.78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暖气管线维修改造项目是保障教育教学顺利完成的前提条件，通过对老化的管线进行更换，对不能够正常工作的设备进行淘汰更新，做到防患于未然。</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暖气管线维修改造项目是保障教育教学顺利完成的前提条件，通过对老化的管线进行更换，对不能够正常工作的设备进行淘汰更新，做到防患于未然。</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330人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：暖气管线维修改造</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基本完成项目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15万元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15万元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：保障教育教学正常进行</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：改善办学条件</w:t>
            </w:r>
          </w:p>
        </w:tc>
        <w:tc>
          <w:tcPr>
            <w:tcW w:w="2060" w:type="dxa"/>
            <w:tcBorders>
              <w:top w:val="nil"/>
              <w:left w:val="nil"/>
              <w:bottom w:val="single" w:color="auto" w:sz="4" w:space="0"/>
              <w:right w:val="single" w:color="auto" w:sz="4" w:space="0"/>
            </w:tcBorders>
          </w:tcPr>
          <w:p>
            <w:r>
              <w:rPr>
                <w:rFonts w:hint="eastAsia" w:ascii="宋体" w:hAnsi="宋体" w:cs="宋体"/>
                <w:kern w:val="0"/>
                <w:sz w:val="20"/>
                <w:szCs w:val="20"/>
              </w:rPr>
              <w:t>改善办学条件</w:t>
            </w:r>
          </w:p>
        </w:tc>
        <w:tc>
          <w:tcPr>
            <w:tcW w:w="1780" w:type="dxa"/>
            <w:tcBorders>
              <w:top w:val="nil"/>
              <w:left w:val="nil"/>
              <w:bottom w:val="single" w:color="auto" w:sz="4" w:space="0"/>
              <w:right w:val="single" w:color="auto" w:sz="4" w:space="0"/>
            </w:tcBorders>
          </w:tcPr>
          <w:p>
            <w:r>
              <w:rPr>
                <w:rFonts w:hint="eastAsia" w:ascii="宋体" w:hAnsi="宋体" w:cs="宋体"/>
                <w:kern w:val="0"/>
                <w:sz w:val="20"/>
                <w:szCs w:val="20"/>
              </w:rPr>
              <w:t>改善了办学条件</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：促进学校管理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促进了学校管理</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14"/>
        <w:adjustRightInd w:val="0"/>
        <w:snapToGrid w:val="0"/>
        <w:spacing w:line="600" w:lineRule="exact"/>
        <w:rPr>
          <w:rFonts w:ascii="宋体" w:hAnsi="宋体" w:cs="宋体"/>
          <w:bCs/>
          <w:sz w:val="32"/>
          <w:szCs w:val="32"/>
          <w:lang w:eastAsia="zh-CN"/>
        </w:rPr>
      </w:pPr>
    </w:p>
    <w:p>
      <w:pPr>
        <w:pStyle w:val="14"/>
        <w:adjustRightInd w:val="0"/>
        <w:snapToGrid w:val="0"/>
        <w:spacing w:line="600" w:lineRule="exact"/>
        <w:rPr>
          <w:rFonts w:ascii="宋体" w:hAnsi="宋体" w:cs="宋体"/>
          <w:bCs/>
          <w:sz w:val="32"/>
          <w:szCs w:val="32"/>
          <w:lang w:eastAsia="zh-CN"/>
        </w:rPr>
      </w:pPr>
      <w:r>
        <w:rPr>
          <w:rFonts w:hint="eastAsia" w:ascii="仿宋_GB2312" w:eastAsia="仿宋_GB2312"/>
          <w:sz w:val="32"/>
          <w:szCs w:val="32"/>
        </w:rPr>
        <w:t>道路硬化项目绩效自评综述：根据年初设定的绩效目标，道路硬化项目绩效自评得分为88分。项目全年预算数为18万元，执行数为18万元，完成预算的100%。主要产出和效果：学校连接幼儿园的道路是关系到学生和幼儿的安全，为了进一步优化育人环境，营造良好的育人氛围，进行道路硬化建设。发现的问题及原因：缺乏主动性，由于预算绩效管理的专业性、复杂性等特性，业务水平还不能满足绩效管理工作要求，专业素质有待提高。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道路硬化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18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18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18</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18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学校连接幼儿园的道路是关系到学生和幼儿的安全，为了进一步优化育人环境，营造良好的育人氛围，进行道路硬化建设。</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学校连接幼儿园的道路是关系到学生和幼儿的安全，为了进一步优化育人环境，营造良好的育人氛围，进行道路硬化建设。</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：永合小学及幼儿园所有的受益师生数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420人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：道路硬化</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1所小学1所幼儿园</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1所小学1所幼儿园</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18万元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18万元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：道路硬化质量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：提高安全意识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：促进学生健康发展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促进了学生健康发展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pStyle w:val="14"/>
        <w:adjustRightInd w:val="0"/>
        <w:snapToGrid w:val="0"/>
        <w:spacing w:line="600" w:lineRule="exact"/>
        <w:rPr>
          <w:rFonts w:ascii="仿宋_GB2312" w:eastAsia="仿宋_GB2312" w:hAnsiTheme="minorHAnsi" w:cstheme="minorBidi"/>
          <w:kern w:val="2"/>
          <w:sz w:val="32"/>
          <w:szCs w:val="32"/>
          <w:lang w:eastAsia="zh-CN"/>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名校长工作室项目绩效自评综述：根据年初设定的绩效目标，名校长工作室　项目绩效自评得分为87分。项目全年预算数为3.6万元，执行数为3.6万元，完成预算的100%。主要产出和效果：名校长工作室的成立，不仅扩大了学校更多知识能力的储备，而且促进了学校教育教学质量的提升。发现的问题及原因：</w:t>
      </w:r>
      <w:r>
        <w:rPr>
          <w:rFonts w:hint="eastAsia" w:ascii="宋体" w:hAnsi="宋体" w:cs="宋体"/>
          <w:bCs/>
          <w:sz w:val="32"/>
          <w:szCs w:val="32"/>
        </w:rPr>
        <w:t>缺乏主动性，由于预算绩效管理的专业性、复杂性等特性，业务水平还不能满足</w:t>
      </w:r>
      <w:r>
        <w:rPr>
          <w:rFonts w:hint="eastAsia" w:ascii="仿宋_GB2312" w:eastAsia="仿宋_GB2312"/>
          <w:sz w:val="32"/>
          <w:szCs w:val="32"/>
        </w:rPr>
        <w:t>绩效管理工作要求，专业素质有待提高。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名校长工作室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3.6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3.6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3.6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3.6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名校长工作室的成立，不仅扩大了学校更多知识能力的储备，而且促进了学校教育教学质量的提升。</w:t>
            </w:r>
          </w:p>
        </w:tc>
        <w:tc>
          <w:tcPr>
            <w:tcW w:w="3840" w:type="dxa"/>
            <w:gridSpan w:val="2"/>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名校长工作室的成立，不仅扩大了学校更多知识能力的储备，而且促进了学校教育教学质量的提升。</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330人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：名校长工作室</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3.6万元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3.6万元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：农村教师教学质量</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：提高教师综合素质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：促进教师发展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促进了教师发展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：改善小学教师队伍建设</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冰上示范校项目绩效自评综述：根据年初设定的绩效目标，冰上示范校项目绩效自评得分为86分。项目全年预算数为1.74万元，执行数为1.74万元，完成预算的100%。主要产出和效果：学校利用得天独厚的冰雪资源开发了速度滑冰校本课程，申请了冰上示范校项目，深受学生的喜欢，也逐步成为学校特色。发现的问题及原因：缺乏主动性，由于预算绩效管理的专业性、复杂性等特性，业务水平还不能满足绩效管理工作要求，专业素质有待提高。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冰上示范校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1.74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1.74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1</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　0.74</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0.74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left"/>
              <w:rPr>
                <w:rFonts w:ascii="宋体" w:cs="宋体"/>
                <w:kern w:val="0"/>
                <w:sz w:val="24"/>
              </w:rPr>
            </w:pPr>
            <w:r>
              <w:rPr>
                <w:rFonts w:hint="eastAsia" w:ascii="宋体" w:hAnsi="宋体" w:cs="宋体"/>
                <w:color w:val="000000"/>
                <w:kern w:val="0"/>
                <w:sz w:val="18"/>
                <w:szCs w:val="18"/>
              </w:rPr>
              <w:t>能够利用学校得天独厚的冰雪资源，开发速度滑冰校本课程，赢得学生的喜欢，逐步成为学校特色。</w:t>
            </w:r>
            <w:r>
              <w:rPr>
                <w:rFonts w:hint="eastAsia" w:ascii="宋体" w:hAnsi="宋体" w:cs="宋体"/>
                <w:kern w:val="0"/>
                <w:sz w:val="18"/>
                <w:szCs w:val="18"/>
              </w:rPr>
              <w:t>　</w:t>
            </w:r>
          </w:p>
        </w:tc>
        <w:tc>
          <w:tcPr>
            <w:tcW w:w="3840" w:type="dxa"/>
            <w:gridSpan w:val="2"/>
            <w:tcBorders>
              <w:top w:val="single" w:color="auto" w:sz="4" w:space="0"/>
              <w:left w:val="nil"/>
              <w:bottom w:val="single" w:color="auto" w:sz="4" w:space="0"/>
              <w:right w:val="single" w:color="000000" w:sz="4" w:space="0"/>
            </w:tcBorders>
          </w:tcPr>
          <w:p>
            <w:pPr>
              <w:widowControl/>
              <w:jc w:val="left"/>
              <w:rPr>
                <w:rFonts w:ascii="宋体" w:cs="宋体"/>
                <w:kern w:val="0"/>
                <w:sz w:val="20"/>
                <w:szCs w:val="20"/>
              </w:rPr>
            </w:pPr>
            <w:r>
              <w:rPr>
                <w:rFonts w:hint="eastAsia" w:ascii="宋体" w:hAnsi="宋体" w:cs="宋体"/>
                <w:color w:val="000000"/>
                <w:kern w:val="0"/>
                <w:sz w:val="18"/>
                <w:szCs w:val="18"/>
              </w:rPr>
              <w:t>学校利用得天独厚的冰雪资源开发了速度滑冰校本课程，申请了冰上示范校项目，深受学生的喜欢，也逐步成为学校特色。</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330人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：冰上示范校</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：农村学生家庭经济负担</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：提高学生素质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提高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显著提高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：促进学生健康发展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促进了学生健康发展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ind w:firstLine="640" w:firstLineChars="200"/>
        <w:rPr>
          <w:rFonts w:ascii="仿宋_GB2312" w:eastAsia="仿宋_GB2312"/>
          <w:sz w:val="32"/>
          <w:szCs w:val="32"/>
        </w:rPr>
      </w:pPr>
    </w:p>
    <w:p>
      <w:pPr>
        <w:spacing w:line="540" w:lineRule="exact"/>
        <w:ind w:firstLine="564" w:firstLineChars="181"/>
        <w:rPr>
          <w:rFonts w:asciiTheme="minorEastAsia" w:hAnsiTheme="minorEastAsia"/>
          <w:spacing w:val="-4"/>
          <w:sz w:val="32"/>
          <w:szCs w:val="32"/>
        </w:rPr>
      </w:pPr>
      <w:r>
        <w:rPr>
          <w:rFonts w:hint="eastAsia" w:asciiTheme="minorEastAsia" w:hAnsiTheme="minorEastAsia"/>
          <w:spacing w:val="-4"/>
          <w:sz w:val="32"/>
          <w:szCs w:val="32"/>
        </w:rPr>
        <w:t>变压器购置安排项目绩效自评综述：根据年初设定的绩效目标，变压器购置安排项目绩效自评得分为88分。项目全年预算数为63.26万元，执行数为63.26万元，完成预算的100%。主要产出和效果：为了能够确保学校正常用电，保障教育教学顺利完成，对老化变压器进行购置更换。发现的问题及原因：缺乏主动性，由于预算绩效管理的专业性、复杂性等特性，业务水平还不能满足绩效管理工作要求，专业素质有待提高。</w:t>
      </w:r>
      <w:r>
        <w:rPr>
          <w:rFonts w:hint="eastAsia" w:ascii="仿宋_GB2312" w:eastAsia="仿宋_GB2312"/>
          <w:sz w:val="32"/>
          <w:szCs w:val="32"/>
        </w:rPr>
        <w:t>下一步改进措施：</w:t>
      </w:r>
      <w:r>
        <w:rPr>
          <w:rFonts w:hint="eastAsia" w:asciiTheme="minorEastAsia" w:hAnsiTheme="minorEastAsia"/>
          <w:spacing w:val="-4"/>
          <w:sz w:val="32"/>
          <w:szCs w:val="32"/>
        </w:rPr>
        <w:t>及时做好2019年项目计划制定可行性方案并及时申报项目资金，做好项目的动态监管，切时做到专款专用，改善办园条件</w:t>
      </w:r>
      <w:r>
        <w:rPr>
          <w:rFonts w:hint="eastAsia" w:ascii="仿宋_GB2312" w:eastAsia="仿宋_GB2312"/>
          <w:sz w:val="32"/>
          <w:szCs w:val="32"/>
        </w:rPr>
        <w:t>。有关项目自评情况可以附项目支出绩效自评表。</w:t>
      </w:r>
    </w:p>
    <w:tbl>
      <w:tblPr>
        <w:tblStyle w:val="6"/>
        <w:tblW w:w="9513"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2273"/>
      </w:tblGrid>
      <w:tr>
        <w:tblPrEx>
          <w:tblCellMar>
            <w:top w:w="0" w:type="dxa"/>
            <w:left w:w="108" w:type="dxa"/>
            <w:bottom w:w="0" w:type="dxa"/>
            <w:right w:w="108" w:type="dxa"/>
          </w:tblCellMar>
        </w:tblPrEx>
        <w:trPr>
          <w:trHeight w:val="405" w:hRule="atLeast"/>
        </w:trPr>
        <w:tc>
          <w:tcPr>
            <w:tcW w:w="9513" w:type="dxa"/>
            <w:gridSpan w:val="7"/>
            <w:tcBorders>
              <w:top w:val="nil"/>
              <w:left w:val="nil"/>
              <w:bottom w:val="nil"/>
              <w:right w:val="nil"/>
            </w:tcBorders>
            <w:vAlign w:val="center"/>
          </w:tcPr>
          <w:p>
            <w:pPr>
              <w:widowControl/>
              <w:jc w:val="center"/>
              <w:rPr>
                <w:rFonts w:cs="宋体" w:asciiTheme="minorEastAsia" w:hAnsiTheme="minorEastAsia"/>
                <w:b/>
                <w:bCs/>
                <w:kern w:val="0"/>
                <w:sz w:val="32"/>
                <w:szCs w:val="32"/>
              </w:rPr>
            </w:pPr>
            <w:r>
              <w:rPr>
                <w:rFonts w:hint="eastAsia" w:cs="宋体" w:asciiTheme="minorEastAsia" w:hAnsiTheme="minorEastAsia"/>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513" w:type="dxa"/>
            <w:gridSpan w:val="7"/>
            <w:tcBorders>
              <w:top w:val="nil"/>
              <w:left w:val="nil"/>
              <w:bottom w:val="nil"/>
              <w:right w:val="nil"/>
            </w:tcBorders>
            <w:vAlign w:val="center"/>
          </w:tcPr>
          <w:p>
            <w:pPr>
              <w:widowControl/>
              <w:jc w:val="center"/>
              <w:rPr>
                <w:rFonts w:cs="宋体" w:asciiTheme="minorEastAsia" w:hAnsiTheme="minorEastAsia"/>
                <w:kern w:val="0"/>
                <w:sz w:val="24"/>
              </w:rPr>
            </w:pPr>
            <w:r>
              <w:rPr>
                <w:rFonts w:hint="eastAsia" w:cs="宋体" w:asciiTheme="minorEastAsia" w:hAnsiTheme="minorEastAsia"/>
                <w:kern w:val="0"/>
                <w:sz w:val="24"/>
              </w:rPr>
              <w:t>（</w:t>
            </w:r>
            <w:r>
              <w:rPr>
                <w:rFonts w:asciiTheme="minorEastAsia" w:hAnsiTheme="minorEastAsia"/>
                <w:kern w:val="0"/>
                <w:sz w:val="24"/>
              </w:rPr>
              <w:t xml:space="preserve">  2018 </w:t>
            </w:r>
            <w:r>
              <w:rPr>
                <w:rFonts w:hint="eastAsia" w:cs="宋体" w:asciiTheme="minorEastAsia" w:hAnsiTheme="minorEastAsia"/>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14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36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108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88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2060" w:type="dxa"/>
            <w:tcBorders>
              <w:top w:val="nil"/>
              <w:left w:val="nil"/>
              <w:bottom w:val="nil"/>
              <w:right w:val="nil"/>
            </w:tcBorders>
            <w:vAlign w:val="center"/>
          </w:tcPr>
          <w:p>
            <w:pPr>
              <w:widowControl/>
              <w:jc w:val="center"/>
              <w:rPr>
                <w:rFonts w:cs="宋体" w:asciiTheme="minorEastAsia" w:hAnsiTheme="minorEastAsia"/>
                <w:kern w:val="0"/>
                <w:sz w:val="24"/>
              </w:rPr>
            </w:pPr>
          </w:p>
        </w:tc>
        <w:tc>
          <w:tcPr>
            <w:tcW w:w="2273" w:type="dxa"/>
            <w:tcBorders>
              <w:top w:val="nil"/>
              <w:left w:val="nil"/>
              <w:bottom w:val="nil"/>
              <w:right w:val="nil"/>
            </w:tcBorders>
            <w:vAlign w:val="center"/>
          </w:tcPr>
          <w:p>
            <w:pPr>
              <w:widowControl/>
              <w:jc w:val="center"/>
              <w:rPr>
                <w:rFonts w:cs="宋体" w:asciiTheme="minorEastAsia" w:hAnsiTheme="minorEastAsia"/>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项目名称</w:t>
            </w:r>
          </w:p>
        </w:tc>
        <w:tc>
          <w:tcPr>
            <w:tcW w:w="6293"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变压器购置安排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预算单位</w:t>
            </w:r>
          </w:p>
        </w:tc>
        <w:tc>
          <w:tcPr>
            <w:tcW w:w="6293" w:type="dxa"/>
            <w:gridSpan w:val="4"/>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预算</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执行</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63.26　</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执行数：</w:t>
            </w:r>
          </w:p>
        </w:tc>
        <w:tc>
          <w:tcPr>
            <w:tcW w:w="2273"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63.26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60.11　</w:t>
            </w:r>
          </w:p>
        </w:tc>
        <w:tc>
          <w:tcPr>
            <w:tcW w:w="2060" w:type="dxa"/>
            <w:tcBorders>
              <w:top w:val="nil"/>
              <w:left w:val="nil"/>
              <w:bottom w:val="nil"/>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其中：财政拨款</w:t>
            </w:r>
          </w:p>
        </w:tc>
        <w:tc>
          <w:tcPr>
            <w:tcW w:w="2273"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60.11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3.15　</w:t>
            </w:r>
          </w:p>
        </w:tc>
        <w:tc>
          <w:tcPr>
            <w:tcW w:w="2060" w:type="dxa"/>
            <w:tcBorders>
              <w:top w:val="single" w:color="auto" w:sz="4" w:space="0"/>
              <w:left w:val="nil"/>
              <w:bottom w:val="nil"/>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其他资金</w:t>
            </w:r>
          </w:p>
        </w:tc>
        <w:tc>
          <w:tcPr>
            <w:tcW w:w="2273" w:type="dxa"/>
            <w:tcBorders>
              <w:top w:val="nil"/>
              <w:left w:val="nil"/>
              <w:bottom w:val="single" w:color="auto" w:sz="4" w:space="0"/>
              <w:right w:val="single" w:color="auto" w:sz="4" w:space="0"/>
            </w:tcBorders>
            <w:vAlign w:val="center"/>
          </w:tcPr>
          <w:p>
            <w:pPr>
              <w:widowControl/>
              <w:jc w:val="right"/>
              <w:rPr>
                <w:rFonts w:cs="宋体" w:asciiTheme="minorEastAsia" w:hAnsiTheme="minorEastAsia"/>
                <w:kern w:val="0"/>
                <w:sz w:val="20"/>
                <w:szCs w:val="20"/>
              </w:rPr>
            </w:pPr>
            <w:r>
              <w:rPr>
                <w:rFonts w:hint="eastAsia" w:cs="宋体" w:asciiTheme="minorEastAsia" w:hAnsiTheme="minorEastAsia"/>
                <w:kern w:val="0"/>
                <w:sz w:val="20"/>
                <w:szCs w:val="20"/>
              </w:rPr>
              <w:t>3.15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年度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目标</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完成</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预期目标</w:t>
            </w:r>
          </w:p>
        </w:tc>
        <w:tc>
          <w:tcPr>
            <w:tcW w:w="4333"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　为了能够确保学校正常用电，保障教育教学顺利完成，对老化变压器进行购置更换。</w:t>
            </w:r>
          </w:p>
        </w:tc>
        <w:tc>
          <w:tcPr>
            <w:tcW w:w="4333" w:type="dxa"/>
            <w:gridSpan w:val="2"/>
            <w:tcBorders>
              <w:top w:val="single" w:color="auto" w:sz="4" w:space="0"/>
              <w:left w:val="nil"/>
              <w:bottom w:val="single" w:color="auto" w:sz="4" w:space="0"/>
              <w:right w:val="single" w:color="000000" w:sz="4" w:space="0"/>
            </w:tcBorders>
          </w:tcPr>
          <w:p>
            <w:pPr>
              <w:widowControl/>
              <w:jc w:val="center"/>
              <w:rPr>
                <w:rFonts w:hint="eastAsia" w:cs="宋体" w:asciiTheme="minorEastAsia" w:hAnsiTheme="minorEastAsia"/>
                <w:kern w:val="0"/>
                <w:sz w:val="20"/>
                <w:szCs w:val="20"/>
              </w:rPr>
            </w:pPr>
            <w:r>
              <w:rPr>
                <w:rFonts w:hint="eastAsia" w:cs="宋体" w:asciiTheme="minorEastAsia" w:hAnsiTheme="minorEastAsia"/>
                <w:kern w:val="0"/>
                <w:sz w:val="20"/>
                <w:szCs w:val="20"/>
              </w:rPr>
              <w:t>为了能够确保学校正常用电，保障教育教学顺利完成，对老化变压器进行购置更换。</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年度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绩效</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完成</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情况</w:t>
            </w:r>
          </w:p>
        </w:tc>
        <w:tc>
          <w:tcPr>
            <w:tcW w:w="1140" w:type="dxa"/>
            <w:tcBorders>
              <w:top w:val="nil"/>
              <w:left w:val="nil"/>
              <w:bottom w:val="nil"/>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预期指标值（包含数字及文字描述）</w:t>
            </w:r>
          </w:p>
        </w:tc>
        <w:tc>
          <w:tcPr>
            <w:tcW w:w="2273"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330人</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：变压器购置安排</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1所小学</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资金按时拨付</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按时完成项目</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60.11万元</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60.11万元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经济效益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w:t>
            </w:r>
            <w:r>
              <w:rPr>
                <w:rFonts w:cs="宋体" w:asciiTheme="minorEastAsia" w:hAnsiTheme="minorEastAsia"/>
                <w:kern w:val="0"/>
                <w:sz w:val="20"/>
                <w:szCs w:val="20"/>
              </w:rPr>
              <w:t xml:space="preserve"> </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社会效益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：保障学校正常用电</w:t>
            </w:r>
          </w:p>
        </w:tc>
        <w:tc>
          <w:tcPr>
            <w:tcW w:w="2060" w:type="dxa"/>
            <w:tcBorders>
              <w:top w:val="nil"/>
              <w:left w:val="nil"/>
              <w:bottom w:val="single" w:color="auto" w:sz="4" w:space="0"/>
              <w:right w:val="single" w:color="auto" w:sz="4" w:space="0"/>
            </w:tcBorders>
          </w:tcPr>
          <w:p>
            <w:r>
              <w:rPr>
                <w:rFonts w:hint="eastAsia" w:cs="宋体" w:asciiTheme="minorEastAsia" w:hAnsiTheme="minorEastAsia"/>
                <w:kern w:val="0"/>
                <w:sz w:val="20"/>
                <w:szCs w:val="20"/>
              </w:rPr>
              <w:t>保障学校正常用电</w:t>
            </w:r>
          </w:p>
        </w:tc>
        <w:tc>
          <w:tcPr>
            <w:tcW w:w="2273" w:type="dxa"/>
            <w:tcBorders>
              <w:top w:val="nil"/>
              <w:left w:val="nil"/>
              <w:bottom w:val="single" w:color="auto" w:sz="4" w:space="0"/>
              <w:right w:val="single" w:color="auto" w:sz="4" w:space="0"/>
            </w:tcBorders>
          </w:tcPr>
          <w:p>
            <w:r>
              <w:rPr>
                <w:rFonts w:hint="eastAsia" w:cs="宋体" w:asciiTheme="minorEastAsia" w:hAnsiTheme="minorEastAsia"/>
                <w:kern w:val="0"/>
                <w:sz w:val="20"/>
                <w:szCs w:val="20"/>
              </w:rPr>
              <w:t>保障学校正常用电</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生态效益</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：保障学校正常用电</w:t>
            </w:r>
          </w:p>
        </w:tc>
        <w:tc>
          <w:tcPr>
            <w:tcW w:w="2060" w:type="dxa"/>
            <w:tcBorders>
              <w:top w:val="nil"/>
              <w:left w:val="nil"/>
              <w:bottom w:val="single" w:color="auto" w:sz="4" w:space="0"/>
              <w:right w:val="single" w:color="auto" w:sz="4" w:space="0"/>
            </w:tcBorders>
          </w:tcPr>
          <w:p>
            <w:r>
              <w:rPr>
                <w:rFonts w:hint="eastAsia" w:cs="宋体" w:asciiTheme="minorEastAsia" w:hAnsiTheme="minorEastAsia"/>
                <w:kern w:val="0"/>
                <w:sz w:val="20"/>
                <w:szCs w:val="20"/>
              </w:rPr>
              <w:t>保障学校正常用电</w:t>
            </w:r>
          </w:p>
        </w:tc>
        <w:tc>
          <w:tcPr>
            <w:tcW w:w="2273" w:type="dxa"/>
            <w:tcBorders>
              <w:top w:val="nil"/>
              <w:left w:val="nil"/>
              <w:bottom w:val="single" w:color="auto" w:sz="4" w:space="0"/>
              <w:right w:val="single" w:color="auto" w:sz="4" w:space="0"/>
            </w:tcBorders>
          </w:tcPr>
          <w:p>
            <w:r>
              <w:rPr>
                <w:rFonts w:hint="eastAsia" w:cs="宋体" w:asciiTheme="minorEastAsia" w:hAnsiTheme="minorEastAsia"/>
                <w:kern w:val="0"/>
                <w:sz w:val="20"/>
                <w:szCs w:val="20"/>
              </w:rPr>
              <w:t>保障学校正常用电</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可持续影响</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改善</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满意度</w:t>
            </w:r>
            <w:r>
              <w:rPr>
                <w:rFonts w:cs="宋体" w:asciiTheme="minorEastAsia" w:hAnsiTheme="minorEastAsia"/>
                <w:kern w:val="0"/>
                <w:sz w:val="20"/>
                <w:szCs w:val="20"/>
              </w:rPr>
              <w:br w:type="textWrapping"/>
            </w:r>
            <w:r>
              <w:rPr>
                <w:rFonts w:hint="eastAsia" w:cs="宋体" w:asciiTheme="minorEastAsia" w:hAnsiTheme="minorEastAsia"/>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1</w:t>
            </w:r>
            <w:r>
              <w:rPr>
                <w:rFonts w:hint="eastAsia" w:cs="宋体" w:asciiTheme="minorEastAsia" w:hAnsiTheme="minorEastAsia"/>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&gt;95%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指标</w:t>
            </w:r>
            <w:r>
              <w:rPr>
                <w:rFonts w:cs="宋体" w:asciiTheme="minorEastAsia" w:hAnsiTheme="minorEastAsia"/>
                <w:kern w:val="0"/>
                <w:sz w:val="20"/>
                <w:szCs w:val="20"/>
              </w:rPr>
              <w:t>2</w:t>
            </w: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cs="宋体" w:asciiTheme="minorEastAsia" w:hAnsiTheme="minorEastAsia"/>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kern w:val="0"/>
                <w:sz w:val="20"/>
                <w:szCs w:val="20"/>
              </w:rPr>
            </w:pPr>
            <w:r>
              <w:rPr>
                <w:rFonts w:hint="eastAsia" w:cs="宋体" w:asciiTheme="minorEastAsia" w:hAnsiTheme="minorEastAsia"/>
                <w:kern w:val="0"/>
                <w:sz w:val="20"/>
                <w:szCs w:val="20"/>
              </w:rPr>
              <w:t>　</w:t>
            </w:r>
          </w:p>
        </w:tc>
        <w:tc>
          <w:tcPr>
            <w:tcW w:w="2273" w:type="dxa"/>
            <w:tcBorders>
              <w:top w:val="nil"/>
              <w:left w:val="nil"/>
              <w:bottom w:val="single" w:color="auto" w:sz="4" w:space="0"/>
              <w:right w:val="single" w:color="auto" w:sz="4" w:space="0"/>
            </w:tcBorders>
            <w:vAlign w:val="center"/>
          </w:tcPr>
          <w:p>
            <w:pPr>
              <w:widowControl/>
              <w:jc w:val="left"/>
              <w:rPr>
                <w:rFonts w:cs="宋体" w:asciiTheme="minorEastAsia" w:hAnsiTheme="minorEastAsia"/>
                <w:kern w:val="0"/>
                <w:sz w:val="20"/>
                <w:szCs w:val="20"/>
              </w:rPr>
            </w:pPr>
            <w:r>
              <w:rPr>
                <w:rFonts w:hint="eastAsia" w:cs="宋体" w:asciiTheme="minorEastAsia" w:hAnsiTheme="minorEastAsia"/>
                <w:kern w:val="0"/>
                <w:sz w:val="20"/>
                <w:szCs w:val="20"/>
              </w:rPr>
              <w:t>　</w:t>
            </w:r>
          </w:p>
        </w:tc>
      </w:tr>
    </w:tbl>
    <w:p>
      <w:pPr>
        <w:spacing w:line="540" w:lineRule="exact"/>
        <w:ind w:firstLine="564" w:firstLineChars="181"/>
        <w:rPr>
          <w:rFonts w:asciiTheme="minorEastAsia" w:hAnsiTheme="minorEastAsia"/>
          <w:spacing w:val="-4"/>
          <w:sz w:val="32"/>
          <w:szCs w:val="32"/>
        </w:rPr>
      </w:pPr>
    </w:p>
    <w:p>
      <w:pPr>
        <w:pStyle w:val="14"/>
        <w:adjustRightInd w:val="0"/>
        <w:snapToGrid w:val="0"/>
        <w:spacing w:line="600" w:lineRule="exact"/>
        <w:rPr>
          <w:rFonts w:ascii="宋体" w:hAnsi="宋体" w:cs="宋体"/>
          <w:bCs/>
          <w:sz w:val="32"/>
          <w:szCs w:val="32"/>
          <w:lang w:eastAsia="zh-CN"/>
        </w:rPr>
      </w:pPr>
      <w:r>
        <w:rPr>
          <w:rFonts w:hint="eastAsia" w:ascii="仿宋_GB2312" w:eastAsia="仿宋_GB2312"/>
          <w:sz w:val="32"/>
          <w:szCs w:val="32"/>
          <w:lang w:eastAsia="zh-CN"/>
        </w:rPr>
        <w:t>2018年县学校和幼儿园照明后厨监视器资金项目绩效自评综述：根据年初设定的绩效目标，2018年县学校和幼儿园照明后厨监视器资金项目绩效自评得分为89分。项目全年预算数为1万元，执行数为1万元，完成预算的100%。主要产出和效果：确保了食堂食品安全以及食堂管理的工作要求，在食堂安装监控器。发现的问题及原因：</w:t>
      </w:r>
      <w:r>
        <w:rPr>
          <w:rFonts w:hint="eastAsia" w:ascii="宋体" w:hAnsi="宋体" w:cs="宋体"/>
          <w:bCs/>
          <w:sz w:val="32"/>
          <w:szCs w:val="32"/>
          <w:lang w:eastAsia="zh-CN"/>
        </w:rPr>
        <w:t>缺乏主动性，由于预算绩效管</w:t>
      </w:r>
      <w:r>
        <w:rPr>
          <w:rFonts w:hint="eastAsia" w:ascii="仿宋_GB2312" w:eastAsia="仿宋_GB2312"/>
          <w:sz w:val="32"/>
          <w:szCs w:val="32"/>
        </w:rPr>
        <w:t>理的专业性、复杂性等特性，业务水平还不能满足绩效管理工作要求，专业素质有待提高。下一步改进措施：及时做好2019年项目计划制定可行性方案并及时申报项目资金，做好项目的动态监管，切时做到专款专用。有关项目自评情况可以附项目支出绩效自评表。</w:t>
      </w:r>
    </w:p>
    <w:tbl>
      <w:tblPr>
        <w:tblStyle w:val="6"/>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vAlign w:val="center"/>
          </w:tcPr>
          <w:p>
            <w:pPr>
              <w:widowControl/>
              <w:jc w:val="center"/>
              <w:rPr>
                <w:rFonts w:ascii="宋体" w:cs="宋体"/>
                <w:b/>
                <w:bCs/>
                <w:kern w:val="0"/>
                <w:sz w:val="32"/>
                <w:szCs w:val="32"/>
              </w:rPr>
            </w:pPr>
            <w:r>
              <w:rPr>
                <w:rFonts w:hint="eastAsia" w:ascii="宋体" w:hAnsi="宋体" w:cs="宋体"/>
                <w:b/>
                <w:bCs/>
                <w:kern w:val="0"/>
                <w:sz w:val="32"/>
                <w:szCs w:val="32"/>
              </w:rPr>
              <w:t>乌鲁木齐县财政项目支出绩效自评表</w:t>
            </w:r>
          </w:p>
        </w:tc>
      </w:tr>
      <w:tr>
        <w:tblPrEx>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vAlign w:val="center"/>
          </w:tcPr>
          <w:p>
            <w:pPr>
              <w:widowControl/>
              <w:jc w:val="center"/>
              <w:rPr>
                <w:rFonts w:ascii="宋体" w:cs="宋体"/>
                <w:kern w:val="0"/>
                <w:sz w:val="24"/>
              </w:rPr>
            </w:pPr>
            <w:r>
              <w:rPr>
                <w:rFonts w:hint="eastAsia" w:ascii="宋体" w:hAnsi="宋体" w:cs="宋体"/>
                <w:kern w:val="0"/>
                <w:sz w:val="24"/>
              </w:rPr>
              <w:t>（</w:t>
            </w:r>
            <w:r>
              <w:rPr>
                <w:kern w:val="0"/>
                <w:sz w:val="24"/>
              </w:rPr>
              <w:t xml:space="preserve">  2018 </w:t>
            </w:r>
            <w:r>
              <w:rPr>
                <w:rFonts w:hint="eastAsia" w:ascii="宋体" w:hAnsi="宋体" w:cs="宋体"/>
                <w:kern w:val="0"/>
                <w:sz w:val="24"/>
              </w:rPr>
              <w:t>年度）</w:t>
            </w:r>
          </w:p>
        </w:tc>
      </w:tr>
      <w:tr>
        <w:tblPrEx>
          <w:tblCellMar>
            <w:top w:w="0" w:type="dxa"/>
            <w:left w:w="108" w:type="dxa"/>
            <w:bottom w:w="0" w:type="dxa"/>
            <w:right w:w="108" w:type="dxa"/>
          </w:tblCellMar>
        </w:tblPrEx>
        <w:trPr>
          <w:trHeight w:val="285" w:hRule="atLeast"/>
        </w:trPr>
        <w:tc>
          <w:tcPr>
            <w:tcW w:w="720" w:type="dxa"/>
            <w:tcBorders>
              <w:top w:val="nil"/>
              <w:left w:val="nil"/>
              <w:bottom w:val="nil"/>
              <w:right w:val="nil"/>
            </w:tcBorders>
            <w:vAlign w:val="center"/>
          </w:tcPr>
          <w:p>
            <w:pPr>
              <w:widowControl/>
              <w:jc w:val="center"/>
              <w:rPr>
                <w:rFonts w:ascii="宋体" w:cs="宋体"/>
                <w:kern w:val="0"/>
                <w:sz w:val="24"/>
              </w:rPr>
            </w:pPr>
          </w:p>
        </w:tc>
        <w:tc>
          <w:tcPr>
            <w:tcW w:w="1140" w:type="dxa"/>
            <w:tcBorders>
              <w:top w:val="nil"/>
              <w:left w:val="nil"/>
              <w:bottom w:val="nil"/>
              <w:right w:val="nil"/>
            </w:tcBorders>
            <w:vAlign w:val="center"/>
          </w:tcPr>
          <w:p>
            <w:pPr>
              <w:widowControl/>
              <w:jc w:val="center"/>
              <w:rPr>
                <w:rFonts w:ascii="宋体" w:cs="宋体"/>
                <w:kern w:val="0"/>
                <w:sz w:val="24"/>
              </w:rPr>
            </w:pPr>
          </w:p>
        </w:tc>
        <w:tc>
          <w:tcPr>
            <w:tcW w:w="1360" w:type="dxa"/>
            <w:tcBorders>
              <w:top w:val="nil"/>
              <w:left w:val="nil"/>
              <w:bottom w:val="nil"/>
              <w:right w:val="nil"/>
            </w:tcBorders>
            <w:vAlign w:val="center"/>
          </w:tcPr>
          <w:p>
            <w:pPr>
              <w:widowControl/>
              <w:jc w:val="center"/>
              <w:rPr>
                <w:rFonts w:ascii="宋体" w:cs="宋体"/>
                <w:kern w:val="0"/>
                <w:sz w:val="24"/>
              </w:rPr>
            </w:pPr>
          </w:p>
        </w:tc>
        <w:tc>
          <w:tcPr>
            <w:tcW w:w="1080" w:type="dxa"/>
            <w:tcBorders>
              <w:top w:val="nil"/>
              <w:left w:val="nil"/>
              <w:bottom w:val="nil"/>
              <w:right w:val="nil"/>
            </w:tcBorders>
            <w:vAlign w:val="center"/>
          </w:tcPr>
          <w:p>
            <w:pPr>
              <w:widowControl/>
              <w:jc w:val="center"/>
              <w:rPr>
                <w:rFonts w:ascii="宋体" w:cs="宋体"/>
                <w:kern w:val="0"/>
                <w:sz w:val="24"/>
              </w:rPr>
            </w:pPr>
          </w:p>
        </w:tc>
        <w:tc>
          <w:tcPr>
            <w:tcW w:w="880" w:type="dxa"/>
            <w:tcBorders>
              <w:top w:val="nil"/>
              <w:left w:val="nil"/>
              <w:bottom w:val="nil"/>
              <w:right w:val="nil"/>
            </w:tcBorders>
            <w:vAlign w:val="center"/>
          </w:tcPr>
          <w:p>
            <w:pPr>
              <w:widowControl/>
              <w:jc w:val="center"/>
              <w:rPr>
                <w:rFonts w:ascii="宋体" w:cs="宋体"/>
                <w:kern w:val="0"/>
                <w:sz w:val="24"/>
              </w:rPr>
            </w:pPr>
          </w:p>
        </w:tc>
        <w:tc>
          <w:tcPr>
            <w:tcW w:w="2060" w:type="dxa"/>
            <w:tcBorders>
              <w:top w:val="nil"/>
              <w:left w:val="nil"/>
              <w:bottom w:val="nil"/>
              <w:right w:val="nil"/>
            </w:tcBorders>
            <w:vAlign w:val="center"/>
          </w:tcPr>
          <w:p>
            <w:pPr>
              <w:widowControl/>
              <w:jc w:val="center"/>
              <w:rPr>
                <w:rFonts w:ascii="宋体" w:cs="宋体"/>
                <w:kern w:val="0"/>
                <w:sz w:val="24"/>
              </w:rPr>
            </w:pPr>
          </w:p>
        </w:tc>
        <w:tc>
          <w:tcPr>
            <w:tcW w:w="1780" w:type="dxa"/>
            <w:tcBorders>
              <w:top w:val="nil"/>
              <w:left w:val="nil"/>
              <w:bottom w:val="nil"/>
              <w:right w:val="nil"/>
            </w:tcBorders>
            <w:vAlign w:val="center"/>
          </w:tcPr>
          <w:p>
            <w:pPr>
              <w:widowControl/>
              <w:jc w:val="center"/>
              <w:rPr>
                <w:rFonts w:ascii="宋体" w:cs="宋体"/>
                <w:kern w:val="0"/>
                <w:sz w:val="24"/>
              </w:rPr>
            </w:pPr>
          </w:p>
        </w:tc>
      </w:tr>
      <w:tr>
        <w:tblPrEx>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2018年县学校和幼儿园照明后厨监视器资金　</w:t>
            </w:r>
          </w:p>
        </w:tc>
      </w:tr>
      <w:tr>
        <w:tblPrEx>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乌鲁木齐县永合小学　</w:t>
            </w:r>
          </w:p>
        </w:tc>
      </w:tr>
      <w:tr>
        <w:tblPrEx>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预算</w:t>
            </w:r>
            <w:r>
              <w:rPr>
                <w:rFonts w:ascii="宋体" w:cs="宋体"/>
                <w:kern w:val="0"/>
                <w:sz w:val="20"/>
                <w:szCs w:val="20"/>
              </w:rPr>
              <w:br w:type="textWrapping"/>
            </w:r>
            <w:r>
              <w:rPr>
                <w:rFonts w:hint="eastAsia" w:ascii="宋体" w:hAnsi="宋体" w:cs="宋体"/>
                <w:kern w:val="0"/>
                <w:sz w:val="20"/>
                <w:szCs w:val="20"/>
              </w:rPr>
              <w:t>执行</w:t>
            </w:r>
            <w:r>
              <w:rPr>
                <w:rFonts w:ascii="宋体" w:cs="宋体"/>
                <w:kern w:val="0"/>
                <w:sz w:val="20"/>
                <w:szCs w:val="20"/>
              </w:rPr>
              <w:br w:type="textWrapping"/>
            </w:r>
            <w:r>
              <w:rPr>
                <w:rFonts w:hint="eastAsia" w:ascii="宋体" w:hAnsi="宋体" w:cs="宋体"/>
                <w:kern w:val="0"/>
                <w:sz w:val="20"/>
                <w:szCs w:val="20"/>
              </w:rPr>
              <w:t>情况</w:t>
            </w:r>
            <w:r>
              <w:rPr>
                <w:rFonts w:asci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预算数：</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执行数：</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　</w:t>
            </w:r>
          </w:p>
        </w:tc>
      </w:tr>
      <w:tr>
        <w:tblPrEx>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1　</w:t>
            </w:r>
          </w:p>
        </w:tc>
        <w:tc>
          <w:tcPr>
            <w:tcW w:w="2060" w:type="dxa"/>
            <w:tcBorders>
              <w:top w:val="nil"/>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1　</w:t>
            </w:r>
          </w:p>
        </w:tc>
      </w:tr>
      <w:tr>
        <w:tblPrEx>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0　</w:t>
            </w:r>
          </w:p>
        </w:tc>
        <w:tc>
          <w:tcPr>
            <w:tcW w:w="2060" w:type="dxa"/>
            <w:tcBorders>
              <w:top w:val="single" w:color="auto" w:sz="4" w:space="0"/>
              <w:left w:val="nil"/>
              <w:bottom w:val="nil"/>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vAlign w:val="center"/>
          </w:tcPr>
          <w:p>
            <w:pPr>
              <w:widowControl/>
              <w:jc w:val="right"/>
              <w:rPr>
                <w:rFonts w:ascii="宋体" w:cs="宋体"/>
                <w:kern w:val="0"/>
                <w:sz w:val="20"/>
                <w:szCs w:val="20"/>
              </w:rPr>
            </w:pPr>
            <w:r>
              <w:rPr>
                <w:rFonts w:hint="eastAsia" w:ascii="宋体" w:hAnsi="宋体" w:cs="宋体"/>
                <w:kern w:val="0"/>
                <w:sz w:val="20"/>
                <w:szCs w:val="20"/>
              </w:rPr>
              <w:t>0　</w:t>
            </w:r>
          </w:p>
        </w:tc>
      </w:tr>
      <w:tr>
        <w:tblPrEx>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目标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实际完成目标</w:t>
            </w:r>
          </w:p>
        </w:tc>
      </w:tr>
      <w:tr>
        <w:tblPrEx>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tcPr>
          <w:p>
            <w:pPr>
              <w:widowControl/>
              <w:spacing w:line="540" w:lineRule="exact"/>
              <w:ind w:firstLine="640"/>
              <w:jc w:val="left"/>
              <w:rPr>
                <w:rFonts w:ascii="宋体" w:cs="宋体"/>
                <w:kern w:val="0"/>
                <w:sz w:val="24"/>
              </w:rPr>
            </w:pPr>
            <w:r>
              <w:rPr>
                <w:rFonts w:hint="eastAsia" w:asciiTheme="majorEastAsia" w:hAnsiTheme="majorEastAsia" w:eastAsiaTheme="majorEastAsia" w:cstheme="majorEastAsia"/>
                <w:sz w:val="24"/>
              </w:rPr>
              <w:t>为了确保食堂食品安全以及食堂管理的工作要求，在食堂安装监控器。</w:t>
            </w:r>
          </w:p>
        </w:tc>
        <w:tc>
          <w:tcPr>
            <w:tcW w:w="3840" w:type="dxa"/>
            <w:gridSpan w:val="2"/>
            <w:tcBorders>
              <w:top w:val="single" w:color="auto" w:sz="4" w:space="0"/>
              <w:left w:val="nil"/>
              <w:bottom w:val="single" w:color="auto" w:sz="4" w:space="0"/>
              <w:right w:val="single" w:color="000000" w:sz="4" w:space="0"/>
            </w:tcBorders>
          </w:tcPr>
          <w:p>
            <w:pPr>
              <w:widowControl/>
              <w:spacing w:line="540" w:lineRule="exact"/>
              <w:ind w:firstLine="640"/>
              <w:jc w:val="left"/>
              <w:rPr>
                <w:rFonts w:ascii="宋体" w:cs="宋体"/>
                <w:kern w:val="0"/>
                <w:sz w:val="24"/>
              </w:rPr>
            </w:pPr>
            <w:r>
              <w:rPr>
                <w:rFonts w:hint="eastAsia" w:asciiTheme="majorEastAsia" w:hAnsiTheme="majorEastAsia" w:eastAsiaTheme="majorEastAsia" w:cstheme="majorEastAsia"/>
                <w:sz w:val="24"/>
              </w:rPr>
              <w:t>确保了食堂食品安全以及食堂管理的工作要求，在食堂安装监控器。</w:t>
            </w:r>
          </w:p>
        </w:tc>
      </w:tr>
      <w:tr>
        <w:tblPrEx>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年度</w:t>
            </w:r>
            <w:r>
              <w:rPr>
                <w:rFonts w:ascii="宋体" w:cs="宋体"/>
                <w:kern w:val="0"/>
                <w:sz w:val="20"/>
                <w:szCs w:val="20"/>
              </w:rPr>
              <w:br w:type="textWrapping"/>
            </w:r>
            <w:r>
              <w:rPr>
                <w:rFonts w:hint="eastAsia" w:ascii="宋体" w:hAnsi="宋体" w:cs="宋体"/>
                <w:kern w:val="0"/>
                <w:sz w:val="20"/>
                <w:szCs w:val="20"/>
              </w:rPr>
              <w:t>绩效</w:t>
            </w:r>
            <w:r>
              <w:rPr>
                <w:rFonts w:ascii="宋体" w:cs="宋体"/>
                <w:kern w:val="0"/>
                <w:sz w:val="20"/>
                <w:szCs w:val="20"/>
              </w:rPr>
              <w:br w:type="textWrapping"/>
            </w:r>
            <w:r>
              <w:rPr>
                <w:rFonts w:hint="eastAsia" w:ascii="宋体" w:hAnsi="宋体" w:cs="宋体"/>
                <w:kern w:val="0"/>
                <w:sz w:val="20"/>
                <w:szCs w:val="20"/>
              </w:rPr>
              <w:t>指标</w:t>
            </w:r>
            <w:r>
              <w:rPr>
                <w:rFonts w:ascii="宋体" w:cs="宋体"/>
                <w:kern w:val="0"/>
                <w:sz w:val="20"/>
                <w:szCs w:val="20"/>
              </w:rPr>
              <w:br w:type="textWrapping"/>
            </w:r>
            <w:r>
              <w:rPr>
                <w:rFonts w:hint="eastAsia" w:ascii="宋体" w:hAnsi="宋体" w:cs="宋体"/>
                <w:kern w:val="0"/>
                <w:sz w:val="20"/>
                <w:szCs w:val="20"/>
              </w:rPr>
              <w:t>完成</w:t>
            </w:r>
            <w:r>
              <w:rPr>
                <w:rFonts w:asci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实际完成指标值（包含数字及文字描述）</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：永合小学的受益师生数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330人</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100%受益</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2018年县学校和幼儿园照明后厨监视器覆盖学校数</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1所小学</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：资金按期拨付率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资金按时拨付</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：项目的完成率</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按时完成项目</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100%</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成本指标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：补助资金标准</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1万元</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经济效益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w:t>
            </w:r>
            <w:r>
              <w:rPr>
                <w:rFonts w:ascii="宋体" w:cs="宋体"/>
                <w:kern w:val="0"/>
                <w:sz w:val="20"/>
                <w:szCs w:val="20"/>
              </w:rPr>
              <w:t xml:space="preserve">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减轻</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社会效益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保障食堂食品安全</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保障食堂食品安全</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保障食堂食品安全</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生态效益</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：促进学生健康发展</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促进了学生健康发展</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可持续影响</w:t>
            </w:r>
            <w:r>
              <w:rPr>
                <w:rFonts w:asci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：改善小学办学条件</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改善</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显著改善</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w:t>
            </w:r>
            <w:r>
              <w:rPr>
                <w:rFonts w:asci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1</w:t>
            </w:r>
            <w:r>
              <w:rPr>
                <w:rFonts w:hint="eastAsia" w:ascii="宋体" w:hAnsi="宋体" w:cs="宋体"/>
                <w:kern w:val="0"/>
                <w:sz w:val="20"/>
                <w:szCs w:val="20"/>
              </w:rPr>
              <w:t>：学生家长满意度</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&gt;95%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&gt;98%</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指标</w:t>
            </w:r>
            <w:r>
              <w:rPr>
                <w:rFonts w:ascii="宋体" w:hAnsi="宋体" w:cs="宋体"/>
                <w:kern w:val="0"/>
                <w:sz w:val="20"/>
                <w:szCs w:val="20"/>
              </w:rPr>
              <w:t>2</w:t>
            </w: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宋体"/>
                <w:kern w:val="0"/>
                <w:sz w:val="20"/>
                <w:szCs w:val="20"/>
              </w:rPr>
            </w:pPr>
          </w:p>
        </w:tc>
        <w:tc>
          <w:tcPr>
            <w:tcW w:w="13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vAlign w:val="center"/>
          </w:tcPr>
          <w:p>
            <w:pPr>
              <w:widowControl/>
              <w:jc w:val="left"/>
              <w:rPr>
                <w:rFonts w:ascii="宋体" w:cs="宋体"/>
                <w:kern w:val="0"/>
                <w:sz w:val="20"/>
                <w:szCs w:val="20"/>
              </w:rPr>
            </w:pPr>
            <w:r>
              <w:rPr>
                <w:rFonts w:hint="eastAsia" w:ascii="宋体" w:hAnsi="宋体" w:cs="宋体"/>
                <w:kern w:val="0"/>
                <w:sz w:val="20"/>
                <w:szCs w:val="20"/>
              </w:rPr>
              <w:t>　</w:t>
            </w:r>
          </w:p>
        </w:tc>
      </w:tr>
    </w:tbl>
    <w:p>
      <w:pPr>
        <w:spacing w:line="540" w:lineRule="exact"/>
        <w:jc w:val="center"/>
        <w:rPr>
          <w:rFonts w:ascii="黑体" w:hAnsi="黑体" w:eastAsia="黑体"/>
          <w:sz w:val="32"/>
          <w:szCs w:val="32"/>
        </w:rPr>
      </w:pPr>
      <w:bookmarkStart w:id="0" w:name="_GoBack"/>
      <w:bookmarkEnd w:id="0"/>
    </w:p>
    <w:p>
      <w:pPr>
        <w:spacing w:line="540" w:lineRule="exact"/>
        <w:jc w:val="center"/>
        <w:rPr>
          <w:rFonts w:ascii="黑体" w:hAnsi="黑体" w:eastAsia="黑体"/>
          <w:sz w:val="32"/>
          <w:szCs w:val="32"/>
        </w:rPr>
      </w:pPr>
      <w:r>
        <w:rPr>
          <w:rFonts w:hint="eastAsia" w:ascii="黑体" w:hAnsi="黑体" w:eastAsia="黑体"/>
          <w:sz w:val="32"/>
          <w:szCs w:val="32"/>
        </w:rPr>
        <w:t>第三部分 专业名词解释</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财政拨款收入：指同级财政当年拨付的资金。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上级补助收入：指事业单位从主管部门和上级单位取得的非财政补助收入。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事业收入：指事业单位开展专业业务活动及其辅助活动所取得的收入。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经营收入：指事业单位在专业业务活动及其辅助活动之外开展非独立核算经营活动取得的收入。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附属单位上缴收入：指事业单位附属的独立核算单位按有关规定上缴的收入。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其他收入：指除上述“财政拨款收入”、“事业收入”、“经营收入”、“附属单位上缴收入”等之外取得的收入。</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用事业基金弥补收支差额：指事业单位在当年的“财政拨款收入”、“财政拨款结转和结余资金”、“事业收入”、“事业单位经营收入”、“其他收入”不足以安排当年支出的情况下，使用以前年度积累的事业基金（即事业单位当年收支相抵后按国家规定提取、用于弥补以后年度收支差额的基金）弥补本年度收支缺口的资金。</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上年结转和结余：指以前年度支出预算因客观条件变化未执行完毕、结转到本年度按有关规定继续使用的资金，既包括财政拨款结转和结余，也包括事业收入、经营收入、其他收入的结转和结余。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结余分配：反映单位当年结余的分配情况。</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年末结转和结余：指本年度或以前年度预算安排、因客观条件发生变化无法按原计划实施，需要延迟到以后年度按有关规定继续使用的资金，既包括财政拨款结转和结余，也包括事业收入、经营收入、其他收入的结转和结余。</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基本支出：指为保障机构正常运转、完成日常工作任务而发生的人员支出和公用支出。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项目支出：指在基本支出之外为完成特定行政任务和事业发展目标所发生的支出。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经营支出：指事业单位在专业业务活动及其辅助活动之外开展非独立核算经营活动发生的支出。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对附属单位补助支出：指事业单位发生的用非财政预算资金对附属单位的补助支出。</w:t>
      </w:r>
    </w:p>
    <w:p>
      <w:pPr>
        <w:autoSpaceDE w:val="0"/>
        <w:autoSpaceDN w:val="0"/>
        <w:spacing w:line="540" w:lineRule="exact"/>
        <w:ind w:firstLine="640" w:firstLineChars="200"/>
        <w:rPr>
          <w:rFonts w:ascii="仿宋_GB2312" w:eastAsia="仿宋_GB2312"/>
          <w:sz w:val="32"/>
          <w:szCs w:val="32"/>
        </w:rPr>
      </w:pPr>
      <w:r>
        <w:rPr>
          <w:rFonts w:hint="eastAsia" w:ascii="仿宋_GB2312" w:eastAsia="仿宋_GB2312"/>
          <w:sz w:val="32"/>
          <w:szCs w:val="32"/>
        </w:rPr>
        <w:t>“三公”经费：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本单位支出功能分类说明</w:t>
      </w:r>
    </w:p>
    <w:p>
      <w:pPr>
        <w:spacing w:line="540" w:lineRule="exact"/>
        <w:ind w:firstLine="640" w:firstLineChars="200"/>
        <w:rPr>
          <w:rFonts w:hint="eastAsia" w:ascii="仿宋_GB2312" w:hAnsi="Calibri" w:eastAsia="仿宋_GB2312"/>
          <w:sz w:val="32"/>
          <w:szCs w:val="32"/>
          <w:lang w:val="en-GB"/>
        </w:rPr>
      </w:pPr>
      <w:r>
        <w:rPr>
          <w:rFonts w:hint="eastAsia" w:ascii="仿宋_GB2312" w:hAnsi="Calibri" w:eastAsia="仿宋_GB2312"/>
          <w:sz w:val="32"/>
          <w:szCs w:val="32"/>
          <w:lang w:val="en-GB"/>
        </w:rPr>
        <w:t>2050201指学前教育</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2050202指小学教育</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2050299指其他普通教育支出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2050999指其他教育费附加安排的支出</w:t>
      </w:r>
    </w:p>
    <w:p>
      <w:pPr>
        <w:spacing w:line="540" w:lineRule="exact"/>
        <w:ind w:firstLine="640" w:firstLineChars="200"/>
        <w:rPr>
          <w:rFonts w:ascii="仿宋_GB2312" w:hAnsi="Calibri" w:eastAsia="仿宋_GB2312"/>
          <w:sz w:val="32"/>
          <w:szCs w:val="32"/>
          <w:lang w:val="en-GB"/>
        </w:rPr>
      </w:pPr>
      <w:r>
        <w:rPr>
          <w:rFonts w:hint="eastAsia" w:ascii="仿宋_GB2312" w:hAnsi="Calibri" w:eastAsia="仿宋_GB2312"/>
          <w:sz w:val="32"/>
          <w:szCs w:val="32"/>
          <w:lang w:val="en-GB"/>
        </w:rPr>
        <w:t>2080505指机关事业单位基本养老保险缴费支出</w:t>
      </w:r>
    </w:p>
    <w:p>
      <w:pPr>
        <w:spacing w:line="540" w:lineRule="exact"/>
        <w:ind w:firstLine="640" w:firstLineChars="200"/>
        <w:rPr>
          <w:rFonts w:ascii="仿宋_GB2312" w:eastAsia="仿宋_GB2312"/>
          <w:sz w:val="32"/>
          <w:szCs w:val="32"/>
        </w:rPr>
      </w:pPr>
      <w:r>
        <w:rPr>
          <w:rFonts w:hint="eastAsia" w:ascii="仿宋_GB2312" w:hAnsi="Calibri" w:eastAsia="仿宋_GB2312"/>
          <w:sz w:val="32"/>
          <w:szCs w:val="32"/>
          <w:lang w:val="en-GB"/>
        </w:rPr>
        <w:t>2120804指农村基础设施建设支出</w:t>
      </w:r>
      <w:r>
        <w:rPr>
          <w:rFonts w:hint="eastAsia" w:ascii="仿宋_GB2312" w:eastAsia="仿宋_GB2312"/>
          <w:sz w:val="32"/>
          <w:szCs w:val="32"/>
        </w:rPr>
        <w:t>。</w:t>
      </w:r>
    </w:p>
    <w:p>
      <w:pPr>
        <w:tabs>
          <w:tab w:val="right" w:pos="8306"/>
        </w:tabs>
        <w:spacing w:line="540" w:lineRule="exact"/>
        <w:ind w:firstLine="640" w:firstLineChars="200"/>
        <w:rPr>
          <w:rFonts w:ascii="仿宋_GB2312" w:hAnsi="Calibri" w:eastAsia="仿宋_GB2312"/>
          <w:sz w:val="32"/>
          <w:szCs w:val="32"/>
          <w:lang w:val="en-GB"/>
        </w:rPr>
      </w:pPr>
      <w:r>
        <w:rPr>
          <w:rFonts w:hint="eastAsia" w:ascii="仿宋_GB2312" w:eastAsia="仿宋_GB2312"/>
          <w:sz w:val="32"/>
          <w:szCs w:val="32"/>
        </w:rPr>
        <w:t>其他有关说明内容</w:t>
      </w:r>
      <w:r>
        <w:rPr>
          <w:rFonts w:hint="eastAsia" w:ascii="仿宋_GB2312" w:hAnsi="Calibri" w:eastAsia="仿宋_GB2312"/>
          <w:sz w:val="32"/>
          <w:szCs w:val="32"/>
          <w:lang w:val="en-GB"/>
        </w:rPr>
        <w:t>。</w:t>
      </w:r>
      <w:r>
        <w:rPr>
          <w:rFonts w:ascii="仿宋_GB2312" w:hAnsi="Calibri" w:eastAsia="仿宋_GB2312"/>
          <w:sz w:val="32"/>
          <w:szCs w:val="32"/>
          <w:lang w:val="en-GB"/>
        </w:rPr>
        <w:tab/>
      </w:r>
    </w:p>
    <w:p>
      <w:pPr>
        <w:spacing w:line="540" w:lineRule="exact"/>
        <w:ind w:firstLine="643" w:firstLineChars="200"/>
        <w:rPr>
          <w:rFonts w:ascii="仿宋_GB2312" w:eastAsia="仿宋_GB2312"/>
          <w:b/>
          <w:sz w:val="32"/>
          <w:szCs w:val="32"/>
        </w:rPr>
      </w:pPr>
    </w:p>
    <w:p>
      <w:pPr>
        <w:spacing w:line="540" w:lineRule="exact"/>
        <w:jc w:val="center"/>
        <w:rPr>
          <w:rFonts w:ascii="黑体" w:hAnsi="黑体" w:eastAsia="黑体"/>
          <w:sz w:val="32"/>
          <w:szCs w:val="32"/>
        </w:rPr>
      </w:pPr>
      <w:r>
        <w:rPr>
          <w:rFonts w:hint="eastAsia" w:ascii="黑体" w:hAnsi="黑体" w:eastAsia="黑体"/>
          <w:sz w:val="32"/>
          <w:szCs w:val="32"/>
        </w:rPr>
        <w:t>第四部分 部门决算公开的8张报表（见附表）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40" w:lineRule="exact"/>
        <w:ind w:firstLine="640" w:firstLineChars="200"/>
        <w:rPr>
          <w:rFonts w:ascii="仿宋_GB2312" w:eastAsia="仿宋_GB2312"/>
          <w:sz w:val="32"/>
          <w:szCs w:val="32"/>
        </w:rPr>
      </w:pPr>
      <w:r>
        <w:rPr>
          <w:rFonts w:hint="eastAsia" w:ascii="仿宋_GB2312" w:hAnsi="宋体" w:eastAsia="仿宋_GB2312"/>
          <w:sz w:val="32"/>
          <w:szCs w:val="32"/>
        </w:rPr>
        <w:t>八、</w:t>
      </w:r>
      <w:r>
        <w:rPr>
          <w:rFonts w:hint="eastAsia" w:ascii="仿宋_GB2312" w:eastAsia="仿宋_GB2312"/>
          <w:sz w:val="32"/>
          <w:szCs w:val="32"/>
        </w:rPr>
        <w:t>《政府性基金预算财政拨款收入支出决算表》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3C"/>
    <w:rsid w:val="001500E6"/>
    <w:rsid w:val="001A2B4A"/>
    <w:rsid w:val="002D6B15"/>
    <w:rsid w:val="00417058"/>
    <w:rsid w:val="004642B9"/>
    <w:rsid w:val="004763B2"/>
    <w:rsid w:val="004A2F26"/>
    <w:rsid w:val="00544A4C"/>
    <w:rsid w:val="0058643C"/>
    <w:rsid w:val="005C294E"/>
    <w:rsid w:val="006059F7"/>
    <w:rsid w:val="0086680D"/>
    <w:rsid w:val="009A4996"/>
    <w:rsid w:val="00BE7FE7"/>
    <w:rsid w:val="00CE0C1D"/>
    <w:rsid w:val="00CF769E"/>
    <w:rsid w:val="00D76532"/>
    <w:rsid w:val="00D80D11"/>
    <w:rsid w:val="00D923F6"/>
    <w:rsid w:val="00E13B68"/>
    <w:rsid w:val="00E8025E"/>
    <w:rsid w:val="00F21610"/>
    <w:rsid w:val="00FD4B4D"/>
    <w:rsid w:val="1FC47742"/>
    <w:rsid w:val="32C0723C"/>
    <w:rsid w:val="337F26DE"/>
    <w:rsid w:val="45726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qFormat/>
    <w:uiPriority w:val="0"/>
    <w:pPr>
      <w:jc w:val="left"/>
    </w:pPr>
    <w:rPr>
      <w:rFonts w:ascii="Times New Roman" w:hAnsi="Times New Roman" w:eastAsia="宋体" w:cs="Times New Roman"/>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99"/>
    <w:rPr>
      <w:rFonts w:cs="Times New Roman"/>
      <w:b/>
      <w:bCs/>
    </w:rPr>
  </w:style>
  <w:style w:type="character" w:styleId="9">
    <w:name w:val="annotation reference"/>
    <w:basedOn w:val="7"/>
    <w:semiHidden/>
    <w:unhideWhenUsed/>
    <w:qFormat/>
    <w:uiPriority w:val="99"/>
    <w:rPr>
      <w:sz w:val="21"/>
      <w:szCs w:val="21"/>
    </w:rPr>
  </w:style>
  <w:style w:type="character" w:customStyle="1" w:styleId="10">
    <w:name w:val="批注文字 Char"/>
    <w:basedOn w:val="7"/>
    <w:link w:val="2"/>
    <w:qFormat/>
    <w:uiPriority w:val="0"/>
    <w:rPr>
      <w:rFonts w:ascii="Times New Roman" w:hAnsi="Times New Roman" w:eastAsia="宋体" w:cs="Times New Roman"/>
      <w:szCs w:val="24"/>
    </w:rPr>
  </w:style>
  <w:style w:type="character" w:customStyle="1" w:styleId="11">
    <w:name w:val="批注框文本 Char"/>
    <w:basedOn w:val="7"/>
    <w:link w:val="3"/>
    <w:semiHidden/>
    <w:qFormat/>
    <w:uiPriority w:val="99"/>
    <w:rPr>
      <w:sz w:val="18"/>
      <w:szCs w:val="18"/>
    </w:rPr>
  </w:style>
  <w:style w:type="character" w:customStyle="1" w:styleId="12">
    <w:name w:val="页眉 Char"/>
    <w:basedOn w:val="7"/>
    <w:link w:val="5"/>
    <w:uiPriority w:val="99"/>
    <w:rPr>
      <w:kern w:val="2"/>
      <w:sz w:val="18"/>
      <w:szCs w:val="18"/>
    </w:rPr>
  </w:style>
  <w:style w:type="character" w:customStyle="1" w:styleId="13">
    <w:name w:val="页脚 Char"/>
    <w:basedOn w:val="7"/>
    <w:link w:val="4"/>
    <w:qFormat/>
    <w:uiPriority w:val="99"/>
    <w:rPr>
      <w:kern w:val="2"/>
      <w:sz w:val="18"/>
      <w:szCs w:val="18"/>
    </w:rPr>
  </w:style>
  <w:style w:type="paragraph" w:styleId="14">
    <w:name w:val="List Paragraph"/>
    <w:basedOn w:val="1"/>
    <w:qFormat/>
    <w:uiPriority w:val="99"/>
    <w:pPr>
      <w:widowControl/>
      <w:ind w:left="720"/>
      <w:contextualSpacing/>
      <w:jc w:val="left"/>
    </w:pPr>
    <w:rPr>
      <w:rFonts w:ascii="Calibri" w:hAnsi="Calibri" w:eastAsia="宋体" w:cs="Times New Roman"/>
      <w:kern w:val="0"/>
      <w:sz w:val="24"/>
      <w:szCs w:val="24"/>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2090</Words>
  <Characters>11914</Characters>
  <Lines>99</Lines>
  <Paragraphs>27</Paragraphs>
  <TotalTime>3</TotalTime>
  <ScaleCrop>false</ScaleCrop>
  <LinksUpToDate>false</LinksUpToDate>
  <CharactersWithSpaces>13977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2019-07-23T11:27:00Z</dcterms:created>
  <dc:creator>admin</dc:creator>
  <cp:lastModifiedBy>秣</cp:lastModifiedBy>
  <dcterms:modified xsi:type="dcterms:W3CDTF">2021-05-18T14:24:23Z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75137972521745B1ACA44CCF2449FB79</vt:lpwstr>
  </property>
</Properties>
</file>