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2018年度乌鲁木齐县卫生局部门决算</w:t>
      </w: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乌鲁木齐县卫生和计划生育委员会隶属于乌鲁木齐县人民政府的全额拨款行政单位，担负着乌鲁木齐县卫生事业工作，主要负责全县医疗机构及医疗服务的监督管理；疾病预防控制工作；全县城乡卫生、妇幼、计划生育工作；全县的卫生应急工作。 </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从决算单位构成看，新疆乌鲁木齐县卫生局部门决算包括：新疆乌鲁木齐县卫生局部门本级决算、</w:t>
      </w:r>
      <w:r>
        <w:rPr>
          <w:rFonts w:hint="eastAsia" w:ascii="仿宋_GB2312" w:eastAsia="仿宋_GB2312"/>
          <w:sz w:val="32"/>
          <w:szCs w:val="32"/>
          <w:lang w:eastAsia="zh-CN"/>
        </w:rPr>
        <w:t>无下</w:t>
      </w:r>
      <w:r>
        <w:rPr>
          <w:rFonts w:hint="eastAsia" w:ascii="仿宋_GB2312" w:eastAsia="仿宋_GB2312"/>
          <w:sz w:val="32"/>
          <w:szCs w:val="32"/>
        </w:rPr>
        <w:t>属单位决算。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新疆乌鲁木齐县卫生局编制数49个，包括行政编制10个，事业编制39个。年末实有人数38人，其中：行政在职8人，事业在职30人。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纳入新疆乌鲁木齐县卫生局2018年部门决算编制范围的单位名单见下表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新疆乌鲁木齐县卫生局</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2</w:t>
            </w:r>
          </w:p>
        </w:tc>
        <w:tc>
          <w:tcPr>
            <w:tcW w:w="7512" w:type="dxa"/>
            <w:vAlign w:val="center"/>
          </w:tcPr>
          <w:p>
            <w:pPr>
              <w:spacing w:line="500" w:lineRule="exact"/>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2018年度收入3,679.25万元,与上年相比，减少675.62万元，降低15.51%，增减变化主要原因是：主要是因为有人员变动</w:t>
      </w:r>
      <w:r>
        <w:rPr>
          <w:rFonts w:hint="eastAsia" w:ascii="仿宋_GB2312" w:eastAsia="仿宋_GB2312"/>
          <w:sz w:val="32"/>
          <w:szCs w:val="32"/>
          <w:lang w:eastAsia="zh-CN"/>
        </w:rPr>
        <w:t>，</w:t>
      </w:r>
      <w:r>
        <w:rPr>
          <w:rFonts w:hint="eastAsia" w:ascii="仿宋_GB2312" w:eastAsia="仿宋_GB2312"/>
          <w:sz w:val="32"/>
          <w:szCs w:val="32"/>
        </w:rPr>
        <w:t>退休人员已移交社保及日常经费压缩；支出3,546.35万元,与上年相比，减少891.56万元，降低20.09%，增减变化主要原因是：全年支出减少主要是因为经费压缩；结余1,745.50万元，与上年相比，增加132.9万元，增长8.24%。增减变化主要原因是：主要在于本年支出减少导致结转结余增大。</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3,679.25万元，其中：财政拨款收入3,594.37万元，占97.69%；上级补助收入0.00万元，占0.00%；事业收入0.00万元，占0.00%；经营收入0.00万元，占0.00%；附属单位缴款0.00万元，占0.00%；其他收入84.88万元，占2.31%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与年初预算数相比情况：本年收入年初预算数1,733.96万元，决算数3,679.25万元，预决算差异率112.19%，差异主要原因年中追加人员经费及项目经费，预决算存在差异。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本年支出合计3,546.35万元，其中：基本支出998.52万元，占28.16%；项目支出2,547.83万元，占71.84%；上缴上级支出0.00万元，占0.00%；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与年初预算数相比情况：本年支出年初预算数1,733.96万元，决算数3,546.35万元，预决算差异率104.52%，差异主要原因年中追加人员经费及项目经费，预决算存在差异。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3,594.37万元，与上年相比，减少506.27万元，降低12.35%。增减变化的主要原因是：主要是因为有人员变动退休人员已移交社保及日常经费压缩。财政拨款支出3,544.89万元，与上年相比，减少329.31万元，降低8.5%，增减变化的主要原因是：有人员变动退休人员已移交社保及日常经费压缩。其中：基本支出998.52万元，项目支出2,546.37万元。财政拨款结转结余1,087.96万元，与上年相比，增加49.48万元，增长4.76%。增减变化的主要原因是：主要在于本年支出减少导致结转结余增大。</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1,733.96万元，决算数3,594.37万元，预决算差异率107.29%，差异主要原因年中追加人员经费及项目经费，预决算存在差异。财政拨款支出年初预算数1,733.96万元，决算数3,544.89万元，预决算差异率104.44%，差异主要原因年中追加人员经费及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2018年度一般公共预算财政拨款收入3,077.11万元。与上年相比，减少336.95万元，降低9.87%。增减变化的主要原因是：主要是因为有人员变动</w:t>
      </w:r>
      <w:r>
        <w:rPr>
          <w:rFonts w:hint="eastAsia" w:ascii="仿宋_GB2312" w:eastAsia="仿宋_GB2312"/>
          <w:sz w:val="32"/>
          <w:szCs w:val="32"/>
          <w:lang w:eastAsia="zh-CN"/>
        </w:rPr>
        <w:t>，</w:t>
      </w:r>
      <w:r>
        <w:rPr>
          <w:rFonts w:hint="eastAsia" w:ascii="仿宋_GB2312" w:eastAsia="仿宋_GB2312"/>
          <w:sz w:val="32"/>
          <w:szCs w:val="32"/>
        </w:rPr>
        <w:t>退休人员已移交社保及日常经费压缩。一般公共预算财政拨款支出2,996.90万元。与上年相比，减少293.01万元，降低8.91%。增减变化的主要原因是：因为有人员变动</w:t>
      </w:r>
      <w:r>
        <w:rPr>
          <w:rFonts w:hint="eastAsia" w:ascii="仿宋_GB2312" w:eastAsia="仿宋_GB2312"/>
          <w:sz w:val="32"/>
          <w:szCs w:val="32"/>
          <w:lang w:eastAsia="zh-CN"/>
        </w:rPr>
        <w:t>，</w:t>
      </w:r>
      <w:r>
        <w:rPr>
          <w:rFonts w:hint="eastAsia" w:ascii="仿宋_GB2312" w:eastAsia="仿宋_GB2312"/>
          <w:sz w:val="32"/>
          <w:szCs w:val="32"/>
        </w:rPr>
        <w:t>退休人员已移交社保及日常经费压缩。其中：按功能分类科目（按类级科目公开），社会保障和就业支出75.25万元，医疗卫生与计划生育支出2,878.04万元</w:t>
      </w:r>
      <w:r>
        <w:rPr>
          <w:rFonts w:hint="eastAsia" w:ascii="仿宋_GB2312" w:eastAsia="仿宋_GB2312"/>
          <w:sz w:val="32"/>
          <w:szCs w:val="32"/>
          <w:lang w:eastAsia="zh-CN"/>
        </w:rPr>
        <w:t>，农林水支出5.00万元，其他支出38.62万元</w:t>
      </w:r>
      <w:r>
        <w:rPr>
          <w:rFonts w:hint="eastAsia" w:ascii="仿宋_GB2312" w:eastAsia="仿宋_GB2312"/>
          <w:sz w:val="32"/>
          <w:szCs w:val="32"/>
        </w:rPr>
        <w:t>。按经济分类科目（按类级科目公开），工资福利支出704.66万元，商品和服务支出481.16万元，对个人和家庭的支出1,733.19万元，资本性支出77.90万元。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1,733.96万元，决算数3,077.11万元，预决算差异率77.46%，差异主要原因年中追加人员经费及项目经费，预决算存在差异。一般公共预算财政拨款支出年初预算数1,733.96万元，决算数2,996.90万元，预决算差异率72.84%，差异主要原因年中追加人员经费及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517.26万元，与上年相比，减少169.32万元，降低24.66%。增减变化的主要原因是：主要是因为有人员变动退休人员已移交社保及日常经费压缩。政府性基金预算支出547.98万元。与上年相比，减少36.31万元，降低6.21%。增减变化的主要原因是：因为有人员变动退休人员已移交社保及日常经费压缩。其中：按功能分类科目（按类级科目公开），城乡社区支出510.37万元，其他支出37.61万元。按经济分类科目（按类级科目公开），对个人和家庭的支出37.61万元，资本性支出510.37万元。</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与年初预算数相比情况：政府性基金预算财政拨款收入年初预算数0.00万元，决算数517.26万元，预决算差异率</w:t>
      </w:r>
      <w:r>
        <w:rPr>
          <w:rFonts w:hint="eastAsia" w:ascii="仿宋_GB2312" w:eastAsia="仿宋_GB2312"/>
          <w:sz w:val="32"/>
          <w:szCs w:val="32"/>
          <w:lang w:val="en-US" w:eastAsia="zh-CN"/>
        </w:rPr>
        <w:t>10</w:t>
      </w:r>
      <w:r>
        <w:rPr>
          <w:rFonts w:hint="eastAsia" w:ascii="仿宋_GB2312" w:eastAsia="仿宋_GB2312"/>
          <w:sz w:val="32"/>
          <w:szCs w:val="32"/>
        </w:rPr>
        <w:t>0.00%，差异主要原因</w:t>
      </w:r>
      <w:r>
        <w:rPr>
          <w:rFonts w:hint="eastAsia" w:ascii="仿宋_GB2312" w:eastAsia="仿宋_GB2312"/>
          <w:sz w:val="32"/>
          <w:szCs w:val="32"/>
          <w:lang w:eastAsia="zh-CN"/>
        </w:rPr>
        <w:t>年中追加县疾控、县监督所办公楼、县人民医院综合病房楼、门诊楼及附属设备建设工程等项目</w:t>
      </w:r>
      <w:r>
        <w:rPr>
          <w:rFonts w:hint="eastAsia" w:ascii="仿宋_GB2312" w:eastAsia="仿宋_GB2312"/>
          <w:sz w:val="32"/>
          <w:szCs w:val="32"/>
        </w:rPr>
        <w:t>。政府性基金预算财政拨款支出年初预算数0.00万元，决算数547.98万元，预决算差异率</w:t>
      </w:r>
      <w:r>
        <w:rPr>
          <w:rFonts w:hint="eastAsia" w:ascii="仿宋_GB2312" w:eastAsia="仿宋_GB2312"/>
          <w:sz w:val="32"/>
          <w:szCs w:val="32"/>
          <w:lang w:val="en-US" w:eastAsia="zh-CN"/>
        </w:rPr>
        <w:t>10</w:t>
      </w:r>
      <w:r>
        <w:rPr>
          <w:rFonts w:hint="eastAsia" w:ascii="仿宋_GB2312" w:eastAsia="仿宋_GB2312"/>
          <w:sz w:val="32"/>
          <w:szCs w:val="32"/>
        </w:rPr>
        <w:t>0.00%，差异主要原因</w:t>
      </w:r>
      <w:r>
        <w:rPr>
          <w:rFonts w:hint="eastAsia" w:ascii="仿宋_GB2312" w:eastAsia="仿宋_GB2312"/>
          <w:sz w:val="32"/>
          <w:szCs w:val="32"/>
          <w:lang w:eastAsia="zh-CN"/>
        </w:rPr>
        <w:t>年中追加县疾控、县监督所办公楼、县人民医院综合病房楼、门诊楼及附属设备建设工程等项目</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年末结转结余1,745.50万元。与上年相比，增加132.9万元，增长8.24%。</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其中财政拨款结转结余1,087.96万元。与上年相比，增加49.48万元，增长4.76%。</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2018年度一般公共预算“三公”经费支出决算21.33万元，比上年减少3.98万元，降低15.74%，减少原因是压缩三公经费</w:t>
      </w:r>
      <w:r>
        <w:rPr>
          <w:rFonts w:hint="eastAsia" w:ascii="仿宋_GB2312" w:eastAsia="仿宋_GB2312"/>
          <w:sz w:val="32"/>
          <w:szCs w:val="32"/>
          <w:lang w:eastAsia="zh-CN"/>
        </w:rPr>
        <w:t>，厉行节约</w:t>
      </w:r>
      <w:r>
        <w:rPr>
          <w:rFonts w:hint="eastAsia" w:ascii="仿宋_GB2312" w:eastAsia="仿宋_GB2312"/>
          <w:sz w:val="32"/>
          <w:szCs w:val="32"/>
        </w:rPr>
        <w:t>。其中，因公出国（境）费支出0.00万元，占0.00%，比上年</w:t>
      </w:r>
      <w:r>
        <w:rPr>
          <w:rFonts w:hint="eastAsia" w:ascii="仿宋_GB2312" w:eastAsia="仿宋_GB2312"/>
          <w:sz w:val="32"/>
          <w:szCs w:val="32"/>
          <w:lang w:eastAsia="zh-CN"/>
        </w:rPr>
        <w:t>减少</w:t>
      </w:r>
      <w:r>
        <w:rPr>
          <w:rFonts w:hint="eastAsia" w:ascii="仿宋_GB2312" w:eastAsia="仿宋_GB2312"/>
          <w:sz w:val="32"/>
          <w:szCs w:val="32"/>
        </w:rPr>
        <w:t>0.0万元，降低0%，减少原因是</w:t>
      </w:r>
      <w:r>
        <w:rPr>
          <w:rFonts w:hint="eastAsia" w:ascii="仿宋_GB2312" w:eastAsia="仿宋_GB2312"/>
          <w:sz w:val="32"/>
          <w:szCs w:val="32"/>
          <w:lang w:eastAsia="zh-CN"/>
        </w:rPr>
        <w:t>单位无</w:t>
      </w:r>
      <w:r>
        <w:rPr>
          <w:rFonts w:hint="eastAsia" w:ascii="仿宋_GB2312" w:eastAsia="仿宋_GB2312"/>
          <w:sz w:val="32"/>
          <w:szCs w:val="32"/>
        </w:rPr>
        <w:t>因公出国（境）费；公务用车购置及运行维护费支出21.20万元，占99.41%，比上年减少3.95万元，降低15.71%，减少原因是</w:t>
      </w:r>
      <w:r>
        <w:rPr>
          <w:rFonts w:hint="eastAsia" w:ascii="仿宋_GB2312" w:eastAsia="仿宋_GB2312"/>
          <w:sz w:val="32"/>
          <w:szCs w:val="32"/>
          <w:lang w:eastAsia="zh-CN"/>
        </w:rPr>
        <w:t>严控经费支出，压减经费</w:t>
      </w:r>
      <w:r>
        <w:rPr>
          <w:rFonts w:hint="eastAsia" w:ascii="仿宋_GB2312" w:eastAsia="仿宋_GB2312"/>
          <w:sz w:val="32"/>
          <w:szCs w:val="32"/>
        </w:rPr>
        <w:t>；公务接待费支出0.13万元，占0.59%，比上年减少0.03万元，降低21.38%，减少原因是</w:t>
      </w:r>
      <w:r>
        <w:rPr>
          <w:rFonts w:hint="eastAsia" w:ascii="仿宋_GB2312" w:eastAsia="仿宋_GB2312"/>
          <w:sz w:val="32"/>
          <w:szCs w:val="32"/>
          <w:lang w:eastAsia="zh-CN"/>
        </w:rPr>
        <w:t>严控经费支出，压减经费</w:t>
      </w:r>
      <w:r>
        <w:rPr>
          <w:rFonts w:hint="eastAsia" w:ascii="仿宋_GB2312" w:eastAsia="仿宋_GB2312"/>
          <w:sz w:val="32"/>
          <w:szCs w:val="32"/>
        </w:rPr>
        <w:t>。具体情况如下：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因公出国（境）费支出0.00万元。新疆乌鲁木齐县卫生局全年使用一般公共预算财政拨款安排的出国（境）团组0个，累计0人次。开支内容包括：</w:t>
      </w:r>
      <w:r>
        <w:rPr>
          <w:rFonts w:hint="eastAsia" w:ascii="仿宋_GB2312" w:eastAsia="仿宋_GB2312"/>
          <w:sz w:val="32"/>
          <w:szCs w:val="32"/>
          <w:lang w:eastAsia="zh-CN"/>
        </w:rPr>
        <w:t>单位无</w:t>
      </w:r>
      <w:r>
        <w:rPr>
          <w:rFonts w:hint="eastAsia" w:ascii="仿宋_GB2312" w:eastAsia="仿宋_GB2312"/>
          <w:sz w:val="32"/>
          <w:szCs w:val="32"/>
        </w:rPr>
        <w:t>因公出国（境）费。</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公务用车购置及运行维护费21.20万元,其中，公务用车购置0.00万元，公务用车运行维护费21.20万元。主要用于</w:t>
      </w:r>
      <w:r>
        <w:rPr>
          <w:rFonts w:hint="eastAsia" w:ascii="仿宋_GB2312" w:eastAsia="仿宋_GB2312"/>
          <w:sz w:val="32"/>
          <w:szCs w:val="32"/>
          <w:lang w:eastAsia="zh-CN"/>
        </w:rPr>
        <w:t>车辆运行维护、燃油费</w:t>
      </w:r>
      <w:r>
        <w:rPr>
          <w:rFonts w:hint="eastAsia" w:ascii="仿宋_GB2312" w:eastAsia="仿宋_GB2312"/>
          <w:sz w:val="32"/>
          <w:szCs w:val="32"/>
        </w:rPr>
        <w:t>。单位一般公共财政拨款安排的公务用车购置量0辆，保有量为12辆。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公务接待费0.13万元。具体是：国内公务接待支出0.13万元，主要是</w:t>
      </w:r>
      <w:r>
        <w:rPr>
          <w:rFonts w:hint="eastAsia" w:ascii="仿宋_GB2312" w:eastAsia="仿宋_GB2312"/>
          <w:sz w:val="32"/>
          <w:szCs w:val="32"/>
          <w:lang w:eastAsia="zh-CN"/>
        </w:rPr>
        <w:t>单位日常接待</w:t>
      </w:r>
      <w:r>
        <w:rPr>
          <w:rFonts w:hint="eastAsia" w:ascii="仿宋_GB2312" w:eastAsia="仿宋_GB2312"/>
          <w:sz w:val="32"/>
          <w:szCs w:val="32"/>
        </w:rPr>
        <w:t>。新疆乌鲁木齐县卫生局国内公务接待4批次，22人次。</w:t>
      </w:r>
    </w:p>
    <w:p>
      <w:pPr>
        <w:spacing w:line="54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与年初预算数相比情况：一般公共预算“三公”经费支出年初预算数22.45万元，决算数21.33万元，预决算差异率-5.01%，差异主要原因</w:t>
      </w:r>
      <w:r>
        <w:rPr>
          <w:rFonts w:hint="eastAsia" w:ascii="仿宋_GB2312" w:eastAsia="仿宋_GB2312"/>
          <w:sz w:val="32"/>
          <w:szCs w:val="32"/>
          <w:lang w:eastAsia="zh-CN"/>
        </w:rPr>
        <w:t>严控经费支出，压减经费</w:t>
      </w:r>
      <w:r>
        <w:rPr>
          <w:rFonts w:hint="eastAsia" w:ascii="仿宋_GB2312" w:eastAsia="仿宋_GB2312"/>
          <w:sz w:val="32"/>
          <w:szCs w:val="32"/>
        </w:rPr>
        <w:t>。</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w:t>
      </w:r>
      <w:r>
        <w:rPr>
          <w:rFonts w:hint="eastAsia" w:ascii="仿宋_GB2312" w:eastAsia="仿宋_GB2312"/>
          <w:sz w:val="32"/>
          <w:szCs w:val="32"/>
          <w:lang w:eastAsia="zh-CN"/>
        </w:rPr>
        <w:t>单位无</w:t>
      </w:r>
      <w:r>
        <w:rPr>
          <w:rFonts w:hint="eastAsia" w:ascii="仿宋_GB2312" w:eastAsia="仿宋_GB2312"/>
          <w:sz w:val="32"/>
          <w:szCs w:val="32"/>
        </w:rPr>
        <w:t>因公出国（境）费；</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w:t>
      </w:r>
      <w:r>
        <w:rPr>
          <w:rFonts w:hint="eastAsia" w:ascii="仿宋_GB2312" w:eastAsia="仿宋_GB2312"/>
          <w:sz w:val="32"/>
          <w:szCs w:val="32"/>
          <w:lang w:eastAsia="zh-CN"/>
        </w:rPr>
        <w:t>单位无公务用车购置</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预算数21.20万元，决算数21.20万元，预决算差异率0.00%，差异主要原因</w:t>
      </w:r>
      <w:r>
        <w:rPr>
          <w:rFonts w:hint="eastAsia" w:ascii="仿宋_GB2312" w:eastAsia="仿宋_GB2312"/>
          <w:sz w:val="32"/>
          <w:szCs w:val="32"/>
          <w:lang w:eastAsia="zh-CN"/>
        </w:rPr>
        <w:t>预决算一致，无差异</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预算数1.25万元，决算数0.13万元，预决算差异率-89.94%，差异主要原因</w:t>
      </w:r>
      <w:r>
        <w:rPr>
          <w:rFonts w:hint="eastAsia" w:ascii="仿宋_GB2312" w:eastAsia="仿宋_GB2312"/>
          <w:sz w:val="32"/>
          <w:szCs w:val="32"/>
          <w:lang w:eastAsia="zh-CN"/>
        </w:rPr>
        <w:t>严控经费支出，压减经费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新疆乌鲁木齐县卫生局（事业单位）日常公用经费106.32万元，比上年减少100.46万元，降低48.58%，主要原因是</w:t>
      </w:r>
      <w:r>
        <w:rPr>
          <w:rFonts w:hint="eastAsia" w:ascii="仿宋_GB2312" w:eastAsia="仿宋_GB2312"/>
          <w:sz w:val="32"/>
          <w:szCs w:val="32"/>
          <w:lang w:eastAsia="zh-CN"/>
        </w:rPr>
        <w:t>厉行节约，</w:t>
      </w:r>
      <w:r>
        <w:rPr>
          <w:rFonts w:hint="eastAsia" w:ascii="仿宋_GB2312" w:eastAsia="仿宋_GB2312"/>
          <w:sz w:val="32"/>
          <w:szCs w:val="32"/>
        </w:rPr>
        <w:t>经费压缩。</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2018年度政府采购支出总额20.51万元，其中：政府采购货物支出16.50万元、政府采购工程支出0.00万元、政府采购服务支出4.01万元。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12辆，价值212.78万元，其中：副部（省）级及以上领导用车0辆、主要领导干部用车0辆、机要通信用车0辆、应急保障用车0辆、执法执勤用车0辆、特种专业技术用车2辆、离退休干部用车0辆、其他用车10辆，其他用车主要是：</w:t>
      </w:r>
      <w:r>
        <w:rPr>
          <w:rFonts w:hint="eastAsia" w:ascii="仿宋_GB2312" w:eastAsia="仿宋_GB2312"/>
          <w:sz w:val="32"/>
          <w:szCs w:val="32"/>
          <w:lang w:eastAsia="zh-CN"/>
        </w:rPr>
        <w:t>单位救护车等</w:t>
      </w:r>
      <w:r>
        <w:rPr>
          <w:rFonts w:hint="eastAsia" w:ascii="仿宋_GB2312" w:eastAsia="仿宋_GB2312"/>
          <w:sz w:val="32"/>
          <w:szCs w:val="32"/>
        </w:rPr>
        <w:t>；单位价值50万元以上通用设备0台（套）、单位价值100万元以上专用设备0台（套）。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spacing w:line="54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基本公共卫生经费项目绩效自评综述：根据年初设定的绩效目标，基本公共卫生经费项目绩效自评得分为87分。项目全年预算数为147.8万元，执行数为147.8万元，完成预算的100%。主要产出和效果：15项基本公共卫生服务按照要求完成目标任务。发现的问题及原因：强化督导职能，对照《规范》要求和国家、省考核标准，督促、指导县市区针对各自的不足之处进行整改，确保12大类45项基本公共卫生服务项目逐一过关、逐一达标，促进我县基本公共卫生工作再上新台阶。下一步改进措施：1.强化宣传。进一步加大宣传力度，让广大城乡居民更全面了解项目的益处，提高群众知晓率，鼓励群众积极参与，配合基本公共卫生服务工作的开展。2.强化培训。切实加强县、乡、村三级基本公共卫生服务人员培训，重点培训《国家基本公共卫生服务项目绩效考核指导方案》和《肺结核患者健康管理规范》，切实做到全员培训、全员知晓。3.强化督导。对照《规范》要求和国家、省考核标准，督促、指导县市区针对各自的不足之处进行整改，确保12大类45项基本公共卫生服务项目逐一过关、逐一达标，促进我县基本公共卫生工作再上新台阶。4.强化考核。进一步完善基本公共卫生服务项目绩效考核标准和考核结果应用，实际购买服务模式，做到钱随事走，工作数量、质量牢牢与经费补助挂钩，实行专款专用，奖罚兑现，建立基本公共卫生服务管理的长效机制。有关项目自评情况可以附项目支出绩效自评表。</w:t>
      </w:r>
    </w:p>
    <w:tbl>
      <w:tblPr>
        <w:tblStyle w:val="6"/>
        <w:tblW w:w="9140" w:type="dxa"/>
        <w:tblInd w:w="93" w:type="dxa"/>
        <w:tblLayout w:type="fixed"/>
        <w:tblCellMar>
          <w:top w:w="0" w:type="dxa"/>
          <w:left w:w="108" w:type="dxa"/>
          <w:bottom w:w="0" w:type="dxa"/>
          <w:right w:w="108" w:type="dxa"/>
        </w:tblCellMar>
      </w:tblPr>
      <w:tblGrid>
        <w:gridCol w:w="722"/>
        <w:gridCol w:w="1144"/>
        <w:gridCol w:w="1365"/>
        <w:gridCol w:w="1084"/>
        <w:gridCol w:w="883"/>
        <w:gridCol w:w="1950"/>
        <w:gridCol w:w="1992"/>
      </w:tblGrid>
      <w:tr>
        <w:tblPrEx>
          <w:tblCellMar>
            <w:top w:w="0" w:type="dxa"/>
            <w:left w:w="108" w:type="dxa"/>
            <w:bottom w:w="0" w:type="dxa"/>
            <w:right w:w="108" w:type="dxa"/>
          </w:tblCellMar>
        </w:tblPrEx>
        <w:trPr>
          <w:trHeight w:val="486" w:hRule="atLeast"/>
        </w:trPr>
        <w:tc>
          <w:tcPr>
            <w:tcW w:w="914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43" w:hRule="atLeast"/>
        </w:trPr>
        <w:tc>
          <w:tcPr>
            <w:tcW w:w="914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43" w:hRule="atLeast"/>
        </w:trPr>
        <w:tc>
          <w:tcPr>
            <w:tcW w:w="722" w:type="dxa"/>
            <w:tcBorders>
              <w:top w:val="nil"/>
              <w:left w:val="nil"/>
              <w:bottom w:val="nil"/>
              <w:right w:val="nil"/>
            </w:tcBorders>
            <w:vAlign w:val="center"/>
          </w:tcPr>
          <w:p>
            <w:pPr>
              <w:widowControl/>
              <w:jc w:val="center"/>
              <w:rPr>
                <w:rFonts w:ascii="宋体" w:cs="宋体"/>
                <w:kern w:val="0"/>
                <w:sz w:val="24"/>
              </w:rPr>
            </w:pPr>
          </w:p>
        </w:tc>
        <w:tc>
          <w:tcPr>
            <w:tcW w:w="1144" w:type="dxa"/>
            <w:tcBorders>
              <w:top w:val="nil"/>
              <w:left w:val="nil"/>
              <w:bottom w:val="nil"/>
              <w:right w:val="nil"/>
            </w:tcBorders>
            <w:vAlign w:val="center"/>
          </w:tcPr>
          <w:p>
            <w:pPr>
              <w:widowControl/>
              <w:jc w:val="center"/>
              <w:rPr>
                <w:rFonts w:ascii="宋体" w:cs="宋体"/>
                <w:kern w:val="0"/>
                <w:sz w:val="24"/>
              </w:rPr>
            </w:pPr>
          </w:p>
        </w:tc>
        <w:tc>
          <w:tcPr>
            <w:tcW w:w="1365" w:type="dxa"/>
            <w:tcBorders>
              <w:top w:val="nil"/>
              <w:left w:val="nil"/>
              <w:bottom w:val="nil"/>
              <w:right w:val="nil"/>
            </w:tcBorders>
            <w:vAlign w:val="center"/>
          </w:tcPr>
          <w:p>
            <w:pPr>
              <w:widowControl/>
              <w:jc w:val="center"/>
              <w:rPr>
                <w:rFonts w:ascii="宋体" w:cs="宋体"/>
                <w:kern w:val="0"/>
                <w:sz w:val="24"/>
              </w:rPr>
            </w:pPr>
          </w:p>
        </w:tc>
        <w:tc>
          <w:tcPr>
            <w:tcW w:w="1084" w:type="dxa"/>
            <w:tcBorders>
              <w:top w:val="nil"/>
              <w:left w:val="nil"/>
              <w:bottom w:val="nil"/>
              <w:right w:val="nil"/>
            </w:tcBorders>
            <w:vAlign w:val="center"/>
          </w:tcPr>
          <w:p>
            <w:pPr>
              <w:widowControl/>
              <w:jc w:val="center"/>
              <w:rPr>
                <w:rFonts w:ascii="宋体" w:cs="宋体"/>
                <w:kern w:val="0"/>
                <w:sz w:val="24"/>
              </w:rPr>
            </w:pPr>
          </w:p>
        </w:tc>
        <w:tc>
          <w:tcPr>
            <w:tcW w:w="883" w:type="dxa"/>
            <w:tcBorders>
              <w:top w:val="nil"/>
              <w:left w:val="nil"/>
              <w:bottom w:val="nil"/>
              <w:right w:val="nil"/>
            </w:tcBorders>
            <w:vAlign w:val="center"/>
          </w:tcPr>
          <w:p>
            <w:pPr>
              <w:widowControl/>
              <w:jc w:val="center"/>
              <w:rPr>
                <w:rFonts w:ascii="宋体" w:cs="宋体"/>
                <w:kern w:val="0"/>
                <w:sz w:val="24"/>
              </w:rPr>
            </w:pPr>
          </w:p>
        </w:tc>
        <w:tc>
          <w:tcPr>
            <w:tcW w:w="1950" w:type="dxa"/>
            <w:tcBorders>
              <w:top w:val="nil"/>
              <w:left w:val="nil"/>
              <w:bottom w:val="nil"/>
              <w:right w:val="nil"/>
            </w:tcBorders>
            <w:vAlign w:val="center"/>
          </w:tcPr>
          <w:p>
            <w:pPr>
              <w:widowControl/>
              <w:jc w:val="center"/>
              <w:rPr>
                <w:rFonts w:ascii="宋体" w:cs="宋体"/>
                <w:kern w:val="0"/>
                <w:sz w:val="24"/>
              </w:rPr>
            </w:pPr>
          </w:p>
        </w:tc>
        <w:tc>
          <w:tcPr>
            <w:tcW w:w="1992"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335" w:hRule="atLeast"/>
        </w:trPr>
        <w:tc>
          <w:tcPr>
            <w:tcW w:w="32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909"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基本公共卫生服务经费</w:t>
            </w:r>
          </w:p>
        </w:tc>
      </w:tr>
      <w:tr>
        <w:tblPrEx>
          <w:tblCellMar>
            <w:top w:w="0" w:type="dxa"/>
            <w:left w:w="108" w:type="dxa"/>
            <w:bottom w:w="0" w:type="dxa"/>
            <w:right w:w="108" w:type="dxa"/>
          </w:tblCellMar>
        </w:tblPrEx>
        <w:trPr>
          <w:trHeight w:val="346" w:hRule="atLeast"/>
        </w:trPr>
        <w:tc>
          <w:tcPr>
            <w:tcW w:w="3231"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909"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乌鲁木齐县卫生计生委　</w:t>
            </w:r>
          </w:p>
        </w:tc>
      </w:tr>
      <w:tr>
        <w:tblPrEx>
          <w:tblCellMar>
            <w:top w:w="0" w:type="dxa"/>
            <w:left w:w="108" w:type="dxa"/>
            <w:bottom w:w="0" w:type="dxa"/>
            <w:right w:w="108" w:type="dxa"/>
          </w:tblCellMar>
        </w:tblPrEx>
        <w:trPr>
          <w:trHeight w:val="370" w:hRule="atLeast"/>
        </w:trPr>
        <w:tc>
          <w:tcPr>
            <w:tcW w:w="72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9"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7"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147.8</w:t>
            </w:r>
          </w:p>
        </w:tc>
        <w:tc>
          <w:tcPr>
            <w:tcW w:w="195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992"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147.8　</w:t>
            </w:r>
          </w:p>
        </w:tc>
      </w:tr>
      <w:tr>
        <w:tblPrEx>
          <w:tblCellMar>
            <w:top w:w="0" w:type="dxa"/>
            <w:left w:w="108" w:type="dxa"/>
            <w:bottom w:w="0" w:type="dxa"/>
            <w:right w:w="108" w:type="dxa"/>
          </w:tblCellMar>
        </w:tblPrEx>
        <w:trPr>
          <w:trHeight w:val="404" w:hRule="atLeast"/>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9"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7"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147.8</w:t>
            </w:r>
          </w:p>
        </w:tc>
        <w:tc>
          <w:tcPr>
            <w:tcW w:w="195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92"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147.8　</w:t>
            </w:r>
          </w:p>
        </w:tc>
      </w:tr>
      <w:tr>
        <w:tblPrEx>
          <w:tblCellMar>
            <w:top w:w="0" w:type="dxa"/>
            <w:left w:w="108" w:type="dxa"/>
            <w:bottom w:w="0" w:type="dxa"/>
            <w:right w:w="108" w:type="dxa"/>
          </w:tblCellMar>
        </w:tblPrEx>
        <w:trPr>
          <w:trHeight w:val="448" w:hRule="atLeast"/>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9"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7"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0　</w:t>
            </w:r>
          </w:p>
        </w:tc>
        <w:tc>
          <w:tcPr>
            <w:tcW w:w="195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92"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　</w:t>
            </w:r>
          </w:p>
        </w:tc>
      </w:tr>
      <w:tr>
        <w:tblPrEx>
          <w:tblCellMar>
            <w:top w:w="0" w:type="dxa"/>
            <w:left w:w="108" w:type="dxa"/>
            <w:bottom w:w="0" w:type="dxa"/>
            <w:right w:w="108" w:type="dxa"/>
          </w:tblCellMar>
        </w:tblPrEx>
        <w:trPr>
          <w:trHeight w:val="358" w:hRule="atLeast"/>
        </w:trPr>
        <w:tc>
          <w:tcPr>
            <w:tcW w:w="72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76"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942"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116" w:hRule="atLeast"/>
        </w:trPr>
        <w:tc>
          <w:tcPr>
            <w:tcW w:w="72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76"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基本公共卫生服务的群众满意率90%。</w:t>
            </w:r>
          </w:p>
        </w:tc>
        <w:tc>
          <w:tcPr>
            <w:tcW w:w="3942"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cs="宋体"/>
                <w:kern w:val="0"/>
                <w:sz w:val="20"/>
                <w:szCs w:val="20"/>
              </w:rPr>
              <w:t>15项基本公共卫生服务按照要求完成目标任务。</w:t>
            </w:r>
          </w:p>
        </w:tc>
      </w:tr>
      <w:tr>
        <w:tblPrEx>
          <w:tblCellMar>
            <w:top w:w="0" w:type="dxa"/>
            <w:left w:w="108" w:type="dxa"/>
            <w:bottom w:w="0" w:type="dxa"/>
            <w:right w:w="108" w:type="dxa"/>
          </w:tblCellMar>
        </w:tblPrEx>
        <w:trPr>
          <w:trHeight w:val="568" w:hRule="atLeast"/>
        </w:trPr>
        <w:tc>
          <w:tcPr>
            <w:tcW w:w="72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4"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5"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7"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19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992"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93"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tcBorders>
              <w:top w:val="nil"/>
              <w:left w:val="single" w:color="auto" w:sz="4" w:space="0"/>
              <w:right w:val="single" w:color="auto" w:sz="4" w:space="0"/>
            </w:tcBorders>
            <w:vAlign w:val="center"/>
          </w:tcPr>
          <w:p>
            <w:pPr>
              <w:widowControl/>
              <w:jc w:val="center"/>
              <w:rPr>
                <w:rFonts w:ascii="宋体" w:hAnsi="宋体" w:cs="宋体"/>
                <w:kern w:val="0"/>
                <w:sz w:val="20"/>
                <w:szCs w:val="20"/>
              </w:rPr>
            </w:pPr>
          </w:p>
        </w:tc>
        <w:tc>
          <w:tcPr>
            <w:tcW w:w="1967" w:type="dxa"/>
            <w:gridSpan w:val="2"/>
            <w:tcBorders>
              <w:top w:val="single" w:color="auto" w:sz="4" w:space="0"/>
              <w:left w:val="nil"/>
              <w:bottom w:val="single" w:color="auto" w:sz="4" w:space="0"/>
              <w:right w:val="single" w:color="auto" w:sz="4" w:space="0"/>
            </w:tcBorders>
            <w:vAlign w:val="center"/>
          </w:tcPr>
          <w:p>
            <w:pPr>
              <w:widowControl/>
              <w:jc w:val="left"/>
            </w:pPr>
            <w:r>
              <w:rPr>
                <w:rFonts w:hint="eastAsia"/>
              </w:rPr>
              <w:t>适龄人群国家免疫规划疫苗接种率</w:t>
            </w:r>
          </w:p>
        </w:tc>
        <w:tc>
          <w:tcPr>
            <w:tcW w:w="195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适龄儿童全程接种率≥95%</w:t>
            </w:r>
          </w:p>
        </w:tc>
        <w:tc>
          <w:tcPr>
            <w:tcW w:w="199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适龄儿童全程接种率≥95%</w:t>
            </w:r>
          </w:p>
        </w:tc>
      </w:tr>
      <w:tr>
        <w:tblPrEx>
          <w:tblCellMar>
            <w:top w:w="0" w:type="dxa"/>
            <w:left w:w="108" w:type="dxa"/>
            <w:bottom w:w="0" w:type="dxa"/>
            <w:right w:w="108" w:type="dxa"/>
          </w:tblCellMar>
        </w:tblPrEx>
        <w:trPr>
          <w:trHeight w:val="736"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tcBorders>
              <w:top w:val="nil"/>
              <w:left w:val="single" w:color="auto" w:sz="4" w:space="0"/>
              <w:right w:val="single" w:color="auto" w:sz="4" w:space="0"/>
            </w:tcBorders>
            <w:vAlign w:val="center"/>
          </w:tcPr>
          <w:p>
            <w:pPr>
              <w:widowControl/>
              <w:jc w:val="center"/>
              <w:rPr>
                <w:rFonts w:ascii="宋体" w:hAnsi="宋体" w:cs="宋体"/>
                <w:kern w:val="0"/>
                <w:sz w:val="20"/>
                <w:szCs w:val="20"/>
              </w:rPr>
            </w:pPr>
          </w:p>
        </w:tc>
        <w:tc>
          <w:tcPr>
            <w:tcW w:w="1967" w:type="dxa"/>
            <w:gridSpan w:val="2"/>
            <w:tcBorders>
              <w:top w:val="single" w:color="auto" w:sz="4" w:space="0"/>
              <w:left w:val="nil"/>
              <w:bottom w:val="single" w:color="auto" w:sz="4" w:space="0"/>
              <w:right w:val="single" w:color="auto" w:sz="4" w:space="0"/>
            </w:tcBorders>
            <w:vAlign w:val="center"/>
          </w:tcPr>
          <w:p>
            <w:pPr>
              <w:widowControl/>
              <w:jc w:val="left"/>
            </w:pPr>
            <w:r>
              <w:rPr>
                <w:rFonts w:hint="eastAsia"/>
              </w:rPr>
              <w:t>结核病患者（包括耐多药结核病患者）管理率</w:t>
            </w:r>
          </w:p>
        </w:tc>
        <w:tc>
          <w:tcPr>
            <w:tcW w:w="195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肺结核患者规范管理率≥90%</w:t>
            </w:r>
          </w:p>
        </w:tc>
        <w:tc>
          <w:tcPr>
            <w:tcW w:w="199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肺结核患者规范管理率≥90%</w:t>
            </w:r>
          </w:p>
        </w:tc>
      </w:tr>
      <w:tr>
        <w:tblPrEx>
          <w:tblCellMar>
            <w:top w:w="0" w:type="dxa"/>
            <w:left w:w="108" w:type="dxa"/>
            <w:bottom w:w="0" w:type="dxa"/>
            <w:right w:w="108" w:type="dxa"/>
          </w:tblCellMar>
        </w:tblPrEx>
        <w:trPr>
          <w:trHeight w:val="493"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tcBorders>
              <w:top w:val="nil"/>
              <w:left w:val="single" w:color="auto" w:sz="4" w:space="0"/>
              <w:right w:val="single" w:color="auto" w:sz="4" w:space="0"/>
            </w:tcBorders>
            <w:vAlign w:val="center"/>
          </w:tcPr>
          <w:p>
            <w:pPr>
              <w:widowControl/>
              <w:jc w:val="center"/>
              <w:rPr>
                <w:rFonts w:ascii="宋体" w:hAnsi="宋体" w:cs="宋体"/>
                <w:kern w:val="0"/>
                <w:sz w:val="20"/>
                <w:szCs w:val="20"/>
              </w:rPr>
            </w:pPr>
          </w:p>
        </w:tc>
        <w:tc>
          <w:tcPr>
            <w:tcW w:w="1967" w:type="dxa"/>
            <w:gridSpan w:val="2"/>
            <w:tcBorders>
              <w:top w:val="single" w:color="auto" w:sz="4" w:space="0"/>
              <w:left w:val="nil"/>
              <w:bottom w:val="single" w:color="auto" w:sz="4" w:space="0"/>
              <w:right w:val="single" w:color="auto" w:sz="4" w:space="0"/>
            </w:tcBorders>
            <w:vAlign w:val="center"/>
          </w:tcPr>
          <w:p>
            <w:pPr>
              <w:widowControl/>
              <w:jc w:val="left"/>
            </w:pPr>
            <w:r>
              <w:rPr>
                <w:rFonts w:hint="eastAsia"/>
              </w:rPr>
              <w:t>65岁以上老年人健康管理率</w:t>
            </w:r>
          </w:p>
        </w:tc>
        <w:tc>
          <w:tcPr>
            <w:tcW w:w="195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老年人健康管理率≥70%</w:t>
            </w:r>
          </w:p>
        </w:tc>
        <w:tc>
          <w:tcPr>
            <w:tcW w:w="199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老年人健康管理率≥70%</w:t>
            </w:r>
          </w:p>
        </w:tc>
      </w:tr>
      <w:tr>
        <w:tblPrEx>
          <w:tblCellMar>
            <w:top w:w="0" w:type="dxa"/>
            <w:left w:w="108" w:type="dxa"/>
            <w:bottom w:w="0" w:type="dxa"/>
            <w:right w:w="108" w:type="dxa"/>
          </w:tblCellMar>
        </w:tblPrEx>
        <w:trPr>
          <w:trHeight w:val="1464"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tcBorders>
              <w:top w:val="nil"/>
              <w:left w:val="single" w:color="auto" w:sz="4" w:space="0"/>
              <w:right w:val="single" w:color="auto" w:sz="4" w:space="0"/>
            </w:tcBorders>
            <w:vAlign w:val="center"/>
          </w:tcPr>
          <w:p>
            <w:pPr>
              <w:widowControl/>
              <w:jc w:val="center"/>
              <w:rPr>
                <w:rFonts w:ascii="宋体" w:hAnsi="宋体" w:cs="宋体"/>
                <w:kern w:val="0"/>
                <w:sz w:val="20"/>
                <w:szCs w:val="20"/>
              </w:rPr>
            </w:pPr>
          </w:p>
        </w:tc>
        <w:tc>
          <w:tcPr>
            <w:tcW w:w="1967" w:type="dxa"/>
            <w:gridSpan w:val="2"/>
            <w:tcBorders>
              <w:top w:val="single" w:color="auto" w:sz="4" w:space="0"/>
              <w:left w:val="nil"/>
              <w:bottom w:val="single" w:color="auto" w:sz="4" w:space="0"/>
              <w:right w:val="single" w:color="auto" w:sz="4" w:space="0"/>
            </w:tcBorders>
            <w:vAlign w:val="center"/>
          </w:tcPr>
          <w:p>
            <w:pPr>
              <w:widowControl/>
              <w:jc w:val="left"/>
            </w:pPr>
            <w:r>
              <w:rPr>
                <w:rFonts w:hint="eastAsia"/>
              </w:rPr>
              <w:t>健康教育</w:t>
            </w:r>
          </w:p>
        </w:tc>
        <w:tc>
          <w:tcPr>
            <w:tcW w:w="195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居民健康素养66条及重大疾病（艾滋病、高血压、糖尿病、结核病、严重精神障碍）的核心知识知晓率≥90%</w:t>
            </w:r>
          </w:p>
        </w:tc>
        <w:tc>
          <w:tcPr>
            <w:tcW w:w="199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居民健康素养66条及重大疾病（艾滋病、高血压、糖尿病、结核病、严重精神障碍）的核心知识知晓率≥90%</w:t>
            </w:r>
          </w:p>
        </w:tc>
      </w:tr>
      <w:tr>
        <w:tblPrEx>
          <w:tblCellMar>
            <w:top w:w="0" w:type="dxa"/>
            <w:left w:w="108" w:type="dxa"/>
            <w:bottom w:w="0" w:type="dxa"/>
            <w:right w:w="108" w:type="dxa"/>
          </w:tblCellMar>
        </w:tblPrEx>
        <w:trPr>
          <w:trHeight w:val="736"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tcBorders>
              <w:top w:val="nil"/>
              <w:left w:val="single" w:color="auto" w:sz="4" w:space="0"/>
              <w:right w:val="single" w:color="auto" w:sz="4" w:space="0"/>
            </w:tcBorders>
            <w:vAlign w:val="center"/>
          </w:tcPr>
          <w:p>
            <w:pPr>
              <w:widowControl/>
              <w:jc w:val="center"/>
              <w:rPr>
                <w:rFonts w:ascii="宋体" w:hAnsi="宋体" w:cs="宋体"/>
                <w:kern w:val="0"/>
                <w:sz w:val="20"/>
                <w:szCs w:val="20"/>
              </w:rPr>
            </w:pPr>
          </w:p>
        </w:tc>
        <w:tc>
          <w:tcPr>
            <w:tcW w:w="1967" w:type="dxa"/>
            <w:gridSpan w:val="2"/>
            <w:tcBorders>
              <w:top w:val="single" w:color="auto" w:sz="4" w:space="0"/>
              <w:left w:val="nil"/>
              <w:bottom w:val="single" w:color="auto" w:sz="4" w:space="0"/>
              <w:right w:val="single" w:color="auto" w:sz="4" w:space="0"/>
            </w:tcBorders>
            <w:vAlign w:val="center"/>
          </w:tcPr>
          <w:p>
            <w:pPr>
              <w:widowControl/>
              <w:jc w:val="left"/>
            </w:pPr>
            <w:r>
              <w:rPr>
                <w:rFonts w:hint="eastAsia"/>
              </w:rPr>
              <w:t>中医药健康管理服务目标人群覆盖率</w:t>
            </w:r>
          </w:p>
        </w:tc>
        <w:tc>
          <w:tcPr>
            <w:tcW w:w="195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65岁以上老年人、0-3岁儿童：覆盖率≥95%；</w:t>
            </w:r>
          </w:p>
        </w:tc>
        <w:tc>
          <w:tcPr>
            <w:tcW w:w="199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65岁以上老年人、0-3岁儿童：覆盖率≥95%；</w:t>
            </w:r>
          </w:p>
        </w:tc>
      </w:tr>
      <w:tr>
        <w:tblPrEx>
          <w:tblCellMar>
            <w:top w:w="0" w:type="dxa"/>
            <w:left w:w="108" w:type="dxa"/>
            <w:bottom w:w="0" w:type="dxa"/>
            <w:right w:w="108" w:type="dxa"/>
          </w:tblCellMar>
        </w:tblPrEx>
        <w:trPr>
          <w:trHeight w:val="736"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tcBorders>
              <w:top w:val="nil"/>
              <w:left w:val="single" w:color="auto" w:sz="4" w:space="0"/>
              <w:right w:val="single" w:color="auto" w:sz="4" w:space="0"/>
            </w:tcBorders>
            <w:vAlign w:val="center"/>
          </w:tcPr>
          <w:p>
            <w:pPr>
              <w:widowControl/>
              <w:jc w:val="center"/>
              <w:rPr>
                <w:rFonts w:ascii="宋体" w:hAnsi="宋体" w:cs="宋体"/>
                <w:kern w:val="0"/>
                <w:sz w:val="20"/>
                <w:szCs w:val="20"/>
              </w:rPr>
            </w:pPr>
          </w:p>
        </w:tc>
        <w:tc>
          <w:tcPr>
            <w:tcW w:w="1967" w:type="dxa"/>
            <w:gridSpan w:val="2"/>
            <w:tcBorders>
              <w:top w:val="single" w:color="auto" w:sz="4" w:space="0"/>
              <w:left w:val="nil"/>
              <w:bottom w:val="single" w:color="auto" w:sz="4" w:space="0"/>
              <w:right w:val="single" w:color="auto" w:sz="4" w:space="0"/>
            </w:tcBorders>
            <w:vAlign w:val="center"/>
          </w:tcPr>
          <w:p>
            <w:pPr>
              <w:widowControl/>
              <w:jc w:val="left"/>
            </w:pPr>
            <w:r>
              <w:rPr>
                <w:rFonts w:hint="eastAsia"/>
              </w:rPr>
              <w:t>高血压患者健康管理率、规范管理率</w:t>
            </w:r>
          </w:p>
        </w:tc>
        <w:tc>
          <w:tcPr>
            <w:tcW w:w="195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健康管理率达≥40%、规范管理率≥60%</w:t>
            </w:r>
          </w:p>
        </w:tc>
        <w:tc>
          <w:tcPr>
            <w:tcW w:w="199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健康管理率达≥40%、规范管理率≥60%</w:t>
            </w:r>
          </w:p>
        </w:tc>
      </w:tr>
      <w:tr>
        <w:tblPrEx>
          <w:tblCellMar>
            <w:top w:w="0" w:type="dxa"/>
            <w:left w:w="108" w:type="dxa"/>
            <w:bottom w:w="0" w:type="dxa"/>
            <w:right w:w="108" w:type="dxa"/>
          </w:tblCellMar>
        </w:tblPrEx>
        <w:trPr>
          <w:trHeight w:val="493"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tcBorders>
              <w:top w:val="nil"/>
              <w:left w:val="single" w:color="auto" w:sz="4" w:space="0"/>
              <w:right w:val="single" w:color="auto" w:sz="4" w:space="0"/>
            </w:tcBorders>
            <w:vAlign w:val="center"/>
          </w:tcPr>
          <w:p>
            <w:pPr>
              <w:widowControl/>
              <w:jc w:val="center"/>
              <w:rPr>
                <w:rFonts w:ascii="宋体" w:hAnsi="宋体" w:cs="宋体"/>
                <w:kern w:val="0"/>
                <w:sz w:val="20"/>
                <w:szCs w:val="20"/>
              </w:rPr>
            </w:pPr>
          </w:p>
        </w:tc>
        <w:tc>
          <w:tcPr>
            <w:tcW w:w="1967" w:type="dxa"/>
            <w:gridSpan w:val="2"/>
            <w:tcBorders>
              <w:top w:val="single" w:color="auto" w:sz="4" w:space="0"/>
              <w:left w:val="nil"/>
              <w:bottom w:val="single" w:color="auto" w:sz="4" w:space="0"/>
              <w:right w:val="single" w:color="auto" w:sz="4" w:space="0"/>
            </w:tcBorders>
            <w:vAlign w:val="center"/>
          </w:tcPr>
          <w:p>
            <w:pPr>
              <w:widowControl/>
              <w:jc w:val="left"/>
            </w:pPr>
            <w:r>
              <w:rPr>
                <w:rFonts w:hint="eastAsia"/>
              </w:rPr>
              <w:t>糖尿病患者健康管理率、规范管理率</w:t>
            </w:r>
          </w:p>
        </w:tc>
        <w:tc>
          <w:tcPr>
            <w:tcW w:w="195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随访≥4次，体检一次</w:t>
            </w:r>
          </w:p>
        </w:tc>
        <w:tc>
          <w:tcPr>
            <w:tcW w:w="199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随访≥4次，体检一次</w:t>
            </w:r>
          </w:p>
        </w:tc>
      </w:tr>
      <w:tr>
        <w:tblPrEx>
          <w:tblCellMar>
            <w:top w:w="0" w:type="dxa"/>
            <w:left w:w="108" w:type="dxa"/>
            <w:bottom w:w="0" w:type="dxa"/>
            <w:right w:w="108" w:type="dxa"/>
          </w:tblCellMar>
        </w:tblPrEx>
        <w:trPr>
          <w:trHeight w:val="493"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tcBorders>
              <w:top w:val="nil"/>
              <w:left w:val="single" w:color="auto" w:sz="4" w:space="0"/>
              <w:right w:val="single" w:color="auto" w:sz="4" w:space="0"/>
            </w:tcBorders>
            <w:vAlign w:val="center"/>
          </w:tcPr>
          <w:p>
            <w:pPr>
              <w:widowControl/>
              <w:jc w:val="center"/>
              <w:rPr>
                <w:rFonts w:ascii="宋体" w:hAnsi="宋体" w:cs="宋体"/>
                <w:kern w:val="0"/>
                <w:sz w:val="20"/>
                <w:szCs w:val="20"/>
              </w:rPr>
            </w:pPr>
          </w:p>
        </w:tc>
        <w:tc>
          <w:tcPr>
            <w:tcW w:w="1967" w:type="dxa"/>
            <w:gridSpan w:val="2"/>
            <w:tcBorders>
              <w:top w:val="single" w:color="auto" w:sz="4" w:space="0"/>
              <w:left w:val="nil"/>
              <w:bottom w:val="single" w:color="auto" w:sz="4" w:space="0"/>
              <w:right w:val="single" w:color="auto" w:sz="4" w:space="0"/>
            </w:tcBorders>
            <w:vAlign w:val="center"/>
          </w:tcPr>
          <w:p>
            <w:pPr>
              <w:widowControl/>
              <w:jc w:val="left"/>
            </w:pPr>
            <w:r>
              <w:rPr>
                <w:rFonts w:hint="eastAsia"/>
              </w:rPr>
              <w:t>严重精神障碍患者管理率、检出率</w:t>
            </w:r>
          </w:p>
        </w:tc>
        <w:tc>
          <w:tcPr>
            <w:tcW w:w="195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随访≥4次，体检一次，服药率≥75%</w:t>
            </w:r>
          </w:p>
        </w:tc>
        <w:tc>
          <w:tcPr>
            <w:tcW w:w="199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随访≥4次，体检一次，服药率≥75%</w:t>
            </w:r>
          </w:p>
        </w:tc>
      </w:tr>
      <w:tr>
        <w:tblPrEx>
          <w:tblCellMar>
            <w:top w:w="0" w:type="dxa"/>
            <w:left w:w="108" w:type="dxa"/>
            <w:bottom w:w="0" w:type="dxa"/>
            <w:right w:w="108" w:type="dxa"/>
          </w:tblCellMar>
        </w:tblPrEx>
        <w:trPr>
          <w:trHeight w:val="736"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tcBorders>
              <w:top w:val="nil"/>
              <w:left w:val="single" w:color="auto" w:sz="4" w:space="0"/>
              <w:right w:val="single" w:color="auto" w:sz="4" w:space="0"/>
            </w:tcBorders>
            <w:vAlign w:val="center"/>
          </w:tcPr>
          <w:p>
            <w:pPr>
              <w:widowControl/>
              <w:jc w:val="center"/>
              <w:rPr>
                <w:rFonts w:ascii="宋体" w:hAnsi="宋体" w:cs="宋体"/>
                <w:kern w:val="0"/>
                <w:sz w:val="20"/>
                <w:szCs w:val="20"/>
              </w:rPr>
            </w:pPr>
          </w:p>
        </w:tc>
        <w:tc>
          <w:tcPr>
            <w:tcW w:w="1967" w:type="dxa"/>
            <w:gridSpan w:val="2"/>
            <w:tcBorders>
              <w:top w:val="single" w:color="auto" w:sz="4" w:space="0"/>
              <w:left w:val="nil"/>
              <w:bottom w:val="single" w:color="auto" w:sz="4" w:space="0"/>
              <w:right w:val="single" w:color="auto" w:sz="4" w:space="0"/>
            </w:tcBorders>
            <w:vAlign w:val="center"/>
          </w:tcPr>
          <w:p>
            <w:pPr>
              <w:widowControl/>
              <w:jc w:val="left"/>
            </w:pPr>
            <w:r>
              <w:rPr>
                <w:rFonts w:hint="eastAsia"/>
              </w:rPr>
              <w:t>居民健康档案建档建档率、电子建档率</w:t>
            </w:r>
          </w:p>
        </w:tc>
        <w:tc>
          <w:tcPr>
            <w:tcW w:w="195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99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r>
      <w:tr>
        <w:tblPrEx>
          <w:tblCellMar>
            <w:top w:w="0" w:type="dxa"/>
            <w:left w:w="108" w:type="dxa"/>
            <w:bottom w:w="0" w:type="dxa"/>
            <w:right w:w="108" w:type="dxa"/>
          </w:tblCellMar>
        </w:tblPrEx>
        <w:trPr>
          <w:trHeight w:val="493"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tcBorders>
              <w:top w:val="nil"/>
              <w:left w:val="single" w:color="auto" w:sz="4" w:space="0"/>
              <w:right w:val="single" w:color="auto" w:sz="4" w:space="0"/>
            </w:tcBorders>
            <w:vAlign w:val="center"/>
          </w:tcPr>
          <w:p>
            <w:pPr>
              <w:widowControl/>
              <w:jc w:val="center"/>
              <w:rPr>
                <w:rFonts w:ascii="宋体" w:hAnsi="宋体" w:cs="宋体"/>
                <w:kern w:val="0"/>
                <w:sz w:val="20"/>
                <w:szCs w:val="20"/>
              </w:rPr>
            </w:pPr>
          </w:p>
        </w:tc>
        <w:tc>
          <w:tcPr>
            <w:tcW w:w="1967" w:type="dxa"/>
            <w:gridSpan w:val="2"/>
            <w:tcBorders>
              <w:top w:val="single" w:color="auto" w:sz="4" w:space="0"/>
              <w:left w:val="nil"/>
              <w:bottom w:val="single" w:color="auto" w:sz="4" w:space="0"/>
              <w:right w:val="single" w:color="auto" w:sz="4" w:space="0"/>
            </w:tcBorders>
            <w:vAlign w:val="center"/>
          </w:tcPr>
          <w:p>
            <w:pPr>
              <w:widowControl/>
              <w:jc w:val="left"/>
            </w:pPr>
            <w:r>
              <w:rPr>
                <w:rFonts w:hint="eastAsia"/>
              </w:rPr>
              <w:t>0-6岁儿童健康管理率、访视率</w:t>
            </w:r>
          </w:p>
        </w:tc>
        <w:tc>
          <w:tcPr>
            <w:tcW w:w="195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0-6岁儿童、新生儿随访</w:t>
            </w:r>
          </w:p>
        </w:tc>
        <w:tc>
          <w:tcPr>
            <w:tcW w:w="199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0-6岁儿童、新生儿随访</w:t>
            </w:r>
          </w:p>
        </w:tc>
      </w:tr>
      <w:tr>
        <w:tblPrEx>
          <w:tblCellMar>
            <w:top w:w="0" w:type="dxa"/>
            <w:left w:w="108" w:type="dxa"/>
            <w:bottom w:w="0" w:type="dxa"/>
            <w:right w:w="108" w:type="dxa"/>
          </w:tblCellMar>
        </w:tblPrEx>
        <w:trPr>
          <w:trHeight w:val="493"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tcBorders>
              <w:top w:val="nil"/>
              <w:left w:val="single" w:color="auto" w:sz="4" w:space="0"/>
              <w:right w:val="single" w:color="auto" w:sz="4" w:space="0"/>
            </w:tcBorders>
            <w:vAlign w:val="center"/>
          </w:tcPr>
          <w:p>
            <w:pPr>
              <w:widowControl/>
              <w:jc w:val="center"/>
              <w:rPr>
                <w:rFonts w:ascii="宋体" w:hAnsi="宋体" w:cs="宋体"/>
                <w:kern w:val="0"/>
                <w:sz w:val="20"/>
                <w:szCs w:val="20"/>
              </w:rPr>
            </w:pPr>
          </w:p>
        </w:tc>
        <w:tc>
          <w:tcPr>
            <w:tcW w:w="1967" w:type="dxa"/>
            <w:gridSpan w:val="2"/>
            <w:tcBorders>
              <w:top w:val="single" w:color="auto" w:sz="4" w:space="0"/>
              <w:left w:val="nil"/>
              <w:bottom w:val="single" w:color="auto" w:sz="4" w:space="0"/>
              <w:right w:val="single" w:color="auto" w:sz="4" w:space="0"/>
            </w:tcBorders>
            <w:vAlign w:val="center"/>
          </w:tcPr>
          <w:p>
            <w:pPr>
              <w:widowControl/>
              <w:jc w:val="left"/>
            </w:pPr>
            <w:r>
              <w:rPr>
                <w:rFonts w:hint="eastAsia"/>
              </w:rPr>
              <w:t>孕产妇健康管理率、产后访视次数</w:t>
            </w:r>
          </w:p>
        </w:tc>
        <w:tc>
          <w:tcPr>
            <w:tcW w:w="195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早孕建册、产后随访</w:t>
            </w:r>
          </w:p>
        </w:tc>
        <w:tc>
          <w:tcPr>
            <w:tcW w:w="199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早孕建册、产后随访</w:t>
            </w:r>
          </w:p>
        </w:tc>
      </w:tr>
      <w:tr>
        <w:tblPrEx>
          <w:tblCellMar>
            <w:top w:w="0" w:type="dxa"/>
            <w:left w:w="108" w:type="dxa"/>
            <w:bottom w:w="0" w:type="dxa"/>
            <w:right w:w="108" w:type="dxa"/>
          </w:tblCellMar>
        </w:tblPrEx>
        <w:trPr>
          <w:trHeight w:val="736"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tcBorders>
              <w:top w:val="nil"/>
              <w:left w:val="single" w:color="auto" w:sz="4" w:space="0"/>
              <w:right w:val="single" w:color="auto" w:sz="4" w:space="0"/>
            </w:tcBorders>
            <w:vAlign w:val="center"/>
          </w:tcPr>
          <w:p>
            <w:pPr>
              <w:widowControl/>
              <w:jc w:val="center"/>
              <w:rPr>
                <w:rFonts w:ascii="宋体" w:hAnsi="宋体" w:cs="宋体"/>
                <w:kern w:val="0"/>
                <w:sz w:val="20"/>
                <w:szCs w:val="20"/>
              </w:rPr>
            </w:pPr>
          </w:p>
        </w:tc>
        <w:tc>
          <w:tcPr>
            <w:tcW w:w="1967" w:type="dxa"/>
            <w:gridSpan w:val="2"/>
            <w:tcBorders>
              <w:top w:val="single" w:color="auto" w:sz="4" w:space="0"/>
              <w:left w:val="nil"/>
              <w:bottom w:val="single" w:color="auto" w:sz="4" w:space="0"/>
              <w:right w:val="single" w:color="auto" w:sz="4" w:space="0"/>
            </w:tcBorders>
            <w:vAlign w:val="center"/>
          </w:tcPr>
          <w:p>
            <w:pPr>
              <w:widowControl/>
              <w:jc w:val="left"/>
            </w:pPr>
            <w:r>
              <w:rPr>
                <w:rFonts w:hint="eastAsia"/>
              </w:rPr>
              <w:t>传染病及突发公共卫生事件报告和处理率</w:t>
            </w:r>
          </w:p>
        </w:tc>
        <w:tc>
          <w:tcPr>
            <w:tcW w:w="195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登记规范、报告率、及时率</w:t>
            </w:r>
          </w:p>
        </w:tc>
        <w:tc>
          <w:tcPr>
            <w:tcW w:w="199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登记规范、报告率、及时率</w:t>
            </w:r>
          </w:p>
        </w:tc>
      </w:tr>
      <w:tr>
        <w:tblPrEx>
          <w:tblCellMar>
            <w:top w:w="0" w:type="dxa"/>
            <w:left w:w="108" w:type="dxa"/>
            <w:bottom w:w="0" w:type="dxa"/>
            <w:right w:w="108" w:type="dxa"/>
          </w:tblCellMar>
        </w:tblPrEx>
        <w:trPr>
          <w:trHeight w:val="493"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vMerge w:val="restart"/>
            <w:tcBorders>
              <w:top w:val="nil"/>
              <w:left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7" w:type="dxa"/>
            <w:gridSpan w:val="2"/>
            <w:tcBorders>
              <w:top w:val="single" w:color="auto" w:sz="4" w:space="0"/>
              <w:left w:val="nil"/>
              <w:bottom w:val="single" w:color="auto" w:sz="4" w:space="0"/>
              <w:right w:val="single" w:color="auto" w:sz="4" w:space="0"/>
            </w:tcBorders>
            <w:vAlign w:val="center"/>
          </w:tcPr>
          <w:p>
            <w:pPr>
              <w:widowControl/>
              <w:jc w:val="left"/>
            </w:pPr>
            <w:r>
              <w:rPr>
                <w:rFonts w:hint="eastAsia"/>
              </w:rPr>
              <w:t>卫生监督协管信息报告率</w:t>
            </w:r>
          </w:p>
        </w:tc>
        <w:tc>
          <w:tcPr>
            <w:tcW w:w="195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报告率100%</w:t>
            </w:r>
          </w:p>
        </w:tc>
        <w:tc>
          <w:tcPr>
            <w:tcW w:w="1992"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报告率100%</w:t>
            </w:r>
          </w:p>
        </w:tc>
      </w:tr>
      <w:tr>
        <w:tblPrEx>
          <w:tblCellMar>
            <w:top w:w="0" w:type="dxa"/>
            <w:left w:w="108" w:type="dxa"/>
            <w:bottom w:w="0" w:type="dxa"/>
            <w:right w:w="108" w:type="dxa"/>
          </w:tblCellMar>
        </w:tblPrEx>
        <w:trPr>
          <w:trHeight w:val="381"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365" w:type="dxa"/>
            <w:vMerge w:val="continue"/>
            <w:tcBorders>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p>
        </w:tc>
        <w:tc>
          <w:tcPr>
            <w:tcW w:w="1967"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一体化管理</w:t>
            </w:r>
          </w:p>
        </w:tc>
        <w:tc>
          <w:tcPr>
            <w:tcW w:w="195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管理率100%</w:t>
            </w:r>
          </w:p>
        </w:tc>
        <w:tc>
          <w:tcPr>
            <w:tcW w:w="1992"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管理率100%</w:t>
            </w:r>
          </w:p>
        </w:tc>
      </w:tr>
      <w:tr>
        <w:tblPrEx>
          <w:tblCellMar>
            <w:top w:w="0" w:type="dxa"/>
            <w:left w:w="108" w:type="dxa"/>
            <w:bottom w:w="0" w:type="dxa"/>
            <w:right w:w="108" w:type="dxa"/>
          </w:tblCellMar>
        </w:tblPrEx>
        <w:trPr>
          <w:trHeight w:val="1464"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5" w:type="dxa"/>
            <w:vMerge w:val="continue"/>
            <w:tcBorders>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p>
        </w:tc>
        <w:tc>
          <w:tcPr>
            <w:tcW w:w="1967"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家庭医生签约式服务</w:t>
            </w:r>
          </w:p>
        </w:tc>
        <w:tc>
          <w:tcPr>
            <w:tcW w:w="195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家庭医生签约率≥60%；重点人群签约率80%；建档立卡贫困人口等签约率100%，签约居民满意度≥90%。</w:t>
            </w:r>
          </w:p>
        </w:tc>
        <w:tc>
          <w:tcPr>
            <w:tcW w:w="1992"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家庭医生签约率≥60%；重点人群签约率80%；建档立卡贫困人口等签约率100%，签约居民满意度≥90%。</w:t>
            </w:r>
          </w:p>
        </w:tc>
      </w:tr>
      <w:tr>
        <w:tblPrEx>
          <w:tblCellMar>
            <w:top w:w="0" w:type="dxa"/>
            <w:left w:w="108" w:type="dxa"/>
            <w:bottom w:w="0" w:type="dxa"/>
            <w:right w:w="108" w:type="dxa"/>
          </w:tblCellMar>
        </w:tblPrEx>
        <w:trPr>
          <w:trHeight w:val="381"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5"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7"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195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992"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381"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5"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7"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195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992"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381"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5"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7"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195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992"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93"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5"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7"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195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992"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93"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5"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7"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195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992"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93"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5"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7"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195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992"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93"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5"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7"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195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992"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501" w:hRule="atLeast"/>
        </w:trPr>
        <w:tc>
          <w:tcPr>
            <w:tcW w:w="7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4"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5"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7"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rPr>
              <w:t>群众对计生服务满意度</w:t>
            </w:r>
          </w:p>
        </w:tc>
        <w:tc>
          <w:tcPr>
            <w:tcW w:w="195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满意度100%　</w:t>
            </w:r>
          </w:p>
        </w:tc>
        <w:tc>
          <w:tcPr>
            <w:tcW w:w="1992"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入户调查情况反馈满意度100%</w:t>
            </w:r>
          </w:p>
        </w:tc>
      </w:tr>
    </w:tbl>
    <w:tbl>
      <w:tblPr>
        <w:tblStyle w:val="6"/>
        <w:tblpPr w:leftFromText="180" w:rightFromText="180" w:vertAnchor="text" w:horzAnchor="margin" w:tblpY="-1439"/>
        <w:tblW w:w="9020" w:type="dxa"/>
        <w:tblInd w:w="0"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公立医院中央医疗服务能力提升补助资金项目绩效自评综述：根据年初设定的绩效目标，公立医院中央医疗服务能力提升</w:t>
            </w:r>
          </w:p>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ascii="宋体" w:cs="宋体"/>
                <w:b/>
                <w:bCs/>
                <w:kern w:val="0"/>
                <w:sz w:val="32"/>
                <w:szCs w:val="32"/>
              </w:rPr>
            </w:pPr>
            <w:r>
              <w:rPr>
                <w:rFonts w:hint="eastAsia" w:ascii="仿宋_GB2312" w:eastAsia="仿宋_GB2312"/>
                <w:sz w:val="32"/>
                <w:szCs w:val="32"/>
              </w:rPr>
              <w:t>补助资金项目绩效自评得分为</w:t>
            </w:r>
            <w:r>
              <w:rPr>
                <w:rFonts w:hint="eastAsia" w:ascii="仿宋_GB2312" w:eastAsia="仿宋_GB2312"/>
                <w:sz w:val="32"/>
                <w:szCs w:val="32"/>
                <w:lang w:val="en-US" w:eastAsia="zh-CN"/>
              </w:rPr>
              <w:t>89</w:t>
            </w:r>
            <w:r>
              <w:rPr>
                <w:rFonts w:hint="eastAsia" w:ascii="仿宋_GB2312" w:eastAsia="仿宋_GB2312"/>
                <w:sz w:val="32"/>
                <w:szCs w:val="32"/>
              </w:rPr>
              <w:t>分。项目全年预算数为</w:t>
            </w:r>
            <w:r>
              <w:rPr>
                <w:rFonts w:hint="eastAsia" w:ascii="仿宋_GB2312" w:eastAsia="仿宋_GB2312"/>
                <w:sz w:val="32"/>
                <w:szCs w:val="32"/>
                <w:lang w:val="en-US" w:eastAsia="zh-CN"/>
              </w:rPr>
              <w:t>140</w:t>
            </w:r>
            <w:r>
              <w:rPr>
                <w:rFonts w:hint="eastAsia" w:ascii="仿宋_GB2312" w:eastAsia="仿宋_GB2312"/>
                <w:sz w:val="32"/>
                <w:szCs w:val="32"/>
              </w:rPr>
              <w:t>万元，执行数为</w:t>
            </w:r>
            <w:r>
              <w:rPr>
                <w:rFonts w:hint="eastAsia" w:ascii="仿宋_GB2312" w:eastAsia="仿宋_GB2312"/>
                <w:sz w:val="32"/>
                <w:szCs w:val="32"/>
                <w:lang w:val="en-US" w:eastAsia="zh-CN"/>
              </w:rPr>
              <w:t>140</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主要产出和效果：县人民医院基础设施、基本医疗，服务当地农牧民。发现的问题及原因：强化督导职能，对照《规范》要求和国家、省考核标准，督促、指导工作，对卫生服务项目逐一过关、逐一达标，促进我县基本公共卫生工作再上新台阶。下一步改进措施：强化宣传。进一步加大宣传力度。有关项目自评情况可以附项目支出绩效自评表。</w:t>
            </w:r>
          </w:p>
          <w:p>
            <w:pPr>
              <w:widowControl/>
              <w:ind w:firstLine="1446" w:firstLineChars="450"/>
              <w:rPr>
                <w:rFonts w:ascii="宋体" w:cs="宋体"/>
                <w:b/>
                <w:bCs/>
                <w:kern w:val="0"/>
                <w:sz w:val="32"/>
                <w:szCs w:val="32"/>
              </w:rPr>
            </w:pPr>
            <w:bookmarkStart w:id="0" w:name="_GoBack"/>
            <w:bookmarkEnd w:id="0"/>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公立医院</w:t>
            </w:r>
            <w:r>
              <w:rPr>
                <w:rFonts w:hint="eastAsia"/>
              </w:rPr>
              <w:t xml:space="preserve"> </w:t>
            </w:r>
            <w:r>
              <w:rPr>
                <w:rFonts w:hint="eastAsia" w:ascii="宋体" w:hAnsi="宋体" w:cs="宋体"/>
                <w:kern w:val="0"/>
                <w:sz w:val="20"/>
                <w:szCs w:val="20"/>
              </w:rPr>
              <w:t>2018年中央医疗服务能力提升补助资金</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乌县卫计委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140</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140</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pStyle w:val="4"/>
              <w:shd w:val="clear" w:color="auto" w:fill="FFFFFF"/>
              <w:spacing w:after="270" w:line="330" w:lineRule="atLeast"/>
              <w:jc w:val="both"/>
              <w:rPr>
                <w:rFonts w:ascii="Arial" w:hAnsi="Arial" w:cs="Arial"/>
                <w:color w:val="333333"/>
                <w:sz w:val="21"/>
                <w:szCs w:val="21"/>
              </w:rPr>
            </w:pPr>
            <w:r>
              <w:rPr>
                <w:rFonts w:hint="eastAsia"/>
                <w:sz w:val="20"/>
                <w:szCs w:val="20"/>
              </w:rPr>
              <w:t>　</w:t>
            </w:r>
            <w:r>
              <w:rPr>
                <w:rFonts w:hint="eastAsia" w:ascii="Arial" w:hAnsi="Arial" w:cs="Arial"/>
                <w:color w:val="333333"/>
                <w:sz w:val="21"/>
                <w:szCs w:val="21"/>
              </w:rPr>
              <w:t>完成县人民医院基础设施、基本医疗，服务当地农牧民。</w:t>
            </w:r>
          </w:p>
          <w:p>
            <w:pPr>
              <w:widowControl/>
              <w:jc w:val="left"/>
              <w:rPr>
                <w:rFonts w:ascii="宋体" w:cs="宋体"/>
                <w:kern w:val="0"/>
                <w:sz w:val="20"/>
                <w:szCs w:val="20"/>
              </w:rPr>
            </w:pP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cs="宋体"/>
                <w:kern w:val="0"/>
                <w:sz w:val="20"/>
                <w:szCs w:val="20"/>
              </w:rPr>
              <w:t>未完成医疗启用工作。</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Arial" w:hAnsi="Arial" w:cs="Arial"/>
                <w:color w:val="333333"/>
                <w:szCs w:val="21"/>
              </w:rPr>
              <w:t>县人民医院基础设施</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r>
              <w:rPr>
                <w:rFonts w:hint="eastAsia" w:ascii="宋体" w:hAnsi="宋体" w:cs="宋体"/>
                <w:sz w:val="18"/>
                <w:szCs w:val="18"/>
              </w:rPr>
              <w:t>完成90%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left w:val="single" w:color="auto"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sz w:val="20"/>
                <w:szCs w:val="20"/>
              </w:rPr>
              <w:t>基本医疗</w:t>
            </w:r>
          </w:p>
        </w:tc>
        <w:tc>
          <w:tcPr>
            <w:tcW w:w="1780" w:type="dxa"/>
            <w:tcBorders>
              <w:top w:val="nil"/>
              <w:left w:val="nil"/>
              <w:bottom w:val="single" w:color="auto" w:sz="4" w:space="0"/>
              <w:right w:val="single" w:color="auto" w:sz="4" w:space="0"/>
            </w:tcBorders>
            <w:vAlign w:val="center"/>
          </w:tcPr>
          <w:p>
            <w:pPr>
              <w:ind w:firstLine="640"/>
              <w:rPr>
                <w:rFonts w:ascii="宋体" w:cs="宋体"/>
                <w:kern w:val="0"/>
                <w:sz w:val="20"/>
                <w:szCs w:val="20"/>
              </w:rPr>
            </w:pPr>
            <w:r>
              <w:rPr>
                <w:rFonts w:hint="eastAsia" w:ascii="宋体" w:cs="宋体"/>
                <w:kern w:val="0"/>
                <w:sz w:val="20"/>
                <w:szCs w:val="20"/>
              </w:rPr>
              <w:t>未完成</w:t>
            </w:r>
          </w:p>
        </w:tc>
      </w:tr>
      <w:tr>
        <w:tblPrEx>
          <w:tblCellMar>
            <w:top w:w="0" w:type="dxa"/>
            <w:left w:w="108" w:type="dxa"/>
            <w:bottom w:w="0" w:type="dxa"/>
            <w:right w:w="108" w:type="dxa"/>
          </w:tblCellMar>
        </w:tblPrEx>
        <w:trPr>
          <w:trHeight w:val="363"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left w:val="single" w:color="auto"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3</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rPr>
                <w:rFonts w:ascii="宋体" w:cs="宋体"/>
                <w:kern w:val="0"/>
                <w:sz w:val="20"/>
                <w:szCs w:val="20"/>
              </w:rPr>
            </w:pPr>
          </w:p>
        </w:tc>
      </w:tr>
      <w:tr>
        <w:tblPrEx>
          <w:tblCellMar>
            <w:top w:w="0" w:type="dxa"/>
            <w:left w:w="108" w:type="dxa"/>
            <w:bottom w:w="0" w:type="dxa"/>
            <w:right w:w="108" w:type="dxa"/>
          </w:tblCellMar>
        </w:tblPrEx>
        <w:trPr>
          <w:trHeight w:val="12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left w:val="single" w:color="auto"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ind w:firstLine="100" w:firstLineChars="50"/>
              <w:jc w:val="left"/>
              <w:rPr>
                <w:rFonts w:ascii="宋体" w:cs="宋体"/>
                <w:kern w:val="0"/>
                <w:sz w:val="20"/>
                <w:szCs w:val="20"/>
              </w:rPr>
            </w:pPr>
            <w:r>
              <w:rPr>
                <w:rFonts w:hint="eastAsia" w:ascii="宋体" w:hAnsi="宋体" w:cs="宋体"/>
                <w:kern w:val="0"/>
                <w:sz w:val="20"/>
                <w:szCs w:val="20"/>
              </w:rPr>
              <w:t>指标4：</w:t>
            </w:r>
          </w:p>
        </w:tc>
        <w:tc>
          <w:tcPr>
            <w:tcW w:w="2060" w:type="dxa"/>
            <w:tcBorders>
              <w:top w:val="single" w:color="auto" w:sz="4" w:space="0"/>
              <w:left w:val="nil"/>
              <w:bottom w:val="single" w:color="auto" w:sz="4" w:space="0"/>
              <w:right w:val="single" w:color="auto" w:sz="4" w:space="0"/>
            </w:tcBorders>
            <w:vAlign w:val="center"/>
          </w:tcPr>
          <w:p>
            <w:pPr>
              <w:jc w:val="left"/>
              <w:rPr>
                <w:rFonts w:ascii="宋体" w:cs="宋体"/>
                <w:sz w:val="20"/>
                <w:szCs w:val="20"/>
              </w:rPr>
            </w:pPr>
          </w:p>
        </w:tc>
        <w:tc>
          <w:tcPr>
            <w:tcW w:w="1780" w:type="dxa"/>
            <w:tcBorders>
              <w:top w:val="single" w:color="auto" w:sz="4" w:space="0"/>
              <w:left w:val="nil"/>
              <w:bottom w:val="single" w:color="auto" w:sz="4" w:space="0"/>
              <w:right w:val="single" w:color="auto" w:sz="4" w:space="0"/>
            </w:tcBorders>
            <w:vAlign w:val="center"/>
          </w:tcPr>
          <w:p>
            <w:pPr>
              <w:jc w:val="left"/>
              <w:rPr>
                <w:rFonts w:ascii="宋体" w:cs="宋体"/>
                <w:sz w:val="20"/>
                <w:szCs w:val="20"/>
              </w:rPr>
            </w:pPr>
          </w:p>
        </w:tc>
      </w:tr>
      <w:tr>
        <w:tblPrEx>
          <w:tblCellMar>
            <w:top w:w="0" w:type="dxa"/>
            <w:left w:w="108" w:type="dxa"/>
            <w:bottom w:w="0" w:type="dxa"/>
            <w:right w:w="108" w:type="dxa"/>
          </w:tblCellMar>
        </w:tblPrEx>
        <w:trPr>
          <w:trHeight w:val="345"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5</w:t>
            </w:r>
            <w:r>
              <w:rPr>
                <w:rFonts w:hint="eastAsia" w:ascii="宋体" w:hAnsi="宋体" w:cs="宋体"/>
                <w:kern w:val="0"/>
                <w:sz w:val="20"/>
                <w:szCs w:val="20"/>
              </w:rPr>
              <w:t>：</w:t>
            </w:r>
          </w:p>
        </w:tc>
        <w:tc>
          <w:tcPr>
            <w:tcW w:w="2060" w:type="dxa"/>
            <w:tcBorders>
              <w:top w:val="single" w:color="auto" w:sz="4" w:space="0"/>
              <w:left w:val="nil"/>
              <w:bottom w:val="single" w:color="auto" w:sz="4" w:space="0"/>
              <w:right w:val="single" w:color="auto" w:sz="4" w:space="0"/>
            </w:tcBorders>
            <w:vAlign w:val="center"/>
          </w:tcPr>
          <w:p>
            <w:pPr>
              <w:jc w:val="left"/>
              <w:rPr>
                <w:rFonts w:ascii="宋体" w:cs="宋体"/>
                <w:sz w:val="20"/>
                <w:szCs w:val="20"/>
              </w:rPr>
            </w:pPr>
          </w:p>
        </w:tc>
        <w:tc>
          <w:tcPr>
            <w:tcW w:w="1780" w:type="dxa"/>
            <w:tcBorders>
              <w:top w:val="single" w:color="auto" w:sz="4" w:space="0"/>
              <w:left w:val="nil"/>
              <w:bottom w:val="single" w:color="auto" w:sz="4" w:space="0"/>
              <w:right w:val="single" w:color="auto" w:sz="4" w:space="0"/>
            </w:tcBorders>
            <w:vAlign w:val="center"/>
          </w:tcPr>
          <w:p>
            <w:pPr>
              <w:jc w:val="left"/>
              <w:rPr>
                <w:rFonts w:ascii="宋体" w:cs="宋体"/>
                <w:sz w:val="20"/>
                <w:szCs w:val="20"/>
              </w:rPr>
            </w:pPr>
          </w:p>
        </w:tc>
      </w:tr>
      <w:tr>
        <w:tblPrEx>
          <w:tblCellMar>
            <w:top w:w="0" w:type="dxa"/>
            <w:left w:w="108" w:type="dxa"/>
            <w:bottom w:w="0" w:type="dxa"/>
            <w:right w:w="108" w:type="dxa"/>
          </w:tblCellMar>
        </w:tblPrEx>
        <w:trPr>
          <w:trHeight w:val="293"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398"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289"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p>
    <w:p>
      <w:pPr>
        <w:spacing w:line="540" w:lineRule="exact"/>
        <w:ind w:firstLine="660"/>
        <w:rPr>
          <w:rFonts w:hint="eastAsia" w:ascii="仿宋_GB2312" w:eastAsia="仿宋_GB2312"/>
          <w:sz w:val="32"/>
          <w:szCs w:val="32"/>
        </w:rPr>
      </w:pPr>
      <w:r>
        <w:rPr>
          <w:rFonts w:hint="eastAsia" w:ascii="仿宋_GB2312" w:eastAsia="仿宋_GB2312"/>
          <w:sz w:val="32"/>
          <w:szCs w:val="32"/>
          <w:lang w:val="en-US" w:eastAsia="zh-CN"/>
        </w:rPr>
        <w:t>计划生育奖励扶助金项目绩效自评综述：根据年初设定的绩效目标，计划生育奖励扶助金项目绩效自评得分为90分。项目全年预算数为230万元，执行数为156.2万元，完成预算的67.91%。主要产出和效果：因年中扶助对象情况变化，年度扶助对象较预期大幅度减少，实际使用152.6万元。发现的问题及原因：1.计划生育奖励金对“少生”的效果体现较快，而“快富”的效应尚不够显著。</w:t>
      </w:r>
      <w:r>
        <w:rPr>
          <w:rFonts w:hint="eastAsia" w:ascii="仿宋" w:hAnsi="仿宋" w:eastAsia="仿宋" w:cs="仿宋_GB2312"/>
          <w:sz w:val="32"/>
          <w:szCs w:val="32"/>
        </w:rPr>
        <w:t>对经济基础较差的农牧民家庭而言，几千元的奖励扶助资金并不能致富。在奖励资金兑现后，其它帮扶和配套措施难以全面及时跟进，相关部门配合程度不够，与群众的期盼还有差距。</w:t>
      </w:r>
      <w:r>
        <w:rPr>
          <w:rFonts w:hint="eastAsia" w:ascii="仿宋" w:hAnsi="仿宋" w:eastAsia="仿宋"/>
          <w:sz w:val="32"/>
          <w:szCs w:val="32"/>
        </w:rPr>
        <w:t>2.独生子女死亡家庭扶助标准高于伤残家庭，但事实上，伤残家庭照顾残疾子女付出的精力和资金相对较大，尤其是在特殊家庭成员年老时，在照顾自己的同时还要照顾伤残儿女，需要更多经济和精神上的帮助</w:t>
      </w:r>
      <w:r>
        <w:rPr>
          <w:rFonts w:hint="eastAsia" w:ascii="仿宋_GB2312" w:eastAsia="仿宋_GB2312"/>
          <w:sz w:val="32"/>
          <w:szCs w:val="32"/>
        </w:rPr>
        <w:t>。下一步改进措施：</w:t>
      </w:r>
      <w:r>
        <w:rPr>
          <w:rFonts w:hint="eastAsia" w:ascii="仿宋_GB2312" w:eastAsia="仿宋_GB2312"/>
          <w:sz w:val="32"/>
          <w:szCs w:val="32"/>
          <w:lang w:eastAsia="zh-CN"/>
        </w:rPr>
        <w:t>单位无下一步措施</w:t>
      </w:r>
      <w:r>
        <w:rPr>
          <w:rFonts w:hint="eastAsia" w:ascii="仿宋_GB2312" w:eastAsia="仿宋_GB2312"/>
          <w:sz w:val="32"/>
          <w:szCs w:val="32"/>
        </w:rPr>
        <w:t>。有关项目自评情况可以附项目支出绩效自评表。</w:t>
      </w:r>
    </w:p>
    <w:tbl>
      <w:tblPr>
        <w:tblStyle w:val="6"/>
        <w:tblW w:w="9213"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973"/>
      </w:tblGrid>
      <w:tr>
        <w:tblPrEx>
          <w:tblCellMar>
            <w:top w:w="0" w:type="dxa"/>
            <w:left w:w="108" w:type="dxa"/>
            <w:bottom w:w="0" w:type="dxa"/>
            <w:right w:w="108" w:type="dxa"/>
          </w:tblCellMar>
        </w:tblPrEx>
        <w:trPr>
          <w:trHeight w:val="405" w:hRule="atLeast"/>
        </w:trPr>
        <w:tc>
          <w:tcPr>
            <w:tcW w:w="9213"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213"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973"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993"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计划生育奖励扶助金</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993"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乌鲁木齐县卫生计生委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230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152.6</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230</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152.6</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0</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73"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4033"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020"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对全县2018年国家三项、自治区四项奖励扶助对象进行奖励扶助，预计使用县级配套资金230万元。</w:t>
            </w:r>
          </w:p>
        </w:tc>
        <w:tc>
          <w:tcPr>
            <w:tcW w:w="4033"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cs="宋体"/>
                <w:kern w:val="0"/>
                <w:sz w:val="20"/>
                <w:szCs w:val="20"/>
              </w:rPr>
              <w:t>因年中扶助对象情况变化，年度扶助对象较预期大幅度减少，实际使用152.6万元。</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发放数量</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230</w:t>
            </w:r>
          </w:p>
        </w:tc>
        <w:tc>
          <w:tcPr>
            <w:tcW w:w="197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152.6</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符合条件人员资金足额发放</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符合条件人员资金足额发放</w:t>
            </w:r>
          </w:p>
        </w:tc>
        <w:tc>
          <w:tcPr>
            <w:tcW w:w="197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符合条件人员资金足额发放</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发放时限</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所有奖励扶助项目年末发放到位</w:t>
            </w:r>
          </w:p>
        </w:tc>
        <w:tc>
          <w:tcPr>
            <w:tcW w:w="197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因财政一卡通运行、扶助对象账号问题等原因，部分扶助金尚未发放成功。</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计生利益导向机制</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引导奖励扶助对象政策内合理生育，促进人口均衡发展</w:t>
            </w:r>
          </w:p>
        </w:tc>
        <w:tc>
          <w:tcPr>
            <w:tcW w:w="1973"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年度人口计生各项指标达标</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促进计生家庭生活水平提高</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改善计生家庭生活状况</w:t>
            </w:r>
          </w:p>
        </w:tc>
        <w:tc>
          <w:tcPr>
            <w:tcW w:w="1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改善计生家庭生活状况</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人口社会和谐发展</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计划生育家庭生活稳定</w:t>
            </w:r>
          </w:p>
        </w:tc>
        <w:tc>
          <w:tcPr>
            <w:tcW w:w="1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基本稳定，全年无信访</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实现人口、资源、社会、环境的协调发展</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年度人口计生各项指标达标</w:t>
            </w:r>
          </w:p>
        </w:tc>
        <w:tc>
          <w:tcPr>
            <w:tcW w:w="1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年度人口计生各项指标达标</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巩固计划生育工作成果，营造良好的人口环境</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年度人口计生各项指标达标</w:t>
            </w:r>
          </w:p>
        </w:tc>
        <w:tc>
          <w:tcPr>
            <w:tcW w:w="1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年度人口计生各项指标达标</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群众对计生服务满意度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预计满意度95%以上　</w:t>
            </w:r>
          </w:p>
        </w:tc>
        <w:tc>
          <w:tcPr>
            <w:tcW w:w="1973"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入户调查情况反馈满意度100%</w:t>
            </w:r>
          </w:p>
        </w:tc>
      </w:tr>
    </w:tbl>
    <w:p>
      <w:pPr>
        <w:spacing w:line="540" w:lineRule="exact"/>
        <w:ind w:firstLine="66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乡村医生养老补助、中医药专项、全民健康体检项目绩效自评综述：根据年初设定的绩效目标，乡村医生养老补助、中医药专项、全民健康体检项目绩效自评得分为</w:t>
      </w:r>
      <w:r>
        <w:rPr>
          <w:rFonts w:hint="eastAsia" w:ascii="仿宋_GB2312" w:eastAsia="仿宋_GB2312"/>
          <w:sz w:val="32"/>
          <w:szCs w:val="32"/>
          <w:lang w:val="en-US" w:eastAsia="zh-CN"/>
        </w:rPr>
        <w:t>90</w:t>
      </w:r>
      <w:r>
        <w:rPr>
          <w:rFonts w:hint="eastAsia" w:ascii="仿宋_GB2312" w:eastAsia="仿宋_GB2312"/>
          <w:sz w:val="32"/>
          <w:szCs w:val="32"/>
        </w:rPr>
        <w:t>分。项目全年预算数为</w:t>
      </w:r>
      <w:r>
        <w:rPr>
          <w:rFonts w:hint="eastAsia" w:ascii="仿宋_GB2312" w:eastAsia="仿宋_GB2312"/>
          <w:sz w:val="32"/>
          <w:szCs w:val="32"/>
          <w:lang w:val="en-US" w:eastAsia="zh-CN"/>
        </w:rPr>
        <w:t>134.28</w:t>
      </w:r>
      <w:r>
        <w:rPr>
          <w:rFonts w:hint="eastAsia" w:ascii="仿宋_GB2312" w:eastAsia="仿宋_GB2312"/>
          <w:sz w:val="32"/>
          <w:szCs w:val="32"/>
        </w:rPr>
        <w:t>万元，执行数为</w:t>
      </w:r>
      <w:r>
        <w:rPr>
          <w:rFonts w:hint="eastAsia" w:ascii="仿宋_GB2312" w:eastAsia="仿宋_GB2312"/>
          <w:sz w:val="32"/>
          <w:szCs w:val="32"/>
          <w:lang w:val="en-US" w:eastAsia="zh-CN"/>
        </w:rPr>
        <w:t>134.28</w:t>
      </w:r>
      <w:r>
        <w:rPr>
          <w:rFonts w:hint="eastAsia" w:ascii="仿宋_GB2312" w:eastAsia="仿宋_GB2312"/>
          <w:sz w:val="32"/>
          <w:szCs w:val="32"/>
        </w:rPr>
        <w:t>万元，完成预算的</w:t>
      </w:r>
      <w:r>
        <w:rPr>
          <w:rFonts w:hint="eastAsia" w:ascii="仿宋_GB2312" w:eastAsia="仿宋_GB2312"/>
          <w:sz w:val="32"/>
          <w:szCs w:val="32"/>
          <w:lang w:val="en-US" w:eastAsia="zh-CN"/>
        </w:rPr>
        <w:t>100</w:t>
      </w:r>
      <w:r>
        <w:rPr>
          <w:rFonts w:hint="eastAsia" w:ascii="仿宋_GB2312" w:eastAsia="仿宋_GB2312"/>
          <w:sz w:val="32"/>
          <w:szCs w:val="32"/>
        </w:rPr>
        <w:t>%。主要产出和效果：乡村医生是我国医疗卫生服务队伍的重要组成部分，是最贴近亿万农村居民的健康“守护人”，是发展农村医疗卫生事业、保障农村居民健康的重要力量。为进一步加强乡村医生队伍建设，切实筑牢农村医疗卫生服务网底。通过10年左右的努力，力争使乡村医生总体具备中专及以上学历，逐步具备执业助理医师及以上资格，乡村医生各方面合理待遇得到较好保障，基本建成一支素质较高、适应需要的乡村医生队伍，促进基层首诊、分级诊疗制度的建立，更好保障农村居民享受均等化的基本公共卫生服务和安全、有效、方便、价廉的基本医疗服务。发现的问题及原因：我县按照取得乡村医生证书的乡村医生每人每月补助1200元，取得执业（助理）医师资格的乡村医生每人每月补助1500元的补助标准，对全县乡村医生进行补助，各县、乡能够按时发放补助，对政策的积极响应巩固了乡村医生团队的稳定，保证了乡镇居民基础就医。下一步改进措施：2018年我县将继续根据乌鲁木齐县人民政府【2013】30号文件精神：为加强村级卫生室阵地和乡村医生队伍建设,推进村级卫生工作和保持乡村医生队伍的稳定,巩固和扩大医改成果,提升基层医疗卫生服务能力,解决农村居民“看病难、看病贵”问题,筑牢农村卫生服务“网底”。切实解决基层人民就医问题；且将继续按照取得乡村医生证书的乡村医生每人每月补助1200元，取得执业（助理）医师资格的乡村医生每人每月补助1500元的补助标准，对全县乡村医生进行补助。有关项目自评情况可以附项目支出绩效自评表。</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乡村医生补助</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134.28</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134.28</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xml:space="preserve">　 乡村医生是我国医疗卫生服务队伍的重要组成部分，是最贴近亿万农村居民的健康“守护人”，是发展农村医疗卫生事业、保障农村居民健康的重要力量。为进一步加强乡村医生队伍建设，切实筑牢农村医疗卫生服务网底。通过10年左右的努力，力争使乡村医生总体具备中专及以上学历，逐步具备执业助理医师及以上资格，乡村医生各方面合理待遇得到较好保障，基本建成一支素质较高、适应需要的乡村医生队伍，促进基层首诊、分级诊疗制度的建立，更好保障农村居民享受均等化的基本公共卫生服务和安全、有效、方便、价廉的基本医疗服务。  </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cs="宋体"/>
                <w:kern w:val="0"/>
                <w:sz w:val="20"/>
                <w:szCs w:val="20"/>
              </w:rPr>
              <w:t>完成约定的基本医疗卫生服务，基本公共卫生服务。</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33人</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每人每月补助1200元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每人每月补助1200元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36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52人</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每人每月补助1500元</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每人每月补助1500元</w:t>
            </w:r>
          </w:p>
        </w:tc>
      </w:tr>
      <w:tr>
        <w:tblPrEx>
          <w:tblCellMar>
            <w:top w:w="0" w:type="dxa"/>
            <w:left w:w="108" w:type="dxa"/>
            <w:bottom w:w="0" w:type="dxa"/>
            <w:right w:w="108" w:type="dxa"/>
          </w:tblCellMar>
        </w:tblPrEx>
        <w:trPr>
          <w:trHeight w:val="9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single" w:color="auto" w:sz="4" w:space="0"/>
              <w:left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提供基本公共卫生服务</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按照规范要求开展基本公共卫生服务</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按照规范要求开展基本公共卫生服务</w:t>
            </w:r>
          </w:p>
        </w:tc>
      </w:tr>
      <w:tr>
        <w:tblPrEx>
          <w:tblCellMar>
            <w:top w:w="0" w:type="dxa"/>
            <w:left w:w="108" w:type="dxa"/>
            <w:bottom w:w="0" w:type="dxa"/>
            <w:right w:w="108" w:type="dxa"/>
          </w:tblCellMar>
        </w:tblPrEx>
        <w:trPr>
          <w:trHeight w:val="9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left w:val="single" w:color="auto" w:sz="4" w:space="0"/>
              <w:right w:val="single" w:color="auto" w:sz="4" w:space="0"/>
            </w:tcBorders>
            <w:vAlign w:val="center"/>
          </w:tcPr>
          <w:p>
            <w:pPr>
              <w:widowControl/>
              <w:jc w:val="center"/>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 xml:space="preserve">提供基本医疗服务 </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按照基本医疗要求开展相应的诊疗服务</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按照基本医疗要求开展相应的诊疗服务</w:t>
            </w:r>
          </w:p>
        </w:tc>
      </w:tr>
      <w:tr>
        <w:tblPrEx>
          <w:tblCellMar>
            <w:top w:w="0" w:type="dxa"/>
            <w:left w:w="108" w:type="dxa"/>
            <w:bottom w:w="0" w:type="dxa"/>
            <w:right w:w="108" w:type="dxa"/>
          </w:tblCellMar>
        </w:tblPrEx>
        <w:trPr>
          <w:trHeight w:val="9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开展宣传教育</w:t>
            </w:r>
          </w:p>
        </w:tc>
        <w:tc>
          <w:tcPr>
            <w:tcW w:w="20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开展计划生育指导服务等</w:t>
            </w:r>
          </w:p>
        </w:tc>
        <w:tc>
          <w:tcPr>
            <w:tcW w:w="17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开展计划生育指导服务等</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受益群众</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cs="宋体"/>
                <w:kern w:val="0"/>
                <w:sz w:val="20"/>
                <w:szCs w:val="20"/>
              </w:rPr>
              <w:t>≥100%</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cs="宋体"/>
                <w:kern w:val="0"/>
                <w:sz w:val="20"/>
                <w:szCs w:val="20"/>
              </w:rPr>
              <w:t>≥100%</w:t>
            </w:r>
          </w:p>
        </w:tc>
      </w:tr>
    </w:tbl>
    <w:p>
      <w:pPr>
        <w:spacing w:line="540" w:lineRule="exact"/>
        <w:ind w:firstLine="640" w:firstLineChars="200"/>
        <w:rPr>
          <w:rFonts w:hint="eastAsia" w:ascii="仿宋_GB2312" w:eastAsia="仿宋_GB2312"/>
          <w:sz w:val="32"/>
          <w:szCs w:val="32"/>
        </w:rPr>
      </w:pP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重大疾病防治、妇幼卫生、食品安全保障、卫生应急队伍建设、卫生监督检查、孕前优生健康检查、精神卫生经费绩效自评综述：根据年初设定的绩效目标，重大疾病防治、妇幼卫生、食品安全保障、卫生应急队伍建设、卫生监督检查、孕前优生健康检查、精神卫生经费项目绩效自评得分为</w:t>
      </w:r>
      <w:r>
        <w:rPr>
          <w:rFonts w:hint="eastAsia" w:ascii="仿宋_GB2312" w:eastAsia="仿宋_GB2312"/>
          <w:sz w:val="32"/>
          <w:szCs w:val="32"/>
          <w:lang w:val="en-US" w:eastAsia="zh-CN"/>
        </w:rPr>
        <w:t>87</w:t>
      </w:r>
      <w:r>
        <w:rPr>
          <w:rFonts w:hint="eastAsia" w:ascii="仿宋_GB2312" w:eastAsia="仿宋_GB2312"/>
          <w:sz w:val="32"/>
          <w:szCs w:val="32"/>
        </w:rPr>
        <w:t>分。项目全年预算数为75.9万元，执行数为75.9万元，完成预算的</w:t>
      </w:r>
      <w:r>
        <w:rPr>
          <w:rFonts w:hint="eastAsia" w:ascii="仿宋_GB2312" w:eastAsia="仿宋_GB2312"/>
          <w:sz w:val="32"/>
          <w:szCs w:val="32"/>
          <w:lang w:val="en-US" w:eastAsia="zh-CN"/>
        </w:rPr>
        <w:t>100</w:t>
      </w:r>
      <w:r>
        <w:rPr>
          <w:rFonts w:hint="eastAsia" w:ascii="仿宋_GB2312" w:eastAsia="仿宋_GB2312"/>
          <w:sz w:val="32"/>
          <w:szCs w:val="32"/>
        </w:rPr>
        <w:t>%。主要产出和效果：完成妇幼保健院基础设施建设工程部分工程项目。发现的问题及原因：</w:t>
      </w:r>
      <w:r>
        <w:rPr>
          <w:rFonts w:hint="eastAsia" w:ascii="仿宋_GB2312" w:eastAsia="仿宋_GB2312"/>
          <w:sz w:val="32"/>
          <w:szCs w:val="32"/>
          <w:lang w:val="zh-CN"/>
        </w:rPr>
        <w:t>逐步建立和完善精神障碍预防、治疗、康复和心理健康促进工作体系</w:t>
      </w:r>
      <w:r>
        <w:rPr>
          <w:rFonts w:hint="eastAsia" w:ascii="仿宋_GB2312" w:eastAsia="仿宋_GB2312"/>
          <w:sz w:val="32"/>
          <w:szCs w:val="32"/>
        </w:rPr>
        <w:t>完成结果与预期一致。下一步改进措施：</w:t>
      </w:r>
      <w:r>
        <w:rPr>
          <w:rFonts w:hint="eastAsia" w:ascii="仿宋_GB2312" w:eastAsia="仿宋_GB2312"/>
          <w:sz w:val="32"/>
          <w:szCs w:val="32"/>
          <w:lang w:eastAsia="zh-CN"/>
        </w:rPr>
        <w:t>单位无下一步措施</w:t>
      </w:r>
      <w:r>
        <w:rPr>
          <w:rFonts w:hint="eastAsia" w:ascii="仿宋_GB2312" w:eastAsia="仿宋_GB2312"/>
          <w:sz w:val="32"/>
          <w:szCs w:val="32"/>
        </w:rPr>
        <w:t>。有关项目自评情况可以附项目支出绩效自评表。</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妇幼保健院建设工程</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rPr>
                <w:rFonts w:ascii="宋体" w:cs="宋体"/>
                <w:kern w:val="0"/>
                <w:sz w:val="20"/>
                <w:szCs w:val="20"/>
              </w:rPr>
            </w:pPr>
            <w:r>
              <w:rPr>
                <w:rFonts w:hint="eastAsia" w:ascii="宋体" w:cs="宋体"/>
                <w:kern w:val="0"/>
                <w:sz w:val="20"/>
                <w:szCs w:val="20"/>
              </w:rPr>
              <w:t>卫计委</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75.9</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75.9</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cs="宋体"/>
                <w:kern w:val="0"/>
                <w:sz w:val="20"/>
                <w:szCs w:val="20"/>
              </w:rPr>
              <w:t>75.9</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75.9</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0</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　完成妇幼保健院基础设施建设工程</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kern w:val="0"/>
                <w:sz w:val="20"/>
                <w:szCs w:val="20"/>
              </w:rPr>
              <w:t>完成妇幼保健院基础设施建设工程部分工程项目</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妇幼保健院基础设施建设工程</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妇幼保健院基础设施建设工程</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ascii="宋体" w:hAnsi="宋体" w:cs="宋体"/>
                <w:kern w:val="0"/>
                <w:sz w:val="20"/>
                <w:szCs w:val="20"/>
              </w:rPr>
              <w:t xml:space="preserve"> </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hint="eastAsia" w:ascii="仿宋_GB2312" w:eastAsia="仿宋_GB2312"/>
          <w:sz w:val="32"/>
          <w:szCs w:val="32"/>
        </w:rPr>
      </w:pPr>
    </w:p>
    <w:p>
      <w:pPr>
        <w:spacing w:line="540" w:lineRule="exact"/>
        <w:jc w:val="center"/>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hint="eastAsia" w:ascii="仿宋_GB2312" w:hAnsi="Calibri" w:eastAsia="仿宋_GB2312"/>
          <w:sz w:val="32"/>
          <w:szCs w:val="32"/>
          <w:lang w:val="en-GB"/>
        </w:rPr>
      </w:pPr>
      <w:r>
        <w:rPr>
          <w:rFonts w:hint="eastAsia" w:ascii="仿宋_GB2312" w:eastAsia="仿宋_GB2312"/>
          <w:sz w:val="32"/>
          <w:szCs w:val="32"/>
        </w:rPr>
        <w:t>本单位支出功能分类说明</w:t>
      </w:r>
      <w:r>
        <w:rPr>
          <w:rFonts w:hint="eastAsia" w:ascii="仿宋_GB2312" w:hAnsi="Calibri" w:eastAsia="仿宋_GB2312"/>
          <w:sz w:val="32"/>
          <w:szCs w:val="32"/>
          <w:lang w:val="en-GB"/>
        </w:rPr>
        <w:t>。</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201类24款99项</w:t>
      </w:r>
      <w:r>
        <w:rPr>
          <w:rFonts w:hint="eastAsia" w:ascii="仿宋_GB2312" w:eastAsia="仿宋_GB2312"/>
          <w:sz w:val="32"/>
          <w:szCs w:val="32"/>
          <w:lang w:eastAsia="zh-CN"/>
        </w:rPr>
        <w:t>指</w:t>
      </w:r>
      <w:r>
        <w:rPr>
          <w:rFonts w:hint="eastAsia" w:ascii="仿宋_GB2312" w:eastAsia="仿宋_GB2312"/>
          <w:sz w:val="32"/>
          <w:szCs w:val="32"/>
        </w:rPr>
        <w:t>其他宗教事务支出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208类02款08项</w:t>
      </w:r>
      <w:r>
        <w:rPr>
          <w:rFonts w:hint="eastAsia" w:ascii="仿宋_GB2312" w:eastAsia="仿宋_GB2312"/>
          <w:sz w:val="32"/>
          <w:szCs w:val="32"/>
          <w:lang w:eastAsia="zh-CN"/>
        </w:rPr>
        <w:t>指</w:t>
      </w:r>
      <w:r>
        <w:rPr>
          <w:rFonts w:hint="eastAsia" w:ascii="仿宋_GB2312" w:eastAsia="仿宋_GB2312"/>
          <w:sz w:val="32"/>
          <w:szCs w:val="32"/>
        </w:rPr>
        <w:t>基层政权和社区建设</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208类05款05项机关事业单位基本养老保险缴费支出是指：反映机关事业单位实施养老保险制度由单位缴纳的基本养老保险费支出。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208类16款99项其他红十字事业支出是指：反映除上述项目以外其他用于红十字事业方面的支出。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210类01款01项行政运行是指：反映行政单位（包括实行公务员管理的事业单位）的基本支出。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210类01款99项其他医疗卫生与计划生育管理事务支出是指：反映除上述项目以外其他用于医疗卫生与计划生育管理事务方面的支出。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210类02款01项</w:t>
      </w:r>
      <w:r>
        <w:rPr>
          <w:rFonts w:hint="eastAsia" w:ascii="仿宋_GB2312" w:eastAsia="仿宋_GB2312"/>
          <w:sz w:val="32"/>
          <w:szCs w:val="32"/>
          <w:lang w:eastAsia="zh-CN"/>
        </w:rPr>
        <w:t>指</w:t>
      </w:r>
      <w:r>
        <w:rPr>
          <w:rFonts w:hint="eastAsia" w:ascii="仿宋_GB2312" w:eastAsia="仿宋_GB2312"/>
          <w:sz w:val="32"/>
          <w:szCs w:val="32"/>
        </w:rPr>
        <w:t>综合医院</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210类03款99项其他基层医疗卫生机构支出是指：反映除上述项目以外的其他用于基层医疗卫生机构的支出。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210类04款02项卫生监督机构是指：反映卫生和计划生育部门所属卫生监督机构的支出。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210类04款03项妇幼保健机构是指：反映卫生和计划生育部门所属妇幼保健机构的支出。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210类04款08项基本公共卫生服务是指：反映基本公共卫生服务支出。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210类04款09项重大公共卫生专项是指：反映重大疾病预防控制等重大公共卫生服务项目支出。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210类04款99项其他公共卫生支出是指：反映除上述项目以外的其他用于公共卫生方面的支出。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210类07款16项计划生育机构是指：反映计划生育方面的支出。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210类07款99项其他计划生育事务支出是指：反映计划生育服务支出。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210类11款99项其他行政事业单位医疗支出是指：反映除上述项目以外的其他用于行政事业单位医疗方面的支出。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210类</w:t>
      </w:r>
      <w:r>
        <w:rPr>
          <w:rFonts w:hint="eastAsia" w:ascii="仿宋_GB2312" w:eastAsia="仿宋_GB2312"/>
          <w:sz w:val="32"/>
          <w:szCs w:val="32"/>
          <w:lang w:val="en-US" w:eastAsia="zh-CN"/>
        </w:rPr>
        <w:t>13</w:t>
      </w:r>
      <w:r>
        <w:rPr>
          <w:rFonts w:hint="eastAsia" w:ascii="仿宋_GB2312" w:eastAsia="仿宋_GB2312"/>
          <w:sz w:val="32"/>
          <w:szCs w:val="32"/>
        </w:rPr>
        <w:t>款</w:t>
      </w:r>
      <w:r>
        <w:rPr>
          <w:rFonts w:hint="eastAsia" w:ascii="仿宋_GB2312" w:eastAsia="仿宋_GB2312"/>
          <w:sz w:val="32"/>
          <w:szCs w:val="32"/>
          <w:lang w:val="en-US" w:eastAsia="zh-CN"/>
        </w:rPr>
        <w:t>99</w:t>
      </w:r>
      <w:r>
        <w:rPr>
          <w:rFonts w:hint="eastAsia" w:ascii="仿宋_GB2312" w:eastAsia="仿宋_GB2312"/>
          <w:sz w:val="32"/>
          <w:szCs w:val="32"/>
        </w:rPr>
        <w:t>项其他医疗救助支出是指：反映除上述项目以外其他用于医疗救助支出方面的支出。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212类08款04项农村基础设施建设支出是指：反映土地出让收入用于农村饮水、环境、卫生、教育以及文化等基础设施建设支出。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229类99款01项其他支出是指：反映除上述项目以外其他不能划分到具体功能科目中的支出项目。</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213类99款99项其他农林水支出</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229类60款02项用于社会福利的彩票公益金支出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229类99款01项其他支出</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其他有关说明内容</w:t>
      </w:r>
      <w:r>
        <w:rPr>
          <w:rFonts w:hint="eastAsia" w:ascii="仿宋_GB2312" w:hAnsi="Calibri" w:eastAsia="仿宋_GB2312"/>
          <w:sz w:val="32"/>
          <w:szCs w:val="32"/>
          <w:lang w:val="en-GB"/>
        </w:rPr>
        <w:t>。</w:t>
      </w: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417058"/>
    <w:rsid w:val="004642B9"/>
    <w:rsid w:val="004763B2"/>
    <w:rsid w:val="004A2F26"/>
    <w:rsid w:val="0058643C"/>
    <w:rsid w:val="006059F7"/>
    <w:rsid w:val="009A4996"/>
    <w:rsid w:val="00BE7FE7"/>
    <w:rsid w:val="00CE0C1D"/>
    <w:rsid w:val="00CF769E"/>
    <w:rsid w:val="00D923F6"/>
    <w:rsid w:val="00F21610"/>
    <w:rsid w:val="27D23FF5"/>
    <w:rsid w:val="318575C0"/>
    <w:rsid w:val="32FB1F4A"/>
    <w:rsid w:val="3A0C2FA7"/>
    <w:rsid w:val="4572647A"/>
    <w:rsid w:val="64A31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qFormat/>
    <w:uiPriority w:val="0"/>
    <w:pPr>
      <w:jc w:val="left"/>
    </w:pPr>
    <w:rPr>
      <w:rFonts w:ascii="Times New Roman" w:hAnsi="Times New Roman" w:eastAsia="宋体" w:cs="Times New Roman"/>
      <w:szCs w:val="24"/>
    </w:rPr>
  </w:style>
  <w:style w:type="paragraph" w:styleId="3">
    <w:name w:val="Balloon Text"/>
    <w:basedOn w:val="1"/>
    <w:link w:val="10"/>
    <w:semiHidden/>
    <w:unhideWhenUsed/>
    <w:qFormat/>
    <w:uiPriority w:val="99"/>
    <w:rPr>
      <w:sz w:val="18"/>
      <w:szCs w:val="18"/>
    </w:rPr>
  </w:style>
  <w:style w:type="paragraph" w:styleId="4">
    <w:name w:val="HTML Preformatted"/>
    <w:basedOn w:val="1"/>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
    <w:name w:val="Normal (Web)"/>
    <w:basedOn w:val="1"/>
    <w:semiHidden/>
    <w:unhideWhenUsed/>
    <w:qFormat/>
    <w:uiPriority w:val="99"/>
    <w:pPr>
      <w:spacing w:beforeAutospacing="1" w:afterAutospacing="1"/>
      <w:jc w:val="left"/>
    </w:pPr>
    <w:rPr>
      <w:kern w:val="0"/>
      <w:sz w:val="24"/>
    </w:rPr>
  </w:style>
  <w:style w:type="character" w:styleId="8">
    <w:name w:val="annotation reference"/>
    <w:basedOn w:val="7"/>
    <w:semiHidden/>
    <w:unhideWhenUsed/>
    <w:qFormat/>
    <w:uiPriority w:val="99"/>
    <w:rPr>
      <w:sz w:val="21"/>
      <w:szCs w:val="21"/>
    </w:rPr>
  </w:style>
  <w:style w:type="character" w:customStyle="1" w:styleId="9">
    <w:name w:val="批注文字 Char"/>
    <w:basedOn w:val="7"/>
    <w:link w:val="2"/>
    <w:qFormat/>
    <w:uiPriority w:val="0"/>
    <w:rPr>
      <w:rFonts w:ascii="Times New Roman" w:hAnsi="Times New Roman" w:eastAsia="宋体" w:cs="Times New Roman"/>
      <w:szCs w:val="24"/>
    </w:rPr>
  </w:style>
  <w:style w:type="character" w:customStyle="1" w:styleId="10">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784</Words>
  <Characters>4472</Characters>
  <Lines>37</Lines>
  <Paragraphs>10</Paragraphs>
  <TotalTime>0</TotalTime>
  <ScaleCrop>false</ScaleCrop>
  <LinksUpToDate>false</LinksUpToDate>
  <CharactersWithSpaces>5246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秣</cp:lastModifiedBy>
  <dcterms:modified xsi:type="dcterms:W3CDTF">2021-05-18T14:50:33Z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225BF5B4946A4158A5ABCF9D2FF80D13</vt:lpwstr>
  </property>
</Properties>
</file>