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2018年度乌鲁木齐县土地储备中心部门决算公开说明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全面实施乌鲁木齐县土地利用总体规划，村镇建设规划和土地储备计划，依法通过征用、置换、回收、收购等方式进行土地实物储备，优化城镇土地资源配置，保证重点用地项目建设，合理开发利用土地资源；负责全县范围内土地及矿产资源“招、拍、挂”等出让工作</w:t>
      </w:r>
      <w:r>
        <w:rPr>
          <w:rFonts w:hint="eastAsia" w:ascii="仿宋_GB2312" w:eastAsia="仿宋_GB2312"/>
          <w:sz w:val="32"/>
          <w:szCs w:val="32"/>
          <w:lang w:eastAsia="zh-CN"/>
        </w:rPr>
        <w:t>。</w:t>
      </w:r>
      <w:r>
        <w:rPr>
          <w:rFonts w:hint="eastAsia" w:ascii="仿宋_GB2312" w:eastAsia="仿宋_GB2312"/>
          <w:sz w:val="32"/>
          <w:szCs w:val="32"/>
        </w:rPr>
        <w:t xml:space="preserve">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从决算单位构成看，新疆乌鲁木齐县土地储备中心部门决算包括：新疆乌鲁木齐县土地储备中心部门本级决算</w:t>
      </w:r>
      <w:r>
        <w:rPr>
          <w:rFonts w:hint="eastAsia" w:ascii="仿宋_GB2312" w:eastAsia="仿宋_GB2312"/>
          <w:sz w:val="32"/>
          <w:szCs w:val="32"/>
          <w:lang w:eastAsia="zh-CN"/>
        </w:rPr>
        <w:t>，无下</w:t>
      </w:r>
      <w:r>
        <w:rPr>
          <w:rFonts w:hint="eastAsia" w:ascii="仿宋_GB2312" w:eastAsia="仿宋_GB2312"/>
          <w:sz w:val="32"/>
          <w:szCs w:val="32"/>
        </w:rPr>
        <w:t>属单位决算。</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纳入新疆乌鲁木齐县土地储备中心2018年部门决算编制范围的单位名单见下表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新疆乌鲁木齐县土地储备中心</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2018年度收入15,387.37万元,与上年相比，</w:t>
      </w:r>
      <w:r>
        <w:rPr>
          <w:rFonts w:hint="eastAsia" w:ascii="仿宋_GB2312" w:eastAsia="仿宋_GB2312"/>
          <w:sz w:val="32"/>
          <w:szCs w:val="32"/>
          <w:lang w:eastAsia="zh-CN"/>
        </w:rPr>
        <w:t>减少</w:t>
      </w:r>
      <w:r>
        <w:rPr>
          <w:rFonts w:hint="eastAsia" w:ascii="仿宋_GB2312" w:eastAsia="仿宋_GB2312"/>
          <w:sz w:val="32"/>
          <w:szCs w:val="32"/>
        </w:rPr>
        <w:t>9826.27万元，降低38.97%，增减变化主要原因是：2018年全县土地储备和重点项目征地任务调整，征地补偿费减少。2017年预算收入包含归还土地储备贷款利息及本金；2017年末贷款已全部还清，2018年预算已不包含归还土地储备贷款利息及本金；支出14,585.25万元,与上年相比，</w:t>
      </w:r>
      <w:r>
        <w:rPr>
          <w:rFonts w:hint="eastAsia" w:ascii="仿宋_GB2312" w:eastAsia="仿宋_GB2312"/>
          <w:sz w:val="32"/>
          <w:szCs w:val="32"/>
          <w:lang w:eastAsia="zh-CN"/>
        </w:rPr>
        <w:t>减少</w:t>
      </w:r>
      <w:r>
        <w:rPr>
          <w:rFonts w:hint="eastAsia" w:ascii="仿宋_GB2312" w:eastAsia="仿宋_GB2312"/>
          <w:sz w:val="32"/>
          <w:szCs w:val="32"/>
        </w:rPr>
        <w:t>8364.19万元，降低36.45%，增减变化主要原因是：2018年全县土地储备和重点项目征地任务调整，征地补偿费减少。2017年支出包含归还土地储备贷款利息及本金；2017年末贷款已全部还清，2018年支出已不包含归还土地储备贷款利息及本金；结余4,383.91万元，与上年相比，增加802.12万元，增长22.39%。增减变化主要原因是：2018年度尚有一些支出需在2019年完成。</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15,387.37万元，其中：财政拨款收入1,826.94万元，占11.87%；上级补助收入0.00万元，占0.00%；事业收入0.00万元，占0.00%；经营收入0.00万元，占0.00%；附属单位缴款0.00万元，占0.00%；其他收入13,560.43万元，占88.13%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与年初预算数相比情况：本年收入年初预算数16,002.00万元，决算数15,387.37万元，预决算差异率-3.84%，差异主要原因严控经费支出，厉行节约，预决算存在差异。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本年支出合计14,585.25万元，其中：基本支出0.00万元，占0.00%；项目支出14,585.25万元，占100.00%；上缴上级支出0.00万元，占0.00%；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与年初预算数相比情况：本年支出年初预算数16,002.00万元，决算数14,585.25万元，预决算差异率-8.85%，差异主要原因严控经费支出，厉行节约，预决算存在差异。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2018年度财政拨款收入1,826.94万元，与上年相比，</w:t>
      </w:r>
      <w:r>
        <w:rPr>
          <w:rFonts w:hint="eastAsia" w:ascii="仿宋_GB2312" w:eastAsia="仿宋_GB2312"/>
          <w:sz w:val="32"/>
          <w:szCs w:val="32"/>
          <w:lang w:eastAsia="zh-CN"/>
        </w:rPr>
        <w:t>减少</w:t>
      </w:r>
      <w:r>
        <w:rPr>
          <w:rFonts w:hint="eastAsia" w:ascii="仿宋_GB2312" w:eastAsia="仿宋_GB2312"/>
          <w:sz w:val="32"/>
          <w:szCs w:val="32"/>
        </w:rPr>
        <w:t>19777.43万元，降低91.54%。增减变化的主要原因是：全县土地储备和重点项目征地任务调整，征地补偿费减少。2017年预算收入包含归还土地储备贷款利息及本金；2017年末贷款已全部还清，2018年预算已不包含归还土地储备贷款利息及本金。财政拨款支出2,083.07万元，与上年相比，</w:t>
      </w:r>
      <w:r>
        <w:rPr>
          <w:rFonts w:hint="eastAsia" w:ascii="仿宋_GB2312" w:eastAsia="仿宋_GB2312"/>
          <w:sz w:val="32"/>
          <w:szCs w:val="32"/>
          <w:lang w:eastAsia="zh-CN"/>
        </w:rPr>
        <w:t>减少</w:t>
      </w:r>
      <w:r>
        <w:rPr>
          <w:rFonts w:hint="eastAsia" w:ascii="仿宋_GB2312" w:eastAsia="仿宋_GB2312"/>
          <w:sz w:val="32"/>
          <w:szCs w:val="32"/>
        </w:rPr>
        <w:t>17257.1万元，降低89.23%，增减变化的主要原因是：全县土地储备和重点项目征地任务调整，征地补偿费减少。2017年预算收入包含归还土地储备贷款利息及本金；2017年末贷款已全部还清，2018年预算已不包含归还土地储备贷款利息及本金。</w:t>
      </w:r>
      <w:r>
        <w:rPr>
          <w:rFonts w:hint="eastAsia" w:ascii="仿宋_GB2312" w:eastAsia="仿宋_GB2312"/>
          <w:sz w:val="32"/>
          <w:szCs w:val="32"/>
          <w:lang w:eastAsia="zh-CN"/>
        </w:rPr>
        <w:t>其</w:t>
      </w:r>
      <w:r>
        <w:rPr>
          <w:rFonts w:hint="eastAsia" w:ascii="仿宋_GB2312" w:eastAsia="仿宋_GB2312"/>
          <w:sz w:val="32"/>
          <w:szCs w:val="32"/>
        </w:rPr>
        <w:t>中：基本支出0.00万元，项目支出2,083.07万元。财政拨款结转结余3,325.67万元，与上年相比，减少256.13万元，降低7.15%。增减变化的主要原因是：</w:t>
      </w:r>
      <w:r>
        <w:rPr>
          <w:rFonts w:hint="eastAsia" w:ascii="仿宋_GB2312" w:eastAsia="仿宋_GB2312"/>
          <w:sz w:val="32"/>
          <w:szCs w:val="32"/>
          <w:lang w:eastAsia="zh-CN"/>
        </w:rPr>
        <w:t>加快支付进度</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与年初预算数相比情况：财政拨款收入年初预算数16,002.00万元，决算数1,826.94万元，预决算差异率-88.58%，差异主要原因</w:t>
      </w:r>
      <w:r>
        <w:rPr>
          <w:rFonts w:hint="eastAsia" w:ascii="仿宋_GB2312" w:eastAsia="仿宋_GB2312"/>
          <w:sz w:val="32"/>
          <w:szCs w:val="32"/>
          <w:lang w:eastAsia="zh-CN"/>
        </w:rPr>
        <w:t>本年度将非财政拨款中的预算做到财政拨款中</w:t>
      </w:r>
      <w:r>
        <w:rPr>
          <w:rFonts w:hint="eastAsia" w:ascii="仿宋_GB2312" w:eastAsia="仿宋_GB2312"/>
          <w:sz w:val="32"/>
          <w:szCs w:val="32"/>
        </w:rPr>
        <w:t>，预决算存在差异。财政拨款支出年初预算数16,002.00万元，决算数2,083.07万元，预决算差异率-86.98%，差异主要原因</w:t>
      </w:r>
      <w:r>
        <w:rPr>
          <w:rFonts w:hint="eastAsia" w:ascii="仿宋_GB2312" w:eastAsia="仿宋_GB2312"/>
          <w:sz w:val="32"/>
          <w:szCs w:val="32"/>
          <w:lang w:eastAsia="zh-CN"/>
        </w:rPr>
        <w:t>本年度将非财政拨款中的预算做到财政拨款中</w:t>
      </w:r>
      <w:r>
        <w:rPr>
          <w:rFonts w:hint="eastAsia" w:ascii="仿宋_GB2312" w:eastAsia="仿宋_GB2312"/>
          <w:sz w:val="32"/>
          <w:szCs w:val="32"/>
        </w:rPr>
        <w:t>，预决算存在差异。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2018年度一般公共预算财政拨款收入12.00万元。与上年相比，增加0.0万元，</w:t>
      </w:r>
      <w:r>
        <w:rPr>
          <w:rFonts w:hint="eastAsia" w:ascii="仿宋_GB2312" w:eastAsia="仿宋_GB2312"/>
          <w:sz w:val="32"/>
          <w:szCs w:val="32"/>
          <w:lang w:eastAsia="zh-CN"/>
        </w:rPr>
        <w:t>增长</w:t>
      </w:r>
      <w:r>
        <w:rPr>
          <w:rFonts w:hint="eastAsia" w:ascii="仿宋_GB2312" w:eastAsia="仿宋_GB2312"/>
          <w:sz w:val="32"/>
          <w:szCs w:val="32"/>
        </w:rPr>
        <w:t>0%。增减变化的主要原因是：</w:t>
      </w:r>
      <w:r>
        <w:rPr>
          <w:rFonts w:hint="eastAsia" w:ascii="仿宋_GB2312" w:eastAsia="仿宋_GB2312"/>
          <w:sz w:val="32"/>
          <w:szCs w:val="32"/>
          <w:lang w:eastAsia="zh-CN"/>
        </w:rPr>
        <w:t>与上年一致，无变化</w:t>
      </w:r>
      <w:r>
        <w:rPr>
          <w:rFonts w:hint="eastAsia" w:ascii="仿宋_GB2312" w:eastAsia="仿宋_GB2312"/>
          <w:sz w:val="32"/>
          <w:szCs w:val="32"/>
        </w:rPr>
        <w:t>。一般公共预算财政拨款支出9.49万元。与上年相比，减少21.18万元，降低69.05%。增减变化的主要原因是：土地资源储备</w:t>
      </w:r>
      <w:r>
        <w:rPr>
          <w:rFonts w:hint="eastAsia" w:ascii="仿宋_GB2312" w:eastAsia="仿宋_GB2312"/>
          <w:sz w:val="32"/>
          <w:szCs w:val="32"/>
          <w:lang w:eastAsia="zh-CN"/>
        </w:rPr>
        <w:t>经费减少</w:t>
      </w:r>
      <w:r>
        <w:rPr>
          <w:rFonts w:hint="eastAsia" w:ascii="仿宋_GB2312" w:eastAsia="仿宋_GB2312"/>
          <w:sz w:val="32"/>
          <w:szCs w:val="32"/>
        </w:rPr>
        <w:t>。其中：按功能分类科目（按类级科目公开），国土海洋气象等支出9.49万元。按经济分类科目（按类级科目公开），商品和服务支出9.49万元。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与年初预算数相比情况：一般公共预算财政拨款收入年初预算数12.00万元，决算数12.00万元，预决算差异率0.00%，差异主要原因</w:t>
      </w:r>
      <w:r>
        <w:rPr>
          <w:rFonts w:hint="eastAsia" w:ascii="仿宋_GB2312" w:eastAsia="仿宋_GB2312"/>
          <w:sz w:val="32"/>
          <w:szCs w:val="32"/>
          <w:lang w:eastAsia="zh-CN"/>
        </w:rPr>
        <w:t>预决算一致，无差异</w:t>
      </w:r>
      <w:r>
        <w:rPr>
          <w:rFonts w:hint="eastAsia" w:ascii="仿宋_GB2312" w:eastAsia="仿宋_GB2312"/>
          <w:sz w:val="32"/>
          <w:szCs w:val="32"/>
        </w:rPr>
        <w:t>。一般公共预算财政拨款支出年初预算数12.00万元，决算数9.49万元，预决算差异率-20.89%，差异主要原因严控经费支出，厉行节约，预决算存在差异。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2018年度政府性基金预算财政拨款收入1,814.94万元，与上年相比，</w:t>
      </w:r>
      <w:r>
        <w:rPr>
          <w:rFonts w:hint="eastAsia" w:ascii="仿宋_GB2312" w:eastAsia="仿宋_GB2312"/>
          <w:sz w:val="32"/>
          <w:szCs w:val="32"/>
          <w:lang w:eastAsia="zh-CN"/>
        </w:rPr>
        <w:t>减少</w:t>
      </w:r>
      <w:r>
        <w:rPr>
          <w:rFonts w:hint="eastAsia" w:ascii="仿宋_GB2312" w:eastAsia="仿宋_GB2312"/>
          <w:sz w:val="32"/>
          <w:szCs w:val="32"/>
        </w:rPr>
        <w:t>19777.43万元，降低91.59%。增减变化的主要原因是：2018年全县土地储备和重点项目征地任务调整，征地补偿费减少。2017年预算收入包含归还土地储备贷款利息及本金；2017年末贷款已全部还清，2018年预算已不包含归还土地储备贷款利息及本金。政府性基金预算支出2,073.57万元。与上年相比，</w:t>
      </w:r>
      <w:r>
        <w:rPr>
          <w:rFonts w:hint="eastAsia" w:ascii="仿宋_GB2312" w:eastAsia="仿宋_GB2312"/>
          <w:sz w:val="32"/>
          <w:szCs w:val="32"/>
          <w:lang w:eastAsia="zh-CN"/>
        </w:rPr>
        <w:t>减少</w:t>
      </w:r>
      <w:r>
        <w:rPr>
          <w:rFonts w:hint="eastAsia" w:ascii="仿宋_GB2312" w:eastAsia="仿宋_GB2312"/>
          <w:sz w:val="32"/>
          <w:szCs w:val="32"/>
        </w:rPr>
        <w:t>17235.92万元，降低89.26%。增减变化的主要原因是：2018年全县土地储备和重点项目征地任务调整，征地补偿费减少。2017年预算收入包含归还土地储备贷款利息及本金；2017年末贷款已全部还清，2018年预算已不包含归还土地储备贷款利息及本金。其中：按功能分类科目（按类级科目公开），城乡社区支出2,073.57万元。按经济分类科目（按类级科目公开），商品和服务支出210.22万元，资本性支出1,863.36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与年初预算数相比情况：政府性基金预算财政拨款收入年初预算数15,990.00万元，决算数1,814.94万元，预决算差异率-88.65%，差异主要原因</w:t>
      </w:r>
      <w:r>
        <w:rPr>
          <w:rFonts w:hint="eastAsia" w:ascii="仿宋_GB2312" w:eastAsia="仿宋_GB2312"/>
          <w:sz w:val="32"/>
          <w:szCs w:val="32"/>
          <w:lang w:eastAsia="zh-CN"/>
        </w:rPr>
        <w:t>本年度将非财政拨款中的预算做到财政拨款中</w:t>
      </w:r>
      <w:r>
        <w:rPr>
          <w:rFonts w:hint="eastAsia" w:ascii="仿宋_GB2312" w:eastAsia="仿宋_GB2312"/>
          <w:sz w:val="32"/>
          <w:szCs w:val="32"/>
        </w:rPr>
        <w:t>，预决算存在差异。政府性基金预算财政拨款支出年初预算数15,990.00万元，决算数2,073.57万元，预决算差异率-87.03%，差异主要原因</w:t>
      </w:r>
      <w:r>
        <w:rPr>
          <w:rFonts w:hint="eastAsia" w:ascii="仿宋_GB2312" w:eastAsia="仿宋_GB2312"/>
          <w:sz w:val="32"/>
          <w:szCs w:val="32"/>
          <w:lang w:eastAsia="zh-CN"/>
        </w:rPr>
        <w:t>本年度将非财政拨款中的预算做到财政拨款中</w:t>
      </w:r>
      <w:r>
        <w:rPr>
          <w:rFonts w:hint="eastAsia" w:ascii="仿宋_GB2312" w:eastAsia="仿宋_GB2312"/>
          <w:sz w:val="32"/>
          <w:szCs w:val="32"/>
        </w:rPr>
        <w:t>，预决算存在差异。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年末结转结余4,383.91万元。与上年相比，增加802.12万元，增长22.39%。</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其中财政拨款结转结余3,325.67万元。与上年相比，减少256.13万元，降低7.15%。</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2018年度一般公共预算“三公”经费支出决算0.00万元，比上年减少0万元，降低0%，减少原因是</w:t>
      </w:r>
      <w:r>
        <w:rPr>
          <w:rFonts w:hint="eastAsia" w:ascii="仿宋_GB2312" w:eastAsia="仿宋_GB2312"/>
          <w:sz w:val="32"/>
          <w:szCs w:val="32"/>
          <w:lang w:val="en-US" w:eastAsia="zh-CN"/>
        </w:rPr>
        <w:t>本单位无</w:t>
      </w:r>
      <w:r>
        <w:rPr>
          <w:rFonts w:hint="eastAsia" w:ascii="仿宋_GB2312" w:eastAsia="仿宋_GB2312"/>
          <w:sz w:val="32"/>
          <w:szCs w:val="32"/>
        </w:rPr>
        <w:t>“三公”经费支出。其中，因公出国（境）费支出0.00万元，占0.00%，比上年增加0.0万元，增加0%，增加原因是</w:t>
      </w:r>
      <w:r>
        <w:rPr>
          <w:rFonts w:hint="eastAsia" w:ascii="仿宋_GB2312" w:eastAsia="仿宋_GB2312"/>
          <w:sz w:val="32"/>
          <w:szCs w:val="32"/>
          <w:lang w:val="en-US" w:eastAsia="zh-CN"/>
        </w:rPr>
        <w:t>本单位无</w:t>
      </w:r>
      <w:r>
        <w:rPr>
          <w:rFonts w:hint="eastAsia" w:ascii="仿宋_GB2312" w:eastAsia="仿宋_GB2312"/>
          <w:sz w:val="32"/>
          <w:szCs w:val="32"/>
        </w:rPr>
        <w:t>“三公”经费支出；公务用车购置及运行维护费支出0.00万元，占0.00%，比上年减少0万元，降低0%，减少原因是</w:t>
      </w:r>
      <w:r>
        <w:rPr>
          <w:rFonts w:hint="eastAsia" w:ascii="仿宋_GB2312" w:eastAsia="仿宋_GB2312"/>
          <w:sz w:val="32"/>
          <w:szCs w:val="32"/>
          <w:lang w:val="en-US" w:eastAsia="zh-CN"/>
        </w:rPr>
        <w:t>本单位无</w:t>
      </w:r>
      <w:r>
        <w:rPr>
          <w:rFonts w:hint="eastAsia" w:ascii="仿宋_GB2312" w:eastAsia="仿宋_GB2312"/>
          <w:sz w:val="32"/>
          <w:szCs w:val="32"/>
          <w:lang w:eastAsia="zh-CN"/>
        </w:rPr>
        <w:t>车辆运行维护费支出</w:t>
      </w:r>
      <w:r>
        <w:rPr>
          <w:rFonts w:hint="eastAsia" w:ascii="仿宋_GB2312" w:eastAsia="仿宋_GB2312"/>
          <w:sz w:val="32"/>
          <w:szCs w:val="32"/>
        </w:rPr>
        <w:t>；公务接待费支出0.00万元，占0.00%，比上年降低0.0万元，降低0%，减少原因是</w:t>
      </w:r>
      <w:r>
        <w:rPr>
          <w:rFonts w:hint="eastAsia" w:ascii="仿宋_GB2312" w:eastAsia="仿宋_GB2312"/>
          <w:sz w:val="32"/>
          <w:szCs w:val="32"/>
          <w:lang w:val="en-US" w:eastAsia="zh-CN"/>
        </w:rPr>
        <w:t>本单位无公务接待费支出</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因公出国（境）费支出0.00万元。新疆乌鲁木齐县土地储备中心全年使用一般公共预算财政拨款安排的出国（境）团组0个，累计0人次。开支内容包括：</w:t>
      </w:r>
      <w:r>
        <w:rPr>
          <w:rFonts w:hint="eastAsia" w:ascii="仿宋_GB2312" w:eastAsia="仿宋_GB2312"/>
          <w:sz w:val="32"/>
          <w:szCs w:val="32"/>
          <w:lang w:val="en-US" w:eastAsia="zh-CN"/>
        </w:rPr>
        <w:t>本单位无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公务用车购置及运行维护费0.00万元,其中，公务用车购置0.00万元，公务用车运行维护费0.00万元。主要用于</w:t>
      </w:r>
      <w:r>
        <w:rPr>
          <w:rFonts w:hint="eastAsia" w:ascii="仿宋_GB2312" w:eastAsia="仿宋_GB2312"/>
          <w:sz w:val="32"/>
          <w:szCs w:val="32"/>
          <w:lang w:val="en-US" w:eastAsia="zh-CN"/>
        </w:rPr>
        <w:t>本单位无</w:t>
      </w:r>
      <w:r>
        <w:rPr>
          <w:rFonts w:hint="eastAsia" w:ascii="仿宋_GB2312" w:eastAsia="仿宋_GB2312"/>
          <w:sz w:val="32"/>
          <w:szCs w:val="32"/>
        </w:rPr>
        <w:t>公务用车运行维护费。单位一般公共财政拨款安排的公务用车购置量0辆，保有量为0辆。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val="en-US" w:eastAsia="zh-CN"/>
        </w:rPr>
        <w:t>本单位无</w:t>
      </w:r>
      <w:r>
        <w:rPr>
          <w:rFonts w:hint="eastAsia" w:ascii="仿宋_GB2312" w:eastAsia="仿宋_GB2312"/>
          <w:sz w:val="32"/>
          <w:szCs w:val="32"/>
        </w:rPr>
        <w:t>公务接待费。新疆乌鲁木齐县土地储备中心国内公务接待0批次，0人次。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val="en-US" w:eastAsia="zh-CN"/>
        </w:rPr>
        <w:t>本单位无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hAnsi="宋体" w:eastAsia="仿宋_GB2312" w:cs="宋体"/>
          <w:kern w:val="0"/>
          <w:sz w:val="32"/>
          <w:szCs w:val="32"/>
        </w:rPr>
        <w:t>公务用车运行费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新疆乌鲁木齐县土地储备中心（事业单位）日常公用经费0.00万元，比上年</w:t>
      </w:r>
      <w:r>
        <w:rPr>
          <w:rFonts w:hint="eastAsia" w:ascii="仿宋_GB2312" w:eastAsia="仿宋_GB2312"/>
          <w:sz w:val="32"/>
          <w:szCs w:val="32"/>
          <w:lang w:eastAsia="zh-CN"/>
        </w:rPr>
        <w:t>减少</w:t>
      </w:r>
      <w:r>
        <w:rPr>
          <w:rFonts w:hint="eastAsia" w:ascii="仿宋_GB2312" w:eastAsia="仿宋_GB2312"/>
          <w:sz w:val="32"/>
          <w:szCs w:val="32"/>
        </w:rPr>
        <w:t>0.0万元，降低0%，主要原因是</w:t>
      </w:r>
      <w:r>
        <w:rPr>
          <w:rFonts w:hint="eastAsia" w:ascii="仿宋_GB2312" w:eastAsia="仿宋_GB2312"/>
          <w:sz w:val="32"/>
          <w:szCs w:val="32"/>
          <w:lang w:eastAsia="zh-CN"/>
        </w:rPr>
        <w:t>单位无日常公用经费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2018年度政府采购支出总额115.66万元，其中：政府采购货物支出2.62万元、政府采购工程支出0.00万元、政府采购服务支出113.04万元。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0辆，价值0.00万元，其中：副部（省）级及以上领导用车0辆、主要领导干部用车0辆、机要通信用车0辆、应急保障用车0辆、执法执勤用车0辆、特种专业技术用车0辆、离退休干部用车0辆、其他用车0辆，其他用车主要是：</w:t>
      </w:r>
      <w:r>
        <w:rPr>
          <w:rFonts w:hint="eastAsia" w:ascii="仿宋_GB2312" w:eastAsia="仿宋_GB2312"/>
          <w:sz w:val="32"/>
          <w:szCs w:val="32"/>
          <w:lang w:eastAsia="zh-CN"/>
        </w:rPr>
        <w:t>无其他用车</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hAnsi="宋体" w:eastAsia="仿宋_GB2312" w:cs="宋体"/>
          <w:kern w:val="0"/>
          <w:sz w:val="32"/>
          <w:szCs w:val="32"/>
        </w:rPr>
      </w:pPr>
      <w:r>
        <w:rPr>
          <w:rFonts w:hint="eastAsia" w:hAnsi="宋体" w:eastAsia="仿宋_GB2312" w:cs="宋体"/>
          <w:kern w:val="0"/>
          <w:sz w:val="32"/>
          <w:szCs w:val="32"/>
        </w:rPr>
        <w:t>重点项目用地及政府收储土地征迁补偿费项目绩效自评综述：根据年初设定的绩效目标，重点项目用地及政府收储土地征迁补偿费项目绩效自评得分为</w:t>
      </w:r>
      <w:r>
        <w:rPr>
          <w:rFonts w:hint="eastAsia" w:hAnsi="宋体" w:eastAsia="仿宋_GB2312" w:cs="宋体"/>
          <w:kern w:val="0"/>
          <w:sz w:val="32"/>
          <w:szCs w:val="32"/>
          <w:lang w:val="en-US" w:eastAsia="zh-CN"/>
        </w:rPr>
        <w:t>90</w:t>
      </w:r>
      <w:r>
        <w:rPr>
          <w:rFonts w:hint="eastAsia" w:hAnsi="宋体" w:eastAsia="仿宋_GB2312" w:cs="宋体"/>
          <w:kern w:val="0"/>
          <w:sz w:val="32"/>
          <w:szCs w:val="32"/>
        </w:rPr>
        <w:t>分。项目全年预算数为3498.06万元，执行数为1271.73万元，完成预算的</w:t>
      </w:r>
      <w:r>
        <w:rPr>
          <w:rFonts w:hint="eastAsia" w:hAnsi="宋体" w:eastAsia="仿宋_GB2312" w:cs="宋体"/>
          <w:kern w:val="0"/>
          <w:sz w:val="32"/>
          <w:szCs w:val="32"/>
          <w:lang w:val="en-US" w:eastAsia="zh-CN"/>
        </w:rPr>
        <w:t>36.36</w:t>
      </w:r>
      <w:r>
        <w:rPr>
          <w:rFonts w:hint="eastAsia" w:hAnsi="宋体" w:eastAsia="仿宋_GB2312" w:cs="宋体"/>
          <w:kern w:val="0"/>
          <w:sz w:val="32"/>
          <w:szCs w:val="32"/>
        </w:rPr>
        <w:t>%。主要产出和效果：已完成 水西沟镇C区与水西沟镇水七路之间三角地征</w:t>
      </w:r>
      <w:bookmarkStart w:id="0" w:name="_GoBack"/>
      <w:bookmarkEnd w:id="0"/>
      <w:r>
        <w:rPr>
          <w:rFonts w:hint="eastAsia" w:hAnsi="宋体" w:eastAsia="仿宋_GB2312" w:cs="宋体"/>
          <w:kern w:val="0"/>
          <w:sz w:val="32"/>
          <w:szCs w:val="32"/>
        </w:rPr>
        <w:t>地，新疆锦绣家园房产公司征迁补偿，政府储备地-颌胜村征地。发现的问题及原因：完成结转的土地征收任务</w:t>
      </w:r>
      <w:r>
        <w:rPr>
          <w:rFonts w:hint="eastAsia" w:hAnsi="宋体" w:eastAsia="仿宋_GB2312" w:cs="宋体"/>
          <w:kern w:val="0"/>
          <w:sz w:val="32"/>
          <w:szCs w:val="32"/>
          <w:lang w:eastAsia="zh-CN"/>
        </w:rPr>
        <w:t>无问题</w:t>
      </w:r>
      <w:r>
        <w:rPr>
          <w:rFonts w:hint="eastAsia" w:hAnsi="宋体" w:eastAsia="仿宋_GB2312" w:cs="宋体"/>
          <w:kern w:val="0"/>
          <w:sz w:val="32"/>
          <w:szCs w:val="32"/>
        </w:rPr>
        <w:t>。下一步改进措施：主要项目依法依规征收补偿完成，结转项目按照政府要求进行。有关项目自评情况可以附项目支出绩效自评表。</w:t>
      </w:r>
    </w:p>
    <w:tbl>
      <w:tblPr>
        <w:tblStyle w:val="7"/>
        <w:tblW w:w="9020" w:type="dxa"/>
        <w:tblInd w:w="93" w:type="dxa"/>
        <w:tblLayout w:type="fixed"/>
        <w:tblCellMar>
          <w:top w:w="0" w:type="dxa"/>
          <w:left w:w="108" w:type="dxa"/>
          <w:bottom w:w="0" w:type="dxa"/>
          <w:right w:w="108" w:type="dxa"/>
        </w:tblCellMar>
      </w:tblPr>
      <w:tblGrid>
        <w:gridCol w:w="720"/>
        <w:gridCol w:w="1139"/>
        <w:gridCol w:w="1359"/>
        <w:gridCol w:w="1079"/>
        <w:gridCol w:w="880"/>
        <w:gridCol w:w="2064"/>
        <w:gridCol w:w="1779"/>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39" w:type="dxa"/>
            <w:tcBorders>
              <w:top w:val="nil"/>
              <w:left w:val="nil"/>
              <w:bottom w:val="nil"/>
              <w:right w:val="nil"/>
            </w:tcBorders>
            <w:vAlign w:val="center"/>
          </w:tcPr>
          <w:p>
            <w:pPr>
              <w:widowControl/>
              <w:jc w:val="center"/>
              <w:rPr>
                <w:rFonts w:ascii="宋体" w:cs="宋体"/>
                <w:kern w:val="0"/>
                <w:sz w:val="24"/>
              </w:rPr>
            </w:pPr>
          </w:p>
        </w:tc>
        <w:tc>
          <w:tcPr>
            <w:tcW w:w="1359" w:type="dxa"/>
            <w:tcBorders>
              <w:top w:val="nil"/>
              <w:left w:val="nil"/>
              <w:bottom w:val="nil"/>
              <w:right w:val="nil"/>
            </w:tcBorders>
            <w:vAlign w:val="center"/>
          </w:tcPr>
          <w:p>
            <w:pPr>
              <w:widowControl/>
              <w:jc w:val="center"/>
              <w:rPr>
                <w:rFonts w:ascii="宋体" w:cs="宋体"/>
                <w:kern w:val="0"/>
                <w:sz w:val="24"/>
              </w:rPr>
            </w:pPr>
          </w:p>
        </w:tc>
        <w:tc>
          <w:tcPr>
            <w:tcW w:w="1079"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4" w:type="dxa"/>
            <w:tcBorders>
              <w:top w:val="nil"/>
              <w:left w:val="nil"/>
              <w:bottom w:val="nil"/>
              <w:right w:val="nil"/>
            </w:tcBorders>
            <w:vAlign w:val="center"/>
          </w:tcPr>
          <w:p>
            <w:pPr>
              <w:widowControl/>
              <w:jc w:val="center"/>
              <w:rPr>
                <w:rFonts w:ascii="宋体" w:cs="宋体"/>
                <w:kern w:val="0"/>
                <w:sz w:val="24"/>
              </w:rPr>
            </w:pPr>
          </w:p>
        </w:tc>
        <w:tc>
          <w:tcPr>
            <w:tcW w:w="1779"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1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2"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重点项目用地及政府收储土地征迁补偿费　</w:t>
            </w:r>
          </w:p>
        </w:tc>
      </w:tr>
      <w:tr>
        <w:tblPrEx>
          <w:tblLayout w:type="fixed"/>
          <w:tblCellMar>
            <w:top w:w="0" w:type="dxa"/>
            <w:left w:w="108" w:type="dxa"/>
            <w:bottom w:w="0" w:type="dxa"/>
            <w:right w:w="108" w:type="dxa"/>
          </w:tblCellMar>
        </w:tblPrEx>
        <w:trPr>
          <w:trHeight w:val="435" w:hRule="atLeast"/>
        </w:trPr>
        <w:tc>
          <w:tcPr>
            <w:tcW w:w="321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2"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498"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59"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3498.06　</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1271.73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498"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59"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3498.06　</w:t>
            </w:r>
          </w:p>
        </w:tc>
        <w:tc>
          <w:tcPr>
            <w:tcW w:w="2064"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1271.73</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498"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59"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4"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79"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57"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57" w:type="dxa"/>
            <w:gridSpan w:val="4"/>
            <w:tcBorders>
              <w:top w:val="single" w:color="auto" w:sz="4" w:space="0"/>
              <w:left w:val="nil"/>
              <w:bottom w:val="single" w:color="auto" w:sz="4" w:space="0"/>
              <w:right w:val="single" w:color="000000" w:sz="4" w:space="0"/>
            </w:tcBorders>
          </w:tcPr>
          <w:p>
            <w:pPr>
              <w:spacing w:line="540" w:lineRule="exact"/>
              <w:ind w:firstLine="362" w:firstLineChars="181"/>
              <w:rPr>
                <w:rFonts w:ascii="宋体" w:hAnsi="宋体" w:cs="宋体"/>
                <w:bCs/>
                <w:kern w:val="0"/>
                <w:sz w:val="20"/>
                <w:szCs w:val="20"/>
              </w:rPr>
            </w:pPr>
            <w:r>
              <w:rPr>
                <w:rFonts w:hint="eastAsia" w:ascii="宋体" w:hAnsi="宋体" w:cs="宋体"/>
                <w:bCs/>
                <w:kern w:val="0"/>
                <w:sz w:val="20"/>
                <w:szCs w:val="20"/>
              </w:rPr>
              <w:t>水西沟镇C区与水西沟镇水七路之间三角地征地，新疆锦绣家园房产公司征迁补偿，政府储备地-颌胜村征地及其他政府收储土地征地。</w:t>
            </w:r>
          </w:p>
          <w:p>
            <w:pPr>
              <w:widowControl/>
              <w:jc w:val="left"/>
              <w:rPr>
                <w:rFonts w:ascii="宋体" w:hAnsi="宋体" w:cs="宋体"/>
                <w:kern w:val="0"/>
                <w:sz w:val="20"/>
                <w:szCs w:val="20"/>
              </w:rPr>
            </w:pPr>
          </w:p>
        </w:tc>
        <w:tc>
          <w:tcPr>
            <w:tcW w:w="3843"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 xml:space="preserve">     已完成 </w:t>
            </w:r>
            <w:r>
              <w:rPr>
                <w:rFonts w:hint="eastAsia" w:ascii="宋体" w:hAnsi="宋体" w:cs="宋体"/>
                <w:bCs/>
                <w:kern w:val="0"/>
                <w:sz w:val="20"/>
                <w:szCs w:val="20"/>
              </w:rPr>
              <w:t>水西沟镇C区与水西沟镇水七路之间三角地征地，新疆锦绣家园房产公司征迁补偿，政府储备地-颌胜村征地</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39"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7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：土地征收</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bCs/>
                <w:kern w:val="0"/>
                <w:sz w:val="20"/>
                <w:szCs w:val="20"/>
              </w:rPr>
              <w:t>水七路之间三角地征地31.1亩</w:t>
            </w:r>
          </w:p>
        </w:tc>
        <w:tc>
          <w:tcPr>
            <w:tcW w:w="1779" w:type="dxa"/>
            <w:tcBorders>
              <w:top w:val="nil"/>
              <w:left w:val="nil"/>
              <w:bottom w:val="single" w:color="auto" w:sz="4" w:space="0"/>
              <w:right w:val="single" w:color="auto" w:sz="4" w:space="0"/>
            </w:tcBorders>
            <w:vAlign w:val="center"/>
          </w:tcPr>
          <w:p>
            <w:pPr>
              <w:widowControl/>
              <w:jc w:val="left"/>
              <w:rPr>
                <w:rFonts w:ascii="宋体" w:hAnsi="宋体" w:cs="宋体"/>
                <w:bCs/>
                <w:kern w:val="0"/>
                <w:sz w:val="20"/>
                <w:szCs w:val="20"/>
              </w:rPr>
            </w:pPr>
            <w:r>
              <w:rPr>
                <w:rFonts w:hint="eastAsia" w:ascii="宋体" w:hAnsi="宋体" w:cs="宋体"/>
                <w:bCs/>
                <w:kern w:val="0"/>
                <w:sz w:val="20"/>
                <w:szCs w:val="20"/>
              </w:rPr>
              <w:t>　已完成土地征收　水七路之间三角地征地31.1亩</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：拆迁补偿</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bCs/>
                <w:kern w:val="0"/>
                <w:sz w:val="20"/>
                <w:szCs w:val="20"/>
              </w:rPr>
              <w:t>新疆锦绣家园房产公司征迁补偿房产面积494.88平米</w:t>
            </w:r>
          </w:p>
        </w:tc>
        <w:tc>
          <w:tcPr>
            <w:tcW w:w="1779" w:type="dxa"/>
            <w:tcBorders>
              <w:top w:val="nil"/>
              <w:left w:val="nil"/>
              <w:bottom w:val="single" w:color="auto" w:sz="4" w:space="0"/>
              <w:right w:val="single" w:color="auto" w:sz="4" w:space="0"/>
            </w:tcBorders>
            <w:vAlign w:val="center"/>
          </w:tcPr>
          <w:p>
            <w:pPr>
              <w:widowControl/>
              <w:jc w:val="left"/>
              <w:rPr>
                <w:rFonts w:ascii="宋体" w:hAnsi="宋体" w:cs="宋体"/>
                <w:bCs/>
                <w:kern w:val="0"/>
                <w:sz w:val="20"/>
                <w:szCs w:val="20"/>
              </w:rPr>
            </w:pPr>
            <w:r>
              <w:rPr>
                <w:rFonts w:hint="eastAsia" w:ascii="宋体" w:hAnsi="宋体" w:cs="宋体"/>
                <w:bCs/>
                <w:kern w:val="0"/>
                <w:sz w:val="20"/>
                <w:szCs w:val="20"/>
              </w:rPr>
              <w:t>　已完成新疆锦绣家园房产公司征迁补偿房产面积494.88平米</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……土地征收</w:t>
            </w:r>
          </w:p>
        </w:tc>
        <w:tc>
          <w:tcPr>
            <w:tcW w:w="2064" w:type="dxa"/>
            <w:tcBorders>
              <w:top w:val="nil"/>
              <w:left w:val="nil"/>
              <w:bottom w:val="single" w:color="auto" w:sz="4" w:space="0"/>
              <w:right w:val="single" w:color="auto" w:sz="4" w:space="0"/>
            </w:tcBorders>
            <w:vAlign w:val="center"/>
          </w:tcPr>
          <w:p>
            <w:pPr>
              <w:rPr>
                <w:kern w:val="0"/>
              </w:rPr>
            </w:pPr>
            <w:r>
              <w:rPr>
                <w:rFonts w:hint="eastAsia"/>
                <w:kern w:val="0"/>
              </w:rPr>
              <w:t>　政府储备地-颌胜村征地275.6亩</w:t>
            </w:r>
          </w:p>
        </w:tc>
        <w:tc>
          <w:tcPr>
            <w:tcW w:w="1779" w:type="dxa"/>
            <w:tcBorders>
              <w:top w:val="nil"/>
              <w:left w:val="nil"/>
              <w:bottom w:val="single" w:color="auto" w:sz="4" w:space="0"/>
              <w:right w:val="single" w:color="auto" w:sz="4" w:space="0"/>
            </w:tcBorders>
            <w:vAlign w:val="center"/>
          </w:tcPr>
          <w:p>
            <w:pPr>
              <w:widowControl/>
              <w:jc w:val="left"/>
              <w:rPr>
                <w:rFonts w:ascii="宋体" w:hAnsi="宋体" w:cs="宋体"/>
                <w:bCs/>
                <w:kern w:val="0"/>
                <w:sz w:val="20"/>
                <w:szCs w:val="20"/>
              </w:rPr>
            </w:pPr>
            <w:r>
              <w:rPr>
                <w:rFonts w:hint="eastAsia" w:ascii="宋体" w:hAnsi="宋体" w:cs="宋体"/>
                <w:bCs/>
                <w:kern w:val="0"/>
                <w:sz w:val="20"/>
                <w:szCs w:val="20"/>
              </w:rPr>
              <w:t>已完成政府储备地-颌胜村征地275.6亩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：征地补偿</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签订征迁协议书</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签订征迁协议书</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：资金使用时间</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2018.1.1</w:t>
            </w:r>
            <w:r>
              <w:rPr>
                <w:rFonts w:ascii="宋体" w:hAnsi="宋体" w:cs="宋体"/>
                <w:kern w:val="0"/>
                <w:sz w:val="20"/>
                <w:szCs w:val="20"/>
              </w:rPr>
              <w:t>—</w:t>
            </w:r>
            <w:r>
              <w:rPr>
                <w:rFonts w:hint="eastAsia" w:ascii="宋体" w:hAnsi="宋体" w:cs="宋体"/>
                <w:kern w:val="0"/>
                <w:sz w:val="20"/>
                <w:szCs w:val="20"/>
              </w:rPr>
              <w:t>2018.12.31</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2018.1.1</w:t>
            </w:r>
            <w:r>
              <w:rPr>
                <w:rFonts w:ascii="宋体" w:hAnsi="宋体" w:cs="宋体"/>
                <w:kern w:val="0"/>
                <w:sz w:val="20"/>
                <w:szCs w:val="20"/>
              </w:rPr>
              <w:t>—</w:t>
            </w:r>
            <w:r>
              <w:rPr>
                <w:rFonts w:hint="eastAsia" w:ascii="宋体" w:hAnsi="宋体" w:cs="宋体"/>
                <w:kern w:val="0"/>
                <w:sz w:val="20"/>
                <w:szCs w:val="20"/>
              </w:rPr>
              <w:t>2018.12.31</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：征迁标准</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征迁补偿标准4.5万元/亩</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征迁补偿标准4.5万元/亩</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：县域经济发展</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保障县域经济发展</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保障县域经济发展</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：县域社会发展</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做好全县各项工作的基础工作</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做好全县各项工作的基础工作</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：合理利用土地</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集约用地，保证县域生态环境</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集约用地，保证县域生态环境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：为全县发展服务</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增加土地附加值，为全县发展打牢基础</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增加土地附加值，为全县发展打牢基础</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：政府满意</w:t>
            </w:r>
          </w:p>
        </w:tc>
        <w:tc>
          <w:tcPr>
            <w:tcW w:w="206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满意度98%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：群众满意</w:t>
            </w:r>
          </w:p>
        </w:tc>
        <w:tc>
          <w:tcPr>
            <w:tcW w:w="206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满意度98%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5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5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hAnsi="宋体" w:eastAsia="仿宋_GB2312" w:cs="宋体"/>
          <w:kern w:val="0"/>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土地整理一、二期项目相关费用项目绩效自评综述：根据年初设定的绩效目标，土地整理一、二期项目相关费用项目绩效自评得分为</w:t>
      </w:r>
      <w:r>
        <w:rPr>
          <w:rFonts w:hint="eastAsia" w:ascii="仿宋_GB2312" w:eastAsia="仿宋_GB2312"/>
          <w:sz w:val="32"/>
          <w:szCs w:val="32"/>
          <w:lang w:val="en-US" w:eastAsia="zh-CN"/>
        </w:rPr>
        <w:t>92</w:t>
      </w:r>
      <w:r>
        <w:rPr>
          <w:rFonts w:hint="eastAsia" w:ascii="仿宋_GB2312" w:eastAsia="仿宋_GB2312"/>
          <w:sz w:val="32"/>
          <w:szCs w:val="32"/>
        </w:rPr>
        <w:t>分。项目全年预算数为1574.94万元，执行数为612.66万元，完成预算的</w:t>
      </w:r>
      <w:r>
        <w:rPr>
          <w:rFonts w:hint="eastAsia" w:ascii="仿宋_GB2312" w:eastAsia="仿宋_GB2312"/>
          <w:sz w:val="32"/>
          <w:szCs w:val="32"/>
          <w:lang w:val="en-US" w:eastAsia="zh-CN"/>
        </w:rPr>
        <w:t>38.9</w:t>
      </w:r>
      <w:r>
        <w:rPr>
          <w:rFonts w:hint="eastAsia" w:ascii="仿宋_GB2312" w:eastAsia="仿宋_GB2312"/>
          <w:sz w:val="32"/>
          <w:szCs w:val="32"/>
        </w:rPr>
        <w:t>%。主要产出和效果：完成使用林地报批工作，林地补偿工作。发现的问题及原因：督促跟进完成林地补偿工作。下一步改进措施：督促跟进完成林地补偿工作。有关项目自评情况可以附项目支出绩效自评表。</w:t>
      </w:r>
    </w:p>
    <w:tbl>
      <w:tblPr>
        <w:tblStyle w:val="7"/>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土地整理一、二期项目相关费用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乌鲁木齐县土地储备中心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1574.94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612.66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1574.94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612.66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158"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完成使用林地报批工作，林地补偿工作</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已完成使用林地报批工作</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：植被恢复费</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植被恢复费　</w:t>
            </w:r>
            <w:r>
              <w:rPr>
                <w:rFonts w:ascii="宋体" w:hAnsi="宋体" w:cs="宋体"/>
                <w:kern w:val="0"/>
                <w:sz w:val="20"/>
                <w:szCs w:val="20"/>
              </w:rPr>
              <w:t>556.66</w:t>
            </w:r>
            <w:r>
              <w:rPr>
                <w:rFonts w:hint="eastAsia" w:ascii="宋体" w:hAnsi="宋体" w:cs="宋体"/>
                <w:kern w:val="0"/>
                <w:sz w:val="20"/>
                <w:szCs w:val="20"/>
              </w:rPr>
              <w:t>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植被恢复费　</w:t>
            </w:r>
            <w:r>
              <w:rPr>
                <w:rFonts w:ascii="宋体" w:hAnsi="宋体" w:cs="宋体"/>
                <w:kern w:val="0"/>
                <w:sz w:val="20"/>
                <w:szCs w:val="20"/>
              </w:rPr>
              <w:t>556.66</w:t>
            </w:r>
            <w:r>
              <w:rPr>
                <w:rFonts w:hint="eastAsia" w:ascii="宋体" w:hAnsi="宋体" w:cs="宋体"/>
                <w:kern w:val="0"/>
                <w:sz w:val="20"/>
                <w:szCs w:val="20"/>
              </w:rPr>
              <w:t>万元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：可研报告费</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可研报告费56万元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可研报告费56万元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指标3：林地补偿费</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林地补偿费1152万元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：验收报批</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验收报批通过</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验收报批通过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：资金支付</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2018.06-2018.12</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2018.06-2018.12</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：前期费用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可研报告28万元/本</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可研报告28万元/本</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：：前期费用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植被恢复费</w:t>
            </w:r>
            <w:r>
              <w:rPr>
                <w:rFonts w:ascii="宋体" w:hAnsi="宋体" w:cs="宋体"/>
                <w:kern w:val="0"/>
                <w:sz w:val="20"/>
                <w:szCs w:val="20"/>
              </w:rPr>
              <w:t>556.66</w:t>
            </w:r>
            <w:r>
              <w:rPr>
                <w:rFonts w:hint="eastAsia" w:ascii="宋体" w:hAnsi="宋体" w:cs="宋体"/>
                <w:kern w:val="0"/>
                <w:sz w:val="20"/>
                <w:szCs w:val="20"/>
              </w:rPr>
              <w:t>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植被恢复费</w:t>
            </w:r>
            <w:r>
              <w:rPr>
                <w:rFonts w:ascii="宋体" w:hAnsi="宋体" w:cs="宋体"/>
                <w:kern w:val="0"/>
                <w:sz w:val="20"/>
                <w:szCs w:val="20"/>
              </w:rPr>
              <w:t>556.66</w:t>
            </w:r>
            <w:r>
              <w:rPr>
                <w:rFonts w:hint="eastAsia" w:ascii="宋体" w:hAnsi="宋体" w:cs="宋体"/>
                <w:kern w:val="0"/>
                <w:sz w:val="20"/>
                <w:szCs w:val="20"/>
              </w:rPr>
              <w:t>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：保障完成全县经济目标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保障完成全县经济目标</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保障完成全县经济目标</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：促进全县社会发展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促进全县社会发展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促进全县社会发展</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：集约利用土地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集约利用土地</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集约利用土地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：土地增值</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发挥土地最大效益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发挥土地最大效益</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：政府满意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政府满意度98%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政府满意度98%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政府满意度98%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政府满意度98%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政府储备地围栏及保护牌项目绩效自评综述：根据年初设定的绩效目标，政府储备地围栏及保护牌项目绩效自评得分为</w:t>
      </w:r>
      <w:r>
        <w:rPr>
          <w:rFonts w:hint="eastAsia" w:ascii="仿宋_GB2312" w:eastAsia="仿宋_GB2312"/>
          <w:sz w:val="32"/>
          <w:szCs w:val="32"/>
          <w:lang w:val="en-US" w:eastAsia="zh-CN"/>
        </w:rPr>
        <w:t>89</w:t>
      </w:r>
      <w:r>
        <w:rPr>
          <w:rFonts w:hint="eastAsia" w:ascii="仿宋_GB2312" w:eastAsia="仿宋_GB2312"/>
          <w:sz w:val="32"/>
          <w:szCs w:val="32"/>
        </w:rPr>
        <w:t>分。项目全年预算数为</w:t>
      </w:r>
      <w:r>
        <w:rPr>
          <w:rFonts w:hint="eastAsia" w:ascii="仿宋_GB2312" w:eastAsia="仿宋_GB2312"/>
          <w:sz w:val="32"/>
          <w:szCs w:val="32"/>
          <w:lang w:val="en-US" w:eastAsia="zh-CN"/>
        </w:rPr>
        <w:t>80</w:t>
      </w:r>
      <w:r>
        <w:rPr>
          <w:rFonts w:hint="eastAsia" w:ascii="仿宋_GB2312" w:eastAsia="仿宋_GB2312"/>
          <w:sz w:val="32"/>
          <w:szCs w:val="32"/>
        </w:rPr>
        <w:t>万元，执行数为</w:t>
      </w:r>
      <w:r>
        <w:rPr>
          <w:rFonts w:hint="eastAsia" w:ascii="仿宋_GB2312" w:eastAsia="仿宋_GB2312"/>
          <w:sz w:val="32"/>
          <w:szCs w:val="32"/>
          <w:lang w:val="en-US" w:eastAsia="zh-CN"/>
        </w:rPr>
        <w:t>34.97</w:t>
      </w:r>
      <w:r>
        <w:rPr>
          <w:rFonts w:hint="eastAsia" w:ascii="仿宋_GB2312" w:eastAsia="仿宋_GB2312"/>
          <w:sz w:val="32"/>
          <w:szCs w:val="32"/>
        </w:rPr>
        <w:t>万元，完成预算的</w:t>
      </w:r>
      <w:r>
        <w:rPr>
          <w:rFonts w:hint="eastAsia" w:ascii="仿宋_GB2312" w:eastAsia="仿宋_GB2312"/>
          <w:sz w:val="32"/>
          <w:szCs w:val="32"/>
          <w:lang w:val="en-US" w:eastAsia="zh-CN"/>
        </w:rPr>
        <w:t>42.13</w:t>
      </w:r>
      <w:r>
        <w:rPr>
          <w:rFonts w:hint="eastAsia" w:ascii="仿宋_GB2312" w:eastAsia="仿宋_GB2312"/>
          <w:sz w:val="32"/>
          <w:szCs w:val="32"/>
        </w:rPr>
        <w:t>%。主要产出和效果：已完成第一期围栏建设和保护牌。发现的问题及原因：该项目部分未完成，2019年将按照项目实施程序依法依规完成</w:t>
      </w:r>
      <w:r>
        <w:rPr>
          <w:rFonts w:hint="eastAsia" w:ascii="仿宋_GB2312" w:eastAsia="仿宋_GB2312"/>
          <w:sz w:val="32"/>
          <w:szCs w:val="32"/>
          <w:lang w:eastAsia="zh-CN"/>
        </w:rPr>
        <w:t>。</w:t>
      </w:r>
      <w:r>
        <w:rPr>
          <w:rFonts w:hint="eastAsia" w:ascii="仿宋_GB2312" w:eastAsia="仿宋_GB2312"/>
          <w:sz w:val="32"/>
          <w:szCs w:val="32"/>
        </w:rPr>
        <w:t>下一步改进措施：继续完成第二期保护牌和围栏的制作安装。有关项目自评情况可以附项目支出绩效自评表。</w:t>
      </w:r>
    </w:p>
    <w:tbl>
      <w:tblPr>
        <w:tblStyle w:val="7"/>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政府储备地围栏及保护牌项目</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土地储备中心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83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34.97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83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34.97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完成地第一、二期围栏建设和保护牌</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已完成第一期</w:t>
            </w:r>
            <w:r>
              <w:rPr>
                <w:rFonts w:hint="eastAsia" w:ascii="宋体" w:hAnsi="宋体" w:cs="宋体"/>
                <w:kern w:val="0"/>
                <w:sz w:val="20"/>
                <w:szCs w:val="20"/>
              </w:rPr>
              <w:t>围栏建设和保护牌</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：储备地围栏</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一期储备地围栏6120米二期储备地围栏10000米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已完成　一期储备地围栏6120米</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：储备地保护牌</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储备地保护牌7处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储备地保护牌7处</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：工程验收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工程验收合格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工程验收合格</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2018.01-2018.12</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2018.01-2018.12</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：储备地围栏</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储备地围栏71.7万元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已完成23.67万元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：储备地保护牌</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储备地保护牌11.4万元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已完成储备地保护牌11.4万元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：储备土地保证县域经济发展呢</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储备土地保证县域经济发展呢</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储备土地保证县域经济发展呢</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：合理利用土地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保障县域社会发展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保障县域社会发展</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：集约用地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集约用地，合理利用资源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集约用地，合理利用资源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：土地效益</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发挥土地最大效益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发挥土地最大效益</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：政府满意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政府满意度98%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政府满意度98%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群众满意度98%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群众满意度98%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700" w:lineRule="exact"/>
        <w:ind w:firstLine="640" w:firstLineChars="200"/>
        <w:jc w:val="left"/>
        <w:rPr>
          <w:rFonts w:hint="eastAsia" w:ascii="仿宋_GB2312" w:eastAsia="仿宋_GB2312"/>
          <w:sz w:val="32"/>
          <w:szCs w:val="32"/>
        </w:rPr>
      </w:pPr>
      <w:r>
        <w:rPr>
          <w:rFonts w:hint="eastAsia" w:ascii="仿宋_GB2312" w:eastAsia="仿宋_GB2312"/>
          <w:sz w:val="32"/>
          <w:szCs w:val="32"/>
        </w:rPr>
        <w:t>重点项目征地及土地出让业务费项目绩效自评综述：根据年初设定的绩效目标，重点项目征地及土地出让业务费项目绩效自评得分为</w:t>
      </w:r>
      <w:r>
        <w:rPr>
          <w:rFonts w:hint="eastAsia" w:ascii="仿宋_GB2312" w:eastAsia="仿宋_GB2312"/>
          <w:sz w:val="32"/>
          <w:szCs w:val="32"/>
          <w:lang w:val="en-US" w:eastAsia="zh-CN"/>
        </w:rPr>
        <w:t>90</w:t>
      </w:r>
      <w:r>
        <w:rPr>
          <w:rFonts w:hint="eastAsia" w:ascii="仿宋_GB2312" w:eastAsia="仿宋_GB2312"/>
          <w:sz w:val="32"/>
          <w:szCs w:val="32"/>
        </w:rPr>
        <w:t>分。项目全年预算数为</w:t>
      </w:r>
      <w:r>
        <w:rPr>
          <w:rFonts w:hint="eastAsia" w:ascii="仿宋_GB2312" w:eastAsia="仿宋_GB2312"/>
          <w:sz w:val="32"/>
          <w:szCs w:val="32"/>
          <w:lang w:val="en-US" w:eastAsia="zh-CN"/>
        </w:rPr>
        <w:t>252.73</w:t>
      </w:r>
      <w:r>
        <w:rPr>
          <w:rFonts w:hint="eastAsia" w:ascii="仿宋_GB2312" w:eastAsia="仿宋_GB2312"/>
          <w:sz w:val="32"/>
          <w:szCs w:val="32"/>
        </w:rPr>
        <w:t>万元，执行数为</w:t>
      </w:r>
      <w:r>
        <w:rPr>
          <w:rFonts w:hint="eastAsia" w:ascii="仿宋_GB2312" w:eastAsia="仿宋_GB2312"/>
          <w:sz w:val="32"/>
          <w:szCs w:val="32"/>
          <w:lang w:val="en-US" w:eastAsia="zh-CN"/>
        </w:rPr>
        <w:t>163.71</w:t>
      </w:r>
      <w:r>
        <w:rPr>
          <w:rFonts w:hint="eastAsia" w:ascii="仿宋_GB2312" w:eastAsia="仿宋_GB2312"/>
          <w:sz w:val="32"/>
          <w:szCs w:val="32"/>
        </w:rPr>
        <w:t>万元，完成预算的</w:t>
      </w:r>
      <w:r>
        <w:rPr>
          <w:rFonts w:hint="eastAsia" w:ascii="仿宋_GB2312" w:eastAsia="仿宋_GB2312"/>
          <w:sz w:val="32"/>
          <w:szCs w:val="32"/>
          <w:lang w:val="en-US" w:eastAsia="zh-CN"/>
        </w:rPr>
        <w:t>64.78</w:t>
      </w:r>
      <w:r>
        <w:rPr>
          <w:rFonts w:hint="eastAsia" w:ascii="仿宋_GB2312" w:eastAsia="仿宋_GB2312"/>
          <w:sz w:val="32"/>
          <w:szCs w:val="32"/>
        </w:rPr>
        <w:t>%。主要产出和效果：重点项目土地征迁业务经费、储备土地征收经费、土地挂牌出让业务经费、土地案件律师咨询代理费；土地出让挂牌公告费、土地评估费；土地勘界测绘费等。发现的问题及原因：部分土地评估项目及其他业务工作结转2019年实施。下一步改进措施：继续完成部分土地评估项目及其他业务工作。有关项目自评情况可以附项目支出绩效自评表。</w:t>
      </w:r>
    </w:p>
    <w:tbl>
      <w:tblPr>
        <w:tblStyle w:val="7"/>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rPr>
                <w:rFonts w:ascii="宋体" w:hAns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重点项目征地及土地出让业务费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乌鲁木齐县土地储备中心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252.73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163.71　</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252.73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163.71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hAnsi="宋体" w:cs="宋体"/>
                <w:kern w:val="0"/>
                <w:sz w:val="20"/>
                <w:szCs w:val="20"/>
              </w:rPr>
            </w:pPr>
            <w:r>
              <w:rPr>
                <w:rFonts w:hint="eastAsia" w:ascii="宋体" w:hAnsi="宋体" w:cs="宋体"/>
                <w:kern w:val="0"/>
                <w:sz w:val="20"/>
                <w:szCs w:val="20"/>
              </w:rPr>
              <w:t>　</w:t>
            </w:r>
            <w:r>
              <w:rPr>
                <w:rFonts w:ascii="宋体" w:hAnsi="宋体" w:cs="宋体"/>
                <w:kern w:val="0"/>
                <w:sz w:val="20"/>
                <w:szCs w:val="20"/>
              </w:rPr>
              <w:t>重点项目土地征迁业务经费、</w:t>
            </w:r>
            <w:r>
              <w:rPr>
                <w:rFonts w:hint="eastAsia" w:ascii="宋体" w:hAnsi="宋体" w:cs="宋体"/>
                <w:kern w:val="0"/>
                <w:sz w:val="20"/>
                <w:szCs w:val="20"/>
              </w:rPr>
              <w:t>储备土地征收经费、</w:t>
            </w:r>
            <w:r>
              <w:rPr>
                <w:rFonts w:ascii="宋体" w:hAnsi="宋体" w:cs="宋体"/>
                <w:kern w:val="0"/>
                <w:sz w:val="20"/>
                <w:szCs w:val="20"/>
              </w:rPr>
              <w:t>土地挂牌出让业务经费、土地案件律师咨询代理费</w:t>
            </w:r>
            <w:r>
              <w:rPr>
                <w:rFonts w:hint="eastAsia" w:ascii="宋体" w:hAnsi="宋体" w:cs="宋体"/>
                <w:kern w:val="0"/>
                <w:sz w:val="20"/>
                <w:szCs w:val="20"/>
              </w:rPr>
              <w:t>；</w:t>
            </w:r>
            <w:r>
              <w:rPr>
                <w:rFonts w:ascii="宋体" w:hAnsi="宋体" w:cs="宋体"/>
                <w:kern w:val="0"/>
                <w:sz w:val="20"/>
                <w:szCs w:val="20"/>
              </w:rPr>
              <w:t>土地出让挂牌</w:t>
            </w:r>
            <w:r>
              <w:rPr>
                <w:rFonts w:hint="eastAsia" w:ascii="宋体" w:hAnsi="宋体" w:cs="宋体"/>
                <w:kern w:val="0"/>
                <w:sz w:val="20"/>
                <w:szCs w:val="20"/>
              </w:rPr>
              <w:t>公告费、</w:t>
            </w:r>
            <w:r>
              <w:rPr>
                <w:rFonts w:ascii="宋体" w:hAnsi="宋体" w:cs="宋体"/>
                <w:kern w:val="0"/>
                <w:sz w:val="20"/>
                <w:szCs w:val="20"/>
              </w:rPr>
              <w:t>土地评估费；土地勘界测绘费</w:t>
            </w:r>
            <w:r>
              <w:rPr>
                <w:rFonts w:hint="eastAsia" w:ascii="宋体" w:hAnsi="宋体" w:cs="宋体"/>
                <w:kern w:val="0"/>
                <w:sz w:val="20"/>
                <w:szCs w:val="20"/>
              </w:rPr>
              <w:t>等</w:t>
            </w:r>
            <w:r>
              <w:rPr>
                <w:rFonts w:ascii="宋体" w:hAnsi="宋体" w:cs="宋体"/>
                <w:kern w:val="0"/>
                <w:sz w:val="20"/>
                <w:szCs w:val="20"/>
              </w:rPr>
              <w:t>。</w:t>
            </w:r>
          </w:p>
          <w:p>
            <w:pPr>
              <w:widowControl/>
              <w:jc w:val="left"/>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hAnsi="宋体" w:cs="宋体"/>
                <w:kern w:val="0"/>
                <w:sz w:val="20"/>
                <w:szCs w:val="20"/>
              </w:rPr>
            </w:pPr>
            <w:r>
              <w:rPr>
                <w:rFonts w:hint="eastAsia" w:ascii="宋体" w:hAnsi="宋体" w:cs="宋体"/>
                <w:kern w:val="0"/>
                <w:sz w:val="20"/>
                <w:szCs w:val="20"/>
              </w:rPr>
              <w:t>　</w:t>
            </w:r>
            <w:r>
              <w:rPr>
                <w:rFonts w:ascii="宋体" w:hAnsi="宋体" w:cs="宋体"/>
                <w:kern w:val="0"/>
                <w:sz w:val="20"/>
                <w:szCs w:val="20"/>
              </w:rPr>
              <w:t>重点项目土地征迁业务经费、</w:t>
            </w:r>
            <w:r>
              <w:rPr>
                <w:rFonts w:hint="eastAsia" w:ascii="宋体" w:hAnsi="宋体" w:cs="宋体"/>
                <w:kern w:val="0"/>
                <w:sz w:val="20"/>
                <w:szCs w:val="20"/>
              </w:rPr>
              <w:t>储备土地征收经费、</w:t>
            </w:r>
            <w:r>
              <w:rPr>
                <w:rFonts w:ascii="宋体" w:hAnsi="宋体" w:cs="宋体"/>
                <w:kern w:val="0"/>
                <w:sz w:val="20"/>
                <w:szCs w:val="20"/>
              </w:rPr>
              <w:t>土地挂牌出让业务经费、土地案件律师咨询代理费</w:t>
            </w:r>
            <w:r>
              <w:rPr>
                <w:rFonts w:hint="eastAsia" w:ascii="宋体" w:hAnsi="宋体" w:cs="宋体"/>
                <w:kern w:val="0"/>
                <w:sz w:val="20"/>
                <w:szCs w:val="20"/>
              </w:rPr>
              <w:t>；</w:t>
            </w:r>
            <w:r>
              <w:rPr>
                <w:rFonts w:ascii="宋体" w:hAnsi="宋体" w:cs="宋体"/>
                <w:kern w:val="0"/>
                <w:sz w:val="20"/>
                <w:szCs w:val="20"/>
              </w:rPr>
              <w:t>土地出让挂牌</w:t>
            </w:r>
            <w:r>
              <w:rPr>
                <w:rFonts w:hint="eastAsia" w:ascii="宋体" w:hAnsi="宋体" w:cs="宋体"/>
                <w:kern w:val="0"/>
                <w:sz w:val="20"/>
                <w:szCs w:val="20"/>
              </w:rPr>
              <w:t>公告费、</w:t>
            </w:r>
            <w:r>
              <w:rPr>
                <w:rFonts w:ascii="宋体" w:hAnsi="宋体" w:cs="宋体"/>
                <w:kern w:val="0"/>
                <w:sz w:val="20"/>
                <w:szCs w:val="20"/>
              </w:rPr>
              <w:t>土地评估费；土地勘界测绘费</w:t>
            </w:r>
            <w:r>
              <w:rPr>
                <w:rFonts w:hint="eastAsia" w:ascii="宋体" w:hAnsi="宋体" w:cs="宋体"/>
                <w:kern w:val="0"/>
                <w:sz w:val="20"/>
                <w:szCs w:val="20"/>
              </w:rPr>
              <w:t>等</w:t>
            </w:r>
            <w:r>
              <w:rPr>
                <w:rFonts w:ascii="宋体" w:hAnsi="宋体" w:cs="宋体"/>
                <w:kern w:val="0"/>
                <w:sz w:val="20"/>
                <w:szCs w:val="20"/>
              </w:rPr>
              <w:t>。</w:t>
            </w:r>
          </w:p>
          <w:p>
            <w:pPr>
              <w:widowControl/>
              <w:jc w:val="right"/>
              <w:rPr>
                <w:rFonts w:ascii="宋体" w:hAnsi="宋体" w:cs="宋体"/>
                <w:kern w:val="0"/>
                <w:sz w:val="20"/>
                <w:szCs w:val="20"/>
              </w:rPr>
            </w:pP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：土地评估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土地评估35宗</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土地评估35宗</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：土地勘界</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土地评估35宗</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土地评估35宗</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指标3：土地挂牌公告</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土地挂牌公告2期</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土地挂牌公告2期</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：质量验收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质量验收合格</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质量验收合格</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：资金支付</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2018.1-2018.12</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2018.1-2018.12</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：土地评估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土地评估费120万元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已完成土地评估费　</w:t>
            </w:r>
            <w:r>
              <w:rPr>
                <w:rFonts w:ascii="宋体" w:hAnsi="宋体" w:cs="宋体"/>
                <w:kern w:val="0"/>
                <w:sz w:val="20"/>
                <w:szCs w:val="20"/>
              </w:rPr>
              <w:t>56.63</w:t>
            </w:r>
            <w:r>
              <w:rPr>
                <w:rFonts w:hint="eastAsia" w:ascii="宋体" w:hAnsi="宋体" w:cs="宋体"/>
                <w:kern w:val="0"/>
                <w:sz w:val="20"/>
                <w:szCs w:val="20"/>
              </w:rPr>
              <w:t>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：土地勘界</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土地勘界费80万元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已完成土地勘界费</w:t>
            </w:r>
            <w:r>
              <w:rPr>
                <w:rFonts w:ascii="宋体" w:hAnsi="宋体" w:cs="宋体"/>
                <w:kern w:val="0"/>
                <w:sz w:val="20"/>
                <w:szCs w:val="20"/>
              </w:rPr>
              <w:t>62.45</w:t>
            </w:r>
            <w:r>
              <w:rPr>
                <w:rFonts w:hint="eastAsia" w:ascii="宋体" w:hAnsi="宋体" w:cs="宋体"/>
                <w:kern w:val="0"/>
                <w:sz w:val="20"/>
                <w:szCs w:val="20"/>
              </w:rPr>
              <w:t>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指标3：土地挂牌公告</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土地挂牌公告费4万元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已完成土地挂牌公告费　</w:t>
            </w:r>
            <w:r>
              <w:rPr>
                <w:rFonts w:ascii="宋体" w:hAnsi="宋体" w:cs="宋体"/>
                <w:kern w:val="0"/>
                <w:sz w:val="20"/>
                <w:szCs w:val="20"/>
              </w:rPr>
              <w:t>3.35</w:t>
            </w:r>
            <w:r>
              <w:rPr>
                <w:rFonts w:hint="eastAsia" w:ascii="宋体" w:hAnsi="宋体" w:cs="宋体"/>
                <w:kern w:val="0"/>
                <w:sz w:val="20"/>
                <w:szCs w:val="20"/>
              </w:rPr>
              <w:t>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：县域经济发展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保障县域经济发展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保障县域经济发展</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：县域各项社会发展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保障县域各项社会发展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保障县域各项社会发展</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：集约用地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集约用地，节约资源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集约用地，节约资源</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：发挥土地效应</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合理用地，发挥土地最大效益</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合理用地，发挥土地最大效益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：政府满意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政府满意度98%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政府满意度98%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：群众满意</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群众满意度98%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群众满意度98%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700" w:lineRule="exact"/>
        <w:jc w:val="left"/>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2120801</w:t>
      </w:r>
      <w:r>
        <w:rPr>
          <w:rFonts w:hint="eastAsia" w:ascii="仿宋_GB2312" w:eastAsia="仿宋_GB2312"/>
          <w:sz w:val="32"/>
          <w:szCs w:val="32"/>
          <w:lang w:eastAsia="zh-CN"/>
        </w:rPr>
        <w:t>指</w:t>
      </w:r>
      <w:r>
        <w:rPr>
          <w:rFonts w:hint="eastAsia" w:ascii="仿宋_GB2312" w:eastAsia="仿宋_GB2312"/>
          <w:sz w:val="32"/>
          <w:szCs w:val="32"/>
        </w:rPr>
        <w:t>征地和拆迁补偿支出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lang w:eastAsia="zh-CN"/>
        </w:rPr>
        <w:t>指</w:t>
      </w:r>
      <w:r>
        <w:rPr>
          <w:rFonts w:hint="eastAsia" w:ascii="仿宋_GB2312" w:eastAsia="仿宋_GB2312"/>
          <w:sz w:val="32"/>
          <w:szCs w:val="32"/>
        </w:rPr>
        <w:t>农村基础设施建设支出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2120806</w:t>
      </w:r>
      <w:r>
        <w:rPr>
          <w:rFonts w:hint="eastAsia" w:ascii="仿宋_GB2312" w:eastAsia="仿宋_GB2312"/>
          <w:sz w:val="32"/>
          <w:szCs w:val="32"/>
          <w:lang w:eastAsia="zh-CN"/>
        </w:rPr>
        <w:t>指</w:t>
      </w:r>
      <w:r>
        <w:rPr>
          <w:rFonts w:hint="eastAsia" w:ascii="仿宋_GB2312" w:eastAsia="仿宋_GB2312"/>
          <w:sz w:val="32"/>
          <w:szCs w:val="32"/>
        </w:rPr>
        <w:t>土地出让业务支出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2200112</w:t>
      </w:r>
      <w:r>
        <w:rPr>
          <w:rFonts w:hint="eastAsia" w:ascii="仿宋_GB2312" w:eastAsia="仿宋_GB2312"/>
          <w:sz w:val="32"/>
          <w:szCs w:val="32"/>
          <w:lang w:eastAsia="zh-CN"/>
        </w:rPr>
        <w:t>指</w:t>
      </w:r>
      <w:r>
        <w:rPr>
          <w:rFonts w:hint="eastAsia" w:ascii="仿宋_GB2312" w:eastAsia="仿宋_GB2312"/>
          <w:sz w:val="32"/>
          <w:szCs w:val="32"/>
        </w:rPr>
        <w:t>土地资源储备支出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2299901</w:t>
      </w:r>
      <w:r>
        <w:rPr>
          <w:rFonts w:hint="eastAsia" w:ascii="仿宋_GB2312" w:eastAsia="仿宋_GB2312"/>
          <w:sz w:val="32"/>
          <w:szCs w:val="32"/>
          <w:lang w:eastAsia="zh-CN"/>
        </w:rPr>
        <w:t>指</w:t>
      </w:r>
      <w:r>
        <w:rPr>
          <w:rFonts w:hint="eastAsia" w:ascii="仿宋_GB2312" w:eastAsia="仿宋_GB2312"/>
          <w:sz w:val="32"/>
          <w:szCs w:val="32"/>
        </w:rPr>
        <w:t>其他支出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4572647A"/>
    <w:rsid w:val="4B45698D"/>
    <w:rsid w:val="6685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qFormat/>
    <w:uiPriority w:val="0"/>
    <w:pPr>
      <w:jc w:val="left"/>
    </w:pPr>
    <w:rPr>
      <w:rFonts w:ascii="Times New Roman" w:hAnsi="Times New Roman" w:eastAsia="宋体" w:cs="Times New Roman"/>
      <w:szCs w:val="24"/>
    </w:rPr>
  </w:style>
  <w:style w:type="paragraph" w:styleId="3">
    <w:name w:val="Balloon Text"/>
    <w:basedOn w:val="1"/>
    <w:link w:val="9"/>
    <w:semiHidden/>
    <w:unhideWhenUsed/>
    <w:qFormat/>
    <w:uiPriority w:val="99"/>
    <w:rPr>
      <w:sz w:val="18"/>
      <w:szCs w:val="18"/>
    </w:rPr>
  </w:style>
  <w:style w:type="character" w:styleId="5">
    <w:name w:val="Strong"/>
    <w:basedOn w:val="4"/>
    <w:qFormat/>
    <w:uiPriority w:val="99"/>
    <w:rPr>
      <w:rFonts w:cs="Times New Roman"/>
      <w:b/>
      <w:bCs/>
    </w:rPr>
  </w:style>
  <w:style w:type="character" w:styleId="6">
    <w:name w:val="annotation reference"/>
    <w:basedOn w:val="4"/>
    <w:semiHidden/>
    <w:unhideWhenUsed/>
    <w:qFormat/>
    <w:uiPriority w:val="99"/>
    <w:rPr>
      <w:sz w:val="21"/>
      <w:szCs w:val="21"/>
    </w:rPr>
  </w:style>
  <w:style w:type="character" w:customStyle="1" w:styleId="8">
    <w:name w:val="批注文字 Char"/>
    <w:basedOn w:val="4"/>
    <w:link w:val="2"/>
    <w:qFormat/>
    <w:uiPriority w:val="0"/>
    <w:rPr>
      <w:rFonts w:ascii="Times New Roman" w:hAnsi="Times New Roman" w:eastAsia="宋体" w:cs="Times New Roman"/>
      <w:szCs w:val="24"/>
    </w:rPr>
  </w:style>
  <w:style w:type="character" w:customStyle="1" w:styleId="9">
    <w:name w:val="批注框文本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7</TotalTime>
  <ScaleCrop>false</ScaleCrop>
  <LinksUpToDate>false</LinksUpToDate>
  <CharactersWithSpaces>5246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Administrator</cp:lastModifiedBy>
  <dcterms:modified xsi:type="dcterms:W3CDTF">2019-09-10T10:39:07Z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