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pPr>
      <w:r>
        <w:rPr>
          <w:rFonts w:hint="eastAsia" w:ascii="方正小标宋_GBK" w:hAnsi="宋体" w:eastAsia="方正小标宋_GBK"/>
          <w:sz w:val="44"/>
          <w:szCs w:val="44"/>
        </w:rPr>
        <w:t>2018年度乌鲁木齐县财政局</w:t>
      </w:r>
    </w:p>
    <w:p>
      <w:pPr>
        <w:spacing w:line="540" w:lineRule="exact"/>
        <w:jc w:val="center"/>
      </w:pPr>
      <w:r>
        <w:rPr>
          <w:rFonts w:hint="eastAsia" w:ascii="方正小标宋_GBK" w:hAnsi="宋体" w:eastAsia="方正小标宋_GBK"/>
          <w:sz w:val="44"/>
          <w:szCs w:val="44"/>
        </w:rPr>
        <w:t>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贯彻执行国家财政税收政策及其它有关政策，结合我县实际、制定补充实际办法和细则，指导乡（镇）财政所工作。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根据我县国民经济和社会发展战略，制定我县财政发展战略和中长期财政计划，编制年度全县决策，对我县社会财力进行综合平衡。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参与全县宏观经济的决策和管理。组织制定全县行业保险基金的财务制度，加强资金使用宏观调控的监督，运用财政、税收、补贴等经济杠杆对国民经济运行和国民收入分配进行有效的控制。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监督全县各项财政收入和财政支出，组织和监督全县预算的执行，地方国库资金的缴拨使用，负责非税收入的财务管理工作。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管理全县基本建设投资预算、决算，办理基本建设拨款，办理和监督由财政承担的各项支出。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从决算单位构成看，新疆乌鲁木齐县财政局部门决算包括：新疆乌鲁木齐县财政局部门本级决算，无下属单位决算。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新疆乌鲁木齐县财政局编制数26个，包括行政编制10个，事业编制16个。年末实有人数23人，其中：行政在职9人，事业在职14人。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纳入新疆乌鲁木齐县财政局2018年部门决算编制范围的单位名单见下表</w:t>
      </w:r>
      <w:r>
        <w:rPr>
          <w:rFonts w:hint="eastAsia" w:ascii="仿宋_GB2312" w:eastAsia="仿宋_GB2312"/>
          <w:spacing w:val="-6"/>
          <w:sz w:val="32"/>
          <w:szCs w:val="32"/>
        </w:rPr>
        <w:t>：</w:t>
      </w:r>
      <w:bookmarkStart w:id="0" w:name="_GoBack"/>
      <w:bookmarkEnd w:id="0"/>
    </w:p>
    <w:p>
      <w:pPr>
        <w:spacing w:line="500" w:lineRule="exact"/>
        <w:ind w:firstLine="616" w:firstLineChars="200"/>
        <w:rPr>
          <w:rFonts w:ascii="仿宋_GB2312" w:eastAsia="仿宋_GB2312"/>
          <w:spacing w:val="-6"/>
          <w:sz w:val="32"/>
          <w:szCs w:val="32"/>
        </w:rPr>
      </w:pP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新疆乌鲁木齐县财政局</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2,629.48万元,与上年相比，增加340.88万元，增长14.89%，增减变化主要原因是：财政事务运行管理经费增加；支出2,701.09万元,与上年相比，增加324.13万元，增长13.64%，增减变化主要原因是：财政事务管理支出增加；结余258.07万元，与上年相比，减少71.61万元，降低21.72%。增减变化主要原因是：加快支付进度，结余减少。</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2,629.48万元，其中：财政拨款收入2,622.36万元，占99.73%；上级补助收入0.00万元，占0.00%；事业收入0.00万元，占0.00%；经营收入0.00万元，占0.00%；附属单位缴款0.00万元，占0.00%；其他收入7.11万元，占0.27%。</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与年初预算数相比情况：本年收入年初预算数580.26万元，决算数2,629.48万元，预决算差异率353.15%，差异主要原因本年度年初只做人员经费预算未做项目预算，年中追加项目经费，预决算存在差异。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本年支出合计2,701.09万元，其中：基本支出689.09万元，占25.51%；项目支出2,012.00万元，占74.49%；上缴上级支出0.00万元，占0.00%；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与年初预算数相比情况：本年支出年初预算数580.26万元，决算数2,701.09万元，预决算差异率365.50%，差异主要原因本年度年初只做人员经费预算未做项目预算，年中追加项目经费，预决算存在差异。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2,622.36万元，与上年相比，增加334.34万元，增长14.61%。增减变化的主要原因是：财政事务运行管理经费增加。财政拨款支出2,701.09万元，与上年相比，增加326.06万元，增长13.73%，增减变化的主要原因是：财政事务运行管理经费增加。其中：基本支出689.09万元，项目支出2,012.00万元。财政拨款结转结余239.38万元，与上年相比，减少78.73万元，降低24.75%。增减变化的主要原因是：加快支付进度，结余减少。</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580.26万元，决算数2,622.36万元，预决算差异率351.93%，差异主要原因本年度年初只做人员经费预算未做项目预算，年中追加项目经费，预决算存在差异。财政拨款支出年初预算数580.26万元，决算数2,701.09万元，预决算差异率365.50%，差异主要原因本年度年初只做人员经费预算未做项目预算，年中追加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2,532.16万元。与上年相比，增加244.14万元，增长10.67%。增减变化的主要原因是：财政事务运行管理经费增加。一般公共预算财政拨款支出2,610.89万元。与上年相比，增加235.86万元，增长9.93%。增减变化的主要原因是：财政事务运行管理经费增加。其中：按功能分类科目（按类级科目公开），一般公共服务支出</w:t>
      </w:r>
      <w:r>
        <w:rPr>
          <w:rFonts w:ascii="仿宋_GB2312" w:eastAsia="仿宋_GB2312"/>
          <w:sz w:val="32"/>
          <w:szCs w:val="32"/>
        </w:rPr>
        <w:t>575.50</w:t>
      </w:r>
      <w:r>
        <w:rPr>
          <w:rFonts w:hint="eastAsia" w:ascii="仿宋_GB2312" w:eastAsia="仿宋_GB2312"/>
          <w:sz w:val="32"/>
          <w:szCs w:val="32"/>
        </w:rPr>
        <w:t>万元，社会保障和就业支出</w:t>
      </w:r>
      <w:r>
        <w:rPr>
          <w:rFonts w:ascii="仿宋_GB2312" w:eastAsia="仿宋_GB2312"/>
          <w:sz w:val="32"/>
          <w:szCs w:val="32"/>
        </w:rPr>
        <w:t>38.94</w:t>
      </w:r>
      <w:r>
        <w:rPr>
          <w:rFonts w:hint="eastAsia" w:ascii="仿宋_GB2312" w:eastAsia="仿宋_GB2312"/>
          <w:sz w:val="32"/>
          <w:szCs w:val="32"/>
        </w:rPr>
        <w:t>万元，农林水支出</w:t>
      </w:r>
      <w:r>
        <w:rPr>
          <w:rFonts w:ascii="仿宋_GB2312" w:eastAsia="仿宋_GB2312"/>
          <w:sz w:val="32"/>
          <w:szCs w:val="32"/>
        </w:rPr>
        <w:t>1,922.20</w:t>
      </w:r>
      <w:r>
        <w:rPr>
          <w:rFonts w:hint="eastAsia" w:ascii="仿宋_GB2312" w:eastAsia="仿宋_GB2312"/>
          <w:sz w:val="32"/>
          <w:szCs w:val="32"/>
        </w:rPr>
        <w:t>万元，其他支出</w:t>
      </w:r>
      <w:r>
        <w:rPr>
          <w:rFonts w:ascii="仿宋_GB2312" w:eastAsia="仿宋_GB2312"/>
          <w:sz w:val="32"/>
          <w:szCs w:val="32"/>
        </w:rPr>
        <w:t>74.25</w:t>
      </w:r>
      <w:r>
        <w:rPr>
          <w:rFonts w:hint="eastAsia" w:ascii="仿宋_GB2312" w:eastAsia="仿宋_GB2312"/>
          <w:sz w:val="32"/>
          <w:szCs w:val="32"/>
        </w:rPr>
        <w:t>万元。按经济分类科目（按类级科目公开），工资福利支出370.11万元，商品和服务支出229.48万元，对个人和家庭的支出70.95万元，资本性支出1,940.36万元。</w:t>
      </w:r>
      <w:r>
        <w:rPr>
          <w:rFonts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580.26万元，决算数2,532.16万元，预决算差异率336.38%，差异主要原因本年度年初只做人员经费预算未做项目预算，年中追加项目经费，预决算存在差异。一般公共预算财政拨款支出年初预算数580.26万元，决算数2,610.89万元，预决算差异率349.95%，差异主要原因本年度年初只做人员经费预算未做项目预算，年中追加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90.20万元，与上年相比，增加90.2万元，增长100%。增减变化的主要原因是：本年度增加城乡社区支出。政府性基金预算支出90.20万元。与上年相比，增加90.2万元，增长100%。增减变化的主要原因是：本年度增加城乡社区支出。其中：按功能分类科目（按类级科目公开），城乡社区支出</w:t>
      </w:r>
      <w:r>
        <w:rPr>
          <w:rFonts w:ascii="仿宋_GB2312" w:eastAsia="仿宋_GB2312"/>
          <w:sz w:val="32"/>
          <w:szCs w:val="32"/>
        </w:rPr>
        <w:t>90.20</w:t>
      </w:r>
      <w:r>
        <w:rPr>
          <w:rFonts w:hint="eastAsia" w:ascii="仿宋_GB2312" w:eastAsia="仿宋_GB2312"/>
          <w:sz w:val="32"/>
          <w:szCs w:val="32"/>
        </w:rPr>
        <w:t>万元，按经济分类科目（按类级科目公开），资本性支出90.20万元。</w:t>
      </w:r>
      <w:r>
        <w:rPr>
          <w:rFonts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90.20万元，预决算差异率100%，差异主要原因年中追加项目经费。政府性基金预算财政拨款支出年初预算数0.00万元，决算数90.20万元，预决算差异率100%，差异主要原因年中追加项目经费。</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年末结转结余258.07万元。与上年相比，减少71.61万元，降低21.72%。</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其中财政拨款结转结余239.38万元。与上年相比，减少78.73万元，降低24.75%。</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20.66万元，比上年减少0.04万元，降低0.19%，减少原因是严格执行八项规定，厉行节约，压减支出。其中，因公出国（境）费支出0.00万元，占0.00%，比上年减少0.0万元，降低0%，减少原因是本单位未安排支出；公务用车购置及运行维护费支出20.66万元，占100.00%，比上年减少0.04万元，降低0.19%，减少原因是严格执行八项规定，厉行节约，压减支出；公务接待费支出0.00万元，占0.00%，比上年增加0.0万元，增长0%，减少原因是本单位无公务接待支出。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因公出国（境）费支出0.00万元。新疆乌鲁木齐县财政局全年使用一般公共预算财政拨款安排的出国（境）团组0个，累计0人次。开支内容包括：本单位无因公出国（境）费。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公务用车购置及运行维护费20.66万元,其中，公务用车购置0.00万元，公务用车运行维护费20.66万元。主要用于车辆燃油费、维修费、保险费等。单位一般公共财政拨款安排的公务用车购置量0辆，保有量为3辆。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公务接待费0.00万元。具体是：国内公务接待支出0.00万元，主要是本单位无公务接待费。新疆乌鲁木齐县财政局国内公务接待0批次，0人次。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与年初预算数相比情况：一般公共预算“三公”经费支出年初预算数20.66万元，决算数20.66万元，预决算差异率0.00%，差异主要原因本年与上年一致，无变化。</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预算数0.00万元，决算数0.00万元，预决算差异率0.00%，差异主要原因本单位无</w:t>
      </w:r>
      <w:r>
        <w:rPr>
          <w:rFonts w:hint="eastAsia" w:ascii="仿宋_GB2312" w:hAnsi="宋体" w:eastAsia="仿宋_GB2312" w:cs="宋体"/>
          <w:kern w:val="0"/>
          <w:sz w:val="32"/>
          <w:szCs w:val="32"/>
        </w:rPr>
        <w:t>因公出国（境）费</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预算数0万元，决算数0.00万元，预决算差异率0.00%，差异主要原因本单位无</w:t>
      </w:r>
      <w:r>
        <w:rPr>
          <w:rFonts w:hint="eastAsia" w:ascii="仿宋_GB2312" w:hAnsi="宋体" w:eastAsia="仿宋_GB2312" w:cs="宋体"/>
          <w:kern w:val="0"/>
          <w:sz w:val="32"/>
          <w:szCs w:val="32"/>
        </w:rPr>
        <w:t>公务用车购置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预算数20.66万元，决算数20.66万元，预决算差异率0.00%，差异主要原因本年与上年一致，无变化；</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预算数0.00万元，决算数0.00万元，预决算差异率0.00%，差异主要原因本单位无</w:t>
      </w:r>
      <w:r>
        <w:rPr>
          <w:rFonts w:hint="eastAsia" w:ascii="仿宋_GB2312" w:hAnsi="宋体" w:eastAsia="仿宋_GB2312" w:cs="宋体"/>
          <w:kern w:val="0"/>
          <w:sz w:val="32"/>
          <w:szCs w:val="32"/>
        </w:rPr>
        <w:t>公务接待费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2018年度新疆乌鲁木齐县财政局（行政单位和参照公务员法管理事业单位）机关运行经费支出248.04万元，比上年减少30.08万元，降低10.82%，主要原因是严格执行八项规定，厉行节约，压减支出。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2018年度政府采购支出总额172.48万元，其中：政府采购货物支出22.94万元、政府采购工程支出1.66万元、政府采购服务支出147.88万元。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3辆，价值57.84万元，其中：副部（省）级及以上领导用车0辆、主要领导干部用车1辆、机要通信用车2辆、应急保障用车0辆、执法执勤用车0辆、特种专业技术用车0辆、离退休干部用车0辆、其他用车0辆，其他用车主要是：无其他车辆；单位价值50万元以上通用设备0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项目绩效自评综述：根据年初设定的绩效目标，项目绩效自评得分为0分。项目全年预算数为0万元，执行数为0万元，完成预算的0%。主要产出和效果：无。发现的问题及原因：无。下一步改进措施：无。有关项目自评情况可以附项目支出绩效自评表。2018年度，本单位无单位预算绩效。</w:t>
      </w: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201类06款01项行政运行反映行政单位（包括实行公务员管理的事业单位）的基本支出。</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201类06款04项预算改革业务反映财政部门用于预算改革方面的支出。</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201类06款05项财政国库业务反映财政部门用于财政国库集中收付业务方面的支出。</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201类06款07项信息化建设反映财政部门用于“金财工程”等信息化建设方面的支出。</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201类06款99项其他财政事务支出反映除上述项目以外其他财政事务方面的支出。</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208类02款08项指基层政权和社区建设</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208类05款05项机关事业单位基本养老保险缴费支出反映机关事业单位实施养老保险制度由单位缴纳的基本养老保险费支出。</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 xml:space="preserve">208类26款02项财政对城乡居民基本养老保险基金的补助反映财政对城乡居民基本养老保险基金的补助支出。  </w:t>
      </w:r>
      <w:r>
        <w:rPr>
          <w:rFonts w:ascii="仿宋_GB2312" w:hAnsi="Calibri" w:eastAsia="仿宋_GB2312"/>
          <w:sz w:val="32"/>
          <w:szCs w:val="32"/>
          <w:lang w:val="en-GB"/>
        </w:rPr>
        <w:t xml:space="preserve">   </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212类11款00项农业土地开发资金及对应专项债务收入安排的支出</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213类06款02项土地治理反映农业综合开发部门安排的土地治理项目支出。</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213类06款03项产业化经营反映农业综合开发部门安排的产业化经营项目支出。</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213类06款99项其他农业综合开发支出反映农业综合开发部门的其他支出。</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213类08款99项其他普惠金融发展支出反映各级财政部门用于除上述方式以外的其他普惠金融发展的支出。</w:t>
      </w:r>
    </w:p>
    <w:p>
      <w:pPr>
        <w:spacing w:line="540" w:lineRule="exact"/>
        <w:ind w:firstLine="640" w:firstLineChars="200"/>
        <w:rPr>
          <w:rFonts w:ascii="仿宋_GB2312" w:eastAsia="仿宋_GB2312"/>
          <w:sz w:val="32"/>
          <w:szCs w:val="32"/>
        </w:rPr>
      </w:pPr>
      <w:r>
        <w:rPr>
          <w:rFonts w:hint="eastAsia" w:ascii="仿宋_GB2312" w:hAnsi="Calibri" w:eastAsia="仿宋_GB2312"/>
          <w:sz w:val="32"/>
          <w:szCs w:val="32"/>
          <w:lang w:val="en-GB"/>
        </w:rPr>
        <w:t>229类99款01项其他支出反映除上述项目以外其他不能划分到具体功能科目中的支出项</w:t>
      </w:r>
      <w:r>
        <w:rPr>
          <w:rFonts w:hint="eastAsia" w:ascii="仿宋_GB2312" w:eastAsia="仿宋_GB2312"/>
          <w:sz w:val="32"/>
          <w:szCs w:val="32"/>
        </w:rPr>
        <w:t>。</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其他有关说明内容</w:t>
      </w:r>
      <w:r>
        <w:rPr>
          <w:rFonts w:hint="eastAsia" w:ascii="仿宋_GB2312" w:hAnsi="Calibri" w:eastAsia="仿宋_GB2312"/>
          <w:sz w:val="32"/>
          <w:szCs w:val="32"/>
          <w:lang w:val="en-GB"/>
        </w:rPr>
        <w:t>。</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3226C6"/>
    <w:rsid w:val="003D6F90"/>
    <w:rsid w:val="00417058"/>
    <w:rsid w:val="004642B9"/>
    <w:rsid w:val="004763B2"/>
    <w:rsid w:val="004A2F26"/>
    <w:rsid w:val="0058643C"/>
    <w:rsid w:val="006059F7"/>
    <w:rsid w:val="00894603"/>
    <w:rsid w:val="008D211C"/>
    <w:rsid w:val="0099065E"/>
    <w:rsid w:val="009A4996"/>
    <w:rsid w:val="009E4624"/>
    <w:rsid w:val="00B12F04"/>
    <w:rsid w:val="00BE7FE7"/>
    <w:rsid w:val="00BF00D9"/>
    <w:rsid w:val="00CE0C1D"/>
    <w:rsid w:val="00CF769E"/>
    <w:rsid w:val="00D923F6"/>
    <w:rsid w:val="00F21610"/>
    <w:rsid w:val="0B2031E4"/>
    <w:rsid w:val="0E960E28"/>
    <w:rsid w:val="4572647A"/>
    <w:rsid w:val="6D1C2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qFormat/>
    <w:uiPriority w:val="0"/>
    <w:pPr>
      <w:jc w:val="left"/>
    </w:pPr>
    <w:rPr>
      <w:rFonts w:ascii="Times New Roman" w:hAnsi="Times New Roman" w:eastAsia="宋体" w:cs="Times New Roman"/>
      <w:szCs w:val="24"/>
    </w:r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批注文字 Char"/>
    <w:basedOn w:val="7"/>
    <w:link w:val="2"/>
    <w:qFormat/>
    <w:uiPriority w:val="0"/>
    <w:rPr>
      <w:rFonts w:ascii="Times New Roman" w:hAnsi="Times New Roman" w:eastAsia="宋体" w:cs="Times New Roman"/>
      <w:szCs w:val="24"/>
    </w:rPr>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qFormat/>
    <w:uiPriority w:val="99"/>
    <w:rPr>
      <w:kern w:val="2"/>
      <w:sz w:val="18"/>
      <w:szCs w:val="18"/>
    </w:rPr>
  </w:style>
  <w:style w:type="character" w:customStyle="1" w:styleId="12">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956</Words>
  <Characters>5454</Characters>
  <Lines>45</Lines>
  <Paragraphs>12</Paragraphs>
  <TotalTime>3</TotalTime>
  <ScaleCrop>false</ScaleCrop>
  <LinksUpToDate>false</LinksUpToDate>
  <CharactersWithSpaces>6398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Administrator</cp:lastModifiedBy>
  <dcterms:modified xsi:type="dcterms:W3CDTF">2021-05-18T14:46:26Z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