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2018年度乌鲁木齐市乌鲁木齐县市场监督管理局部门决算公开说明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市场监督管理职能是国家市场管理机关在实施监督管理活动中作用于管理客体的客观功能。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规范职能，是在调查研究的基础上，制定出科学、有效的法律规范体系，用以指导、约束市场主体及其交易、竞争行为。法律规范既是市场管理主体实施管理的依据，也是实施管理的手段，又是市场主体实施市场行为的准则，其预见、指引、评价功能在市场监督管理中发挥重要的作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监督职能，即管理者以法律准则、指标体系等为依据，检查、监测经营者行为，对有偏离准则倾向或已开始发生偏离的行为人，给予提醒、指导，督促其采取防范措施或及时纠正偏差，使违法行为在即将发生或刚刚发生时就得到避免或制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3.查处职能，是对案件的调查、处理职能。对于规范职能、监督职能未能避免和阻止的违法行为，市场管理者将对此进行调查，给予严肃认真的处理，以便强制纠正越轨行为，并对越轨行为产生的后果加以补救，同时，维护法律的严肃性和权威性，警示市场经营者守法经营。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从决算单位构成看，乌鲁木齐市乌鲁木齐县市场监督管理局部门决算包括：乌鲁木齐市乌鲁木齐县市场监督管理局部门本级决算、</w:t>
      </w:r>
      <w:r>
        <w:rPr>
          <w:rFonts w:hint="eastAsia" w:ascii="仿宋_GB2312" w:eastAsia="仿宋_GB2312"/>
          <w:sz w:val="32"/>
          <w:szCs w:val="32"/>
          <w:lang w:eastAsia="zh-CN"/>
        </w:rPr>
        <w:t>无下</w:t>
      </w:r>
      <w:r>
        <w:rPr>
          <w:rFonts w:hint="eastAsia" w:ascii="仿宋_GB2312" w:eastAsia="仿宋_GB2312"/>
          <w:sz w:val="32"/>
          <w:szCs w:val="32"/>
        </w:rPr>
        <w:t>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乌鲁木齐市乌鲁木齐县市场监督管理局编制数46个，包括行政编制43个，事业编制3个。年末实有人数41人，其中：行政在职38人，事业在职3人。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纳入乌鲁木齐市乌鲁木齐县市场监督管理局2018年部门决算编制范围的单位名单见下表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乌鲁木齐市乌鲁木齐县市场监督管理局</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1,227.18万元,与上年相比，增加314.17万元，增长34.41%，增减变化主要原因是：聘用人员、协管员工资135万元，双创收入20万元，检测费40万元、办健康证40万元以及其他专项经费；支出1,333.50万元,与上年相比，增加335.71万元，增长33.65%，增减变化主要原因是：聘用人员、协管员工资135万元，永丰所房屋维修39.5万元、购电脑等支出以及项目经费支出；结余125.38万元，与上年相比，减少106.32万元，降低45.89%。增减变化主要原因是：上年跨年未开支的专项银行存款减少118万元，今年开支上年未支的经费174万元。维稳费37万元、暖气费7.5万元、双创费20万元、文明奖14万元、绩效奖70万元、钢瓶安全奖26万元等。</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1,227.18万元，其中：财政拨款收入1,152.11万元，占93.88%；上级补助收入0.00万元，占0.00%；事业收入0.00万元，占0.00%；经营收入0.00万元，占0.00%；附属单位缴款0.00万元，占0.00%；其他收入75.07万元，占6.12%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与年初预算数相比情况：本年收入年初预算数1,002.75万元，决算数1,227.18万元，预决算差异率22.38%，差异主要原因年中追加人员经费及项目经费，预决算存在差异。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本年支出合计1,333.50万元，其中：基本支出1,091.33万元，占81.84%；项目支出242.17万元，占18.16%；上缴上级支出0.00万元，占0.00%；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与年初预算数相比情况：本年支出年初预算数1,002.75万元，决算数1,333.50万元，预决算差异率32.98%，差异主要原因年中追加人员经费及项目经费，预决算存在差异。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1,152.11万元，与上年相比，增加260.88万元，增长29.27%。增减变化的主要原因是：聘用人员、协管员工资135万元，双创收入20万元，检测费40万元、办健康证40万元以及其他专项经费。财政拨款支出1,313.50万元，与上年相比，增加336.71万元，增长34.47%，增减变化的主要原因是：聘用人员、协管员工资135万元，双创收入20万元，检测费40万元、办健康证40万元以及其他专项经费。其中：基本支出1,091.33万元，项目支出222.17万元。财政拨款结转结余69.53万元，与上年相比，减少161.39万元，降低69.89%。增减变化的主要原因是：上年跨年未开支的专项银行存款减少118万元，今年开支上年未支的经费174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1,002.75万元，决算数1,152.11万元，预决算差异率14.90%，差异主要原因年中追加人员经费及项目经费，预决算存在差异。财政拨款支出年初预算数1,002.75万元，决算数1,313.50万元，预决算差异率30.99%，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1,152.11万元。与上年相比，增加260.88万元，增长29.27%。增减变化的主要原因是：聘用人员、协管员工资135万元，双创收入20万元，检测费40万元、办健康证40万元以及其他专项经费。一般公共预算财政拨款支出1,313.50万元。与上年相比，增加336.71万元，增长34.47%。增减变化的主要原因是：聘用人员、协管员工资135万元，双创收入20万元，检测费40万元、办健康证40万元以及其他专项经费。其中：按功能分类科目（按类级科目公开），一般公共服务支出959.81万元，社会保障和就业支出70.63万元</w:t>
      </w:r>
      <w:r>
        <w:rPr>
          <w:rFonts w:hint="eastAsia" w:ascii="仿宋_GB2312" w:eastAsia="仿宋_GB2312"/>
          <w:sz w:val="32"/>
          <w:szCs w:val="32"/>
          <w:lang w:eastAsia="zh-CN"/>
        </w:rPr>
        <w:t>，医疗卫生与计划生育支出274.59万元，其他支出8.47万元</w:t>
      </w:r>
      <w:r>
        <w:rPr>
          <w:rFonts w:hint="eastAsia" w:ascii="仿宋_GB2312" w:eastAsia="仿宋_GB2312"/>
          <w:sz w:val="32"/>
          <w:szCs w:val="32"/>
        </w:rPr>
        <w:t>。按经济分类科目（按类级科目公开），工资福利支出640.82万元，商品和服务支出438.54万元，对个人和家庭的支出217.73万元，资本性支出16.40万元。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1,002.75万元，决算数1,152.11万元，预决算差异率14.90%，差异主要原因年中追加人员经费及项目经费，预决算存在差异。一般公共预算财政拨款支出年初预算数1,002.75万元，决算数1,313.50万元，预决算差异率30.99%，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2018年度政府性基金预算财政拨款收入0.00万元，与上年相比，增加0.0万元，增加0%。增减变化的主要原因是：</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w:t>
      </w:r>
      <w:r>
        <w:rPr>
          <w:rFonts w:hint="eastAsia" w:ascii="仿宋_GB2312" w:eastAsia="仿宋_GB2312"/>
          <w:sz w:val="32"/>
          <w:szCs w:val="32"/>
          <w:lang w:eastAsia="zh-CN"/>
        </w:rPr>
        <w:t>收入</w:t>
      </w:r>
      <w:r>
        <w:rPr>
          <w:rFonts w:hint="eastAsia" w:ascii="仿宋_GB2312" w:eastAsia="仿宋_GB2312"/>
          <w:sz w:val="32"/>
          <w:szCs w:val="32"/>
        </w:rPr>
        <w:t>。政府性基金预算支出0.00万元。与上年相比，减少0万元，降低0%。增减变化的主要原因是：</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w:t>
      </w:r>
      <w:r>
        <w:rPr>
          <w:rFonts w:hint="eastAsia" w:ascii="仿宋_GB2312" w:eastAsia="仿宋_GB2312"/>
          <w:sz w:val="32"/>
          <w:szCs w:val="32"/>
          <w:lang w:eastAsia="zh-CN"/>
        </w:rPr>
        <w:t>支出</w:t>
      </w:r>
      <w:r>
        <w:rPr>
          <w:rFonts w:hint="eastAsia" w:ascii="仿宋_GB2312" w:eastAsia="仿宋_GB2312"/>
          <w:sz w:val="32"/>
          <w:szCs w:val="32"/>
        </w:rPr>
        <w:t>。其中：按功能分类科目（按类级科目公开），支出</w:t>
      </w:r>
      <w:r>
        <w:rPr>
          <w:rFonts w:hint="eastAsia" w:ascii="仿宋_GB2312" w:eastAsia="仿宋_GB2312"/>
          <w:sz w:val="32"/>
          <w:szCs w:val="32"/>
          <w:lang w:val="en-US" w:eastAsia="zh-CN"/>
        </w:rPr>
        <w:t>0</w:t>
      </w:r>
      <w:r>
        <w:rPr>
          <w:rFonts w:hint="eastAsia" w:ascii="仿宋_GB2312" w:eastAsia="仿宋_GB2312"/>
          <w:sz w:val="32"/>
          <w:szCs w:val="32"/>
        </w:rPr>
        <w:t>万元。按经济分类科目（按类级科目公开），支出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政府性基金预算收</w:t>
      </w:r>
      <w:r>
        <w:rPr>
          <w:rFonts w:hint="eastAsia" w:ascii="仿宋_GB2312" w:eastAsia="仿宋_GB2312"/>
          <w:sz w:val="32"/>
          <w:szCs w:val="32"/>
          <w:lang w:eastAsia="zh-CN"/>
        </w:rPr>
        <w:t>入</w:t>
      </w:r>
      <w:r>
        <w:rPr>
          <w:rFonts w:hint="eastAsia" w:ascii="仿宋_GB2312" w:eastAsia="仿宋_GB2312"/>
          <w:sz w:val="32"/>
          <w:szCs w:val="32"/>
        </w:rPr>
        <w:t>。政府性基金预算财政拨款支出年初预算数0.00万元，决算数0.00万元，预决算差异率0.00%，差异主要原因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政府性基金预算支</w:t>
      </w:r>
      <w:r>
        <w:rPr>
          <w:rFonts w:hint="eastAsia" w:ascii="仿宋_GB2312" w:eastAsia="仿宋_GB2312"/>
          <w:sz w:val="32"/>
          <w:szCs w:val="32"/>
          <w:lang w:eastAsia="zh-CN"/>
        </w:rPr>
        <w:t>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年末结转结余125.38万元。与上年相比，减少106.32万元，降低45.89%。</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其中财政拨款结转结余69.53万元。与上年相比，减少161.39万元，降低69.89%。</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2018年度一般公共预算“三公”经费支出决算47.74万元，比上年增加2.01万元，增长4.4%，增加原因是今年油价上涨导致</w:t>
      </w:r>
      <w:r>
        <w:rPr>
          <w:rFonts w:hint="eastAsia" w:ascii="仿宋_GB2312" w:eastAsia="仿宋_GB2312"/>
          <w:sz w:val="32"/>
          <w:szCs w:val="32"/>
          <w:lang w:eastAsia="zh-CN"/>
        </w:rPr>
        <w:t>，经费增加</w:t>
      </w:r>
      <w:r>
        <w:rPr>
          <w:rFonts w:hint="eastAsia" w:ascii="仿宋_GB2312" w:eastAsia="仿宋_GB2312"/>
          <w:sz w:val="32"/>
          <w:szCs w:val="32"/>
        </w:rPr>
        <w:t>。其中，因公出国（境）费支出0.00万元，占0.00%，比上年</w:t>
      </w:r>
      <w:r>
        <w:rPr>
          <w:rFonts w:hint="eastAsia" w:ascii="仿宋_GB2312" w:eastAsia="仿宋_GB2312"/>
          <w:sz w:val="32"/>
          <w:szCs w:val="32"/>
          <w:lang w:eastAsia="zh-CN"/>
        </w:rPr>
        <w:t>减少</w:t>
      </w:r>
      <w:r>
        <w:rPr>
          <w:rFonts w:hint="eastAsia" w:ascii="仿宋_GB2312" w:eastAsia="仿宋_GB2312"/>
          <w:sz w:val="32"/>
          <w:szCs w:val="32"/>
        </w:rPr>
        <w:t>0.0万元，降低0%，减少原因是</w:t>
      </w:r>
      <w:r>
        <w:rPr>
          <w:rFonts w:hint="eastAsia" w:ascii="仿宋_GB2312" w:eastAsia="仿宋_GB2312"/>
          <w:sz w:val="32"/>
          <w:szCs w:val="32"/>
          <w:lang w:eastAsia="zh-CN"/>
        </w:rPr>
        <w:t>单位无</w:t>
      </w:r>
      <w:r>
        <w:rPr>
          <w:rFonts w:hint="eastAsia" w:ascii="仿宋_GB2312" w:eastAsia="仿宋_GB2312"/>
          <w:sz w:val="32"/>
          <w:szCs w:val="32"/>
        </w:rPr>
        <w:t>因公出国（境）费；公务用车购置及运行维护费支出47.74万元，占100.00%，比上年增加2.01万元，增长4.4%，增加原因是今年油价上涨导致</w:t>
      </w:r>
      <w:r>
        <w:rPr>
          <w:rFonts w:hint="eastAsia" w:ascii="仿宋_GB2312" w:eastAsia="仿宋_GB2312"/>
          <w:sz w:val="32"/>
          <w:szCs w:val="32"/>
          <w:lang w:eastAsia="zh-CN"/>
        </w:rPr>
        <w:t>，经费增加</w:t>
      </w:r>
      <w:r>
        <w:rPr>
          <w:rFonts w:hint="eastAsia" w:ascii="仿宋_GB2312" w:eastAsia="仿宋_GB2312"/>
          <w:sz w:val="32"/>
          <w:szCs w:val="32"/>
        </w:rPr>
        <w:t>；公务接待费支出0.00万元，占0.00%，比上年</w:t>
      </w:r>
      <w:r>
        <w:rPr>
          <w:rFonts w:hint="eastAsia" w:ascii="仿宋_GB2312" w:eastAsia="仿宋_GB2312"/>
          <w:sz w:val="32"/>
          <w:szCs w:val="32"/>
          <w:lang w:eastAsia="zh-CN"/>
        </w:rPr>
        <w:t>经费</w:t>
      </w:r>
      <w:r>
        <w:rPr>
          <w:rFonts w:hint="eastAsia" w:ascii="仿宋_GB2312" w:eastAsia="仿宋_GB2312"/>
          <w:sz w:val="32"/>
          <w:szCs w:val="32"/>
        </w:rPr>
        <w:t>0.0万元，降低0%，减少原因是</w:t>
      </w:r>
      <w:r>
        <w:rPr>
          <w:rFonts w:hint="eastAsia" w:ascii="仿宋_GB2312" w:eastAsia="仿宋_GB2312"/>
          <w:sz w:val="32"/>
          <w:szCs w:val="32"/>
          <w:lang w:eastAsia="zh-CN"/>
        </w:rPr>
        <w:t>单位无公务接待费</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因公出国（境）费支出0.00万元。新疆维吾尔自治区乌鲁木齐市乌鲁木齐县市场监督管理局全年使用一般公共预算财政拨款安排的出国（境）团组0个，累计0人次。开支内容包括：</w:t>
      </w:r>
      <w:r>
        <w:rPr>
          <w:rFonts w:hint="eastAsia" w:ascii="仿宋_GB2312" w:eastAsia="仿宋_GB2312"/>
          <w:sz w:val="32"/>
          <w:szCs w:val="32"/>
          <w:lang w:eastAsia="zh-CN"/>
        </w:rPr>
        <w:t>单位无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公务用车购置及运行维护费47.74万元,其中，公务用车购置0.00万元，公务用车运行维护费47.74万元。主要用于</w:t>
      </w:r>
      <w:r>
        <w:rPr>
          <w:rFonts w:hint="eastAsia" w:ascii="仿宋_GB2312" w:eastAsia="仿宋_GB2312"/>
          <w:sz w:val="32"/>
          <w:szCs w:val="32"/>
          <w:lang w:eastAsia="zh-CN"/>
        </w:rPr>
        <w:t>车辆燃油费、维修费</w:t>
      </w:r>
      <w:r>
        <w:rPr>
          <w:rFonts w:hint="eastAsia" w:ascii="仿宋_GB2312" w:eastAsia="仿宋_GB2312"/>
          <w:sz w:val="32"/>
          <w:szCs w:val="32"/>
        </w:rPr>
        <w:t>。单位一般公共财政拨款安排的公务用车购置量0辆，保有量为13辆。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单位无国内公务接待费</w:t>
      </w:r>
      <w:r>
        <w:rPr>
          <w:rFonts w:hint="eastAsia" w:ascii="仿宋_GB2312" w:eastAsia="仿宋_GB2312"/>
          <w:sz w:val="32"/>
          <w:szCs w:val="32"/>
        </w:rPr>
        <w:t>。新疆维吾尔自治区乌鲁木齐市乌鲁木齐县市场监督管理局国内公务接待0批次，0人次。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与年初预算数相比情况：一般公共预算“三公”经费支出年初预算数49.50万元，决算数47.74万元，预决算差异率-3.56%，差异主要原因</w:t>
      </w:r>
      <w:r>
        <w:rPr>
          <w:rFonts w:hint="eastAsia" w:ascii="仿宋_GB2312" w:eastAsia="仿宋_GB2312"/>
          <w:sz w:val="32"/>
          <w:szCs w:val="32"/>
          <w:lang w:eastAsia="zh-CN"/>
        </w:rPr>
        <w:t>严控经费支出，厉行节约</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单位无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单位无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预算数49.50万元，决算数47.74万元，预决算差异率-3.56%，差异主要原因</w:t>
      </w:r>
      <w:r>
        <w:rPr>
          <w:rFonts w:hint="eastAsia" w:ascii="仿宋_GB2312" w:eastAsia="仿宋_GB2312"/>
          <w:sz w:val="32"/>
          <w:szCs w:val="32"/>
          <w:lang w:eastAsia="zh-CN"/>
        </w:rPr>
        <w:t>严控经费支出，厉行节约</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单位无公务接待费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新疆维吾尔自治区乌鲁木齐市乌鲁木齐县市场监督管理局（事业单位）日常公用经费232.78万</w:t>
      </w:r>
      <w:bookmarkStart w:id="0" w:name="_GoBack"/>
      <w:bookmarkEnd w:id="0"/>
      <w:r>
        <w:rPr>
          <w:rFonts w:hint="eastAsia" w:ascii="仿宋_GB2312" w:eastAsia="仿宋_GB2312"/>
          <w:sz w:val="32"/>
          <w:szCs w:val="32"/>
        </w:rPr>
        <w:t>元，比上年增加71.28万元，增长44.13%，主要原因是</w:t>
      </w:r>
      <w:r>
        <w:rPr>
          <w:rFonts w:hint="eastAsia" w:ascii="仿宋_GB2312" w:eastAsia="仿宋_GB2312"/>
          <w:sz w:val="32"/>
          <w:szCs w:val="32"/>
          <w:lang w:eastAsia="zh-CN"/>
        </w:rPr>
        <w:t>业务增加，办公经费增加，油价上涨导致公务用车运行费增加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2018年度政府采购支出总额113.80万元，其中：政府采购货物支出38.50万元、政府采购工程支出0.00万元、政府采购服务支出75.30万元。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13辆，价值195.68万元，其中：副部（省）级及以上领导用车0辆、主要领导干部用车0辆、机要通信用车0辆、应急保障用车0辆、执法执勤用车13辆、特种专业技术用车0辆、离退休干部用车0辆、其他用车0辆，其他用车主要是：</w:t>
      </w:r>
      <w:r>
        <w:rPr>
          <w:rFonts w:hint="eastAsia" w:ascii="仿宋_GB2312" w:eastAsia="仿宋_GB2312"/>
          <w:sz w:val="32"/>
          <w:szCs w:val="32"/>
          <w:lang w:eastAsia="zh-CN"/>
        </w:rPr>
        <w:t>单位无其他用车</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工商质检宣传项目项目绩效自评综述：根据年初设定的绩效目标，工商质检宣传项目项目绩效自评得分为</w:t>
      </w:r>
      <w:r>
        <w:rPr>
          <w:rFonts w:hint="eastAsia" w:ascii="仿宋_GB2312" w:eastAsia="仿宋_GB2312"/>
          <w:sz w:val="32"/>
          <w:szCs w:val="32"/>
          <w:lang w:val="en-US" w:eastAsia="zh-CN"/>
        </w:rPr>
        <w:t>91</w:t>
      </w:r>
      <w:r>
        <w:rPr>
          <w:rFonts w:hint="eastAsia" w:ascii="仿宋_GB2312" w:eastAsia="仿宋_GB2312"/>
          <w:sz w:val="32"/>
          <w:szCs w:val="32"/>
        </w:rPr>
        <w:t>分。项目全年预算数为</w:t>
      </w:r>
      <w:r>
        <w:rPr>
          <w:rFonts w:hint="eastAsia" w:ascii="仿宋_GB2312" w:eastAsia="仿宋_GB2312"/>
          <w:sz w:val="32"/>
          <w:szCs w:val="32"/>
          <w:lang w:val="en-US" w:eastAsia="zh-CN"/>
        </w:rPr>
        <w:t>3</w:t>
      </w:r>
      <w:r>
        <w:rPr>
          <w:rFonts w:hint="eastAsia" w:ascii="仿宋_GB2312" w:eastAsia="仿宋_GB2312"/>
          <w:sz w:val="32"/>
          <w:szCs w:val="32"/>
        </w:rPr>
        <w:t>万元，执行数为</w:t>
      </w:r>
      <w:r>
        <w:rPr>
          <w:rFonts w:hint="eastAsia" w:ascii="仿宋_GB2312" w:eastAsia="仿宋_GB2312"/>
          <w:sz w:val="32"/>
          <w:szCs w:val="32"/>
          <w:lang w:val="en-US" w:eastAsia="zh-CN"/>
        </w:rPr>
        <w:t>3</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为我县工商质检工作提供有力宣传保障。发现的问题及原因：一是工商质检宣传有待拓展,监管手段循旧,缺乏高科技含量的监管技术和专业人才,这种劣势尤其在互联网监管方面表现突出实现“以网管网的程度有待提高,缺乏对新型案件深入研究和探索。二是工商质检宣传队伍人员不足，力量薄弱，工商质检宣传装备、技术检测检验设施还不能满足监管工作的需要。下一步改进措施：为确保今后我县工商质检宣传工作，今年将工商质检宣传资金、人员、基层所建设经费等全部纳入年初预算，为我县工商质检宣传工作提供有力保障。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74"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p>
            <w:pPr>
              <w:widowControl/>
              <w:ind w:firstLine="300" w:firstLineChars="150"/>
              <w:rPr>
                <w:rFonts w:ascii="宋体" w:hAnsi="宋体" w:cs="宋体"/>
                <w:kern w:val="0"/>
                <w:sz w:val="20"/>
                <w:szCs w:val="20"/>
              </w:rPr>
            </w:pPr>
            <w:r>
              <w:rPr>
                <w:rFonts w:hint="eastAsia" w:ascii="宋体" w:hAnsi="宋体" w:cs="宋体"/>
                <w:kern w:val="0"/>
                <w:sz w:val="20"/>
                <w:szCs w:val="20"/>
              </w:rPr>
              <w:t>工商质检宣传项目</w:t>
            </w:r>
          </w:p>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乌鲁木齐县市场监督管理局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sz w:val="20"/>
                <w:szCs w:val="20"/>
              </w:rPr>
            </w:pPr>
            <w:r>
              <w:rPr>
                <w:rFonts w:hint="eastAsia" w:ascii="宋体" w:cs="宋体"/>
                <w:kern w:val="0"/>
                <w:sz w:val="20"/>
                <w:szCs w:val="20"/>
              </w:rPr>
              <w:t>为我县工商质检工作提供有力宣传保障</w:t>
            </w:r>
          </w:p>
          <w:p>
            <w:pPr>
              <w:widowControl/>
              <w:jc w:val="left"/>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center"/>
              <w:rPr>
                <w:rFonts w:ascii="宋体" w:cs="宋体"/>
                <w:kern w:val="0"/>
                <w:sz w:val="20"/>
                <w:szCs w:val="20"/>
              </w:rPr>
            </w:pPr>
          </w:p>
          <w:p>
            <w:pPr>
              <w:widowControl/>
              <w:jc w:val="center"/>
              <w:rPr>
                <w:rFonts w:ascii="宋体" w:cs="宋体"/>
                <w:kern w:val="0"/>
                <w:sz w:val="20"/>
                <w:szCs w:val="20"/>
              </w:rPr>
            </w:pPr>
          </w:p>
          <w:p>
            <w:pPr>
              <w:widowControl/>
              <w:jc w:val="center"/>
              <w:rPr>
                <w:rFonts w:ascii="宋体" w:cs="宋体"/>
                <w:kern w:val="0"/>
                <w:sz w:val="20"/>
                <w:szCs w:val="20"/>
              </w:rPr>
            </w:pPr>
            <w:r>
              <w:rPr>
                <w:rFonts w:hint="eastAsia" w:ascii="宋体" w:cs="宋体"/>
                <w:kern w:val="0"/>
                <w:sz w:val="20"/>
                <w:szCs w:val="20"/>
              </w:rPr>
              <w:t>全部达到预期目标。</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经费开支</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经费开支在3万元以内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实际开支3万元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t>各项工作任务圆满完成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考核优秀率达标98%以上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达标98.50%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t>按201</w:t>
            </w:r>
            <w:r>
              <w:rPr>
                <w:rFonts w:hint="eastAsia"/>
              </w:rPr>
              <w:t>7</w:t>
            </w:r>
            <w:r>
              <w:t>年考核情况提出方案，201</w:t>
            </w:r>
            <w:r>
              <w:rPr>
                <w:rFonts w:hint="eastAsia"/>
              </w:rPr>
              <w:t>8</w:t>
            </w:r>
            <w:r>
              <w:t xml:space="preserve"> 年初下</w:t>
            </w:r>
            <w:r>
              <w:rPr>
                <w:rFonts w:hint="eastAsia"/>
              </w:rPr>
              <w:t>达</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t>201</w:t>
            </w:r>
            <w:r>
              <w:rPr>
                <w:rFonts w:hint="eastAsia"/>
              </w:rPr>
              <w:t>8</w:t>
            </w:r>
            <w:r>
              <w:t xml:space="preserve"> 年底根据工 作完成</w:t>
            </w:r>
            <w:r>
              <w:rPr>
                <w:rFonts w:hint="eastAsia"/>
              </w:rPr>
              <w:t>情况</w:t>
            </w:r>
            <w:r>
              <w:t>进行考核</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任务按期完成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标准经费范围内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标准经费3万元范围内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开支3万元，在下达指标范围内</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rFonts w:hint="eastAsia" w:ascii="宋体" w:hAnsi="宋体" w:cs="宋体"/>
                <w:kern w:val="0"/>
                <w:sz w:val="20"/>
                <w:szCs w:val="20"/>
              </w:rPr>
            </w:pPr>
          </w:p>
          <w:p>
            <w:pPr>
              <w:rPr>
                <w:sz w:val="20"/>
                <w:szCs w:val="20"/>
              </w:rPr>
            </w:pPr>
            <w:r>
              <w:rPr>
                <w:rFonts w:ascii="宋体" w:hAnsi="宋体" w:cs="宋体"/>
                <w:kern w:val="0"/>
                <w:sz w:val="20"/>
                <w:szCs w:val="20"/>
              </w:rPr>
              <w:t xml:space="preserve"> </w:t>
            </w:r>
            <w:r>
              <w:rPr>
                <w:rFonts w:hint="eastAsia" w:ascii="宋体" w:hAnsi="宋体"/>
                <w:sz w:val="20"/>
                <w:szCs w:val="20"/>
              </w:rPr>
              <w:t>规范我县工商质检安全秩序和质量</w:t>
            </w:r>
          </w:p>
          <w:p>
            <w:pPr>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工商质检宣传覆盖率达99%</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全覆盖</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9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群众更多地了解工商质检法律法规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知晓度达98%以上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环境改善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生态监督全覆盖</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sz w:val="20"/>
                <w:szCs w:val="20"/>
              </w:rPr>
            </w:pPr>
            <w:r>
              <w:rPr>
                <w:rFonts w:ascii="宋体" w:hAnsi="宋体" w:cs="宋体"/>
                <w:kern w:val="0"/>
                <w:sz w:val="20"/>
                <w:szCs w:val="20"/>
              </w:rPr>
              <w:t xml:space="preserve"> </w:t>
            </w:r>
            <w:r>
              <w:rPr>
                <w:rFonts w:hint="eastAsia" w:ascii="宋体" w:hAnsi="宋体"/>
                <w:sz w:val="20"/>
                <w:szCs w:val="20"/>
              </w:rPr>
              <w:t>将工商质检宣传经费等全部纳入年初预算</w:t>
            </w:r>
          </w:p>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sz w:val="20"/>
                <w:szCs w:val="20"/>
              </w:rPr>
              <w:t>资金计划全部纳入2019年预算</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服务对象满意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600" w:lineRule="exact"/>
        <w:ind w:firstLine="720" w:firstLineChars="200"/>
        <w:rPr>
          <w:rFonts w:hint="eastAsia" w:ascii="仿宋_GB2312" w:eastAsia="仿宋_GB2312"/>
          <w:sz w:val="32"/>
          <w:szCs w:val="32"/>
        </w:rPr>
      </w:pPr>
      <w:r>
        <w:rPr>
          <w:rFonts w:hAnsi="宋体" w:eastAsia="仿宋_GB2312" w:cs="宋体"/>
          <w:kern w:val="0"/>
          <w:sz w:val="36"/>
          <w:szCs w:val="36"/>
        </w:rPr>
        <w:t>“</w:t>
      </w:r>
      <w:r>
        <w:rPr>
          <w:rFonts w:hint="eastAsia" w:ascii="仿宋_GB2312" w:eastAsia="仿宋_GB2312"/>
          <w:sz w:val="32"/>
          <w:szCs w:val="32"/>
        </w:rPr>
        <w:t>访惠聚”专项经费项目绩效自评综述：根据年初设定的绩效目标，“访惠聚”专项经费项目绩效自评得分为</w:t>
      </w:r>
      <w:r>
        <w:rPr>
          <w:rFonts w:hint="eastAsia" w:ascii="仿宋_GB2312" w:eastAsia="仿宋_GB2312"/>
          <w:sz w:val="32"/>
          <w:szCs w:val="32"/>
          <w:lang w:val="en-US" w:eastAsia="zh-CN"/>
        </w:rPr>
        <w:t>90</w:t>
      </w:r>
      <w:r>
        <w:rPr>
          <w:rFonts w:hint="eastAsia" w:ascii="仿宋_GB2312" w:eastAsia="仿宋_GB2312"/>
          <w:sz w:val="32"/>
          <w:szCs w:val="32"/>
        </w:rPr>
        <w:t>分。项目全年预算数为</w:t>
      </w:r>
      <w:r>
        <w:rPr>
          <w:rFonts w:hint="eastAsia" w:ascii="仿宋_GB2312" w:eastAsia="仿宋_GB2312"/>
          <w:sz w:val="32"/>
          <w:szCs w:val="32"/>
          <w:lang w:val="en-US" w:eastAsia="zh-CN"/>
        </w:rPr>
        <w:t>14</w:t>
      </w:r>
      <w:r>
        <w:rPr>
          <w:rFonts w:hint="eastAsia" w:ascii="仿宋_GB2312" w:eastAsia="仿宋_GB2312"/>
          <w:sz w:val="32"/>
          <w:szCs w:val="32"/>
        </w:rPr>
        <w:t>万元，执行数为</w:t>
      </w:r>
      <w:r>
        <w:rPr>
          <w:rFonts w:hint="eastAsia" w:ascii="仿宋_GB2312" w:eastAsia="仿宋_GB2312"/>
          <w:sz w:val="32"/>
          <w:szCs w:val="32"/>
          <w:lang w:val="en-US" w:eastAsia="zh-CN"/>
        </w:rPr>
        <w:t>12.47</w:t>
      </w:r>
      <w:r>
        <w:rPr>
          <w:rFonts w:hint="eastAsia" w:ascii="仿宋_GB2312" w:eastAsia="仿宋_GB2312"/>
          <w:sz w:val="32"/>
          <w:szCs w:val="32"/>
        </w:rPr>
        <w:t>万元，完成预算的</w:t>
      </w:r>
      <w:r>
        <w:rPr>
          <w:rFonts w:hint="eastAsia" w:ascii="仿宋_GB2312" w:eastAsia="仿宋_GB2312"/>
          <w:sz w:val="32"/>
          <w:szCs w:val="32"/>
          <w:lang w:val="en-US" w:eastAsia="zh-CN"/>
        </w:rPr>
        <w:t>89.07</w:t>
      </w:r>
      <w:r>
        <w:rPr>
          <w:rFonts w:hint="eastAsia" w:ascii="仿宋_GB2312" w:eastAsia="仿宋_GB2312"/>
          <w:sz w:val="32"/>
          <w:szCs w:val="32"/>
        </w:rPr>
        <w:t>%。主要产出和效果：为我县工商质检工作提供有力宣传保障。发现的问题及原因：一是工作队人员素质有待加强。工作队在驻村的期间，要加强自我学习，努力提高自身发现问题、分析问题和解决问题的能力。认真学习领会上级的文件精神，深入贯彻执行上级的方针、政策。二是为民办实事的工作能力有待提高，工作队要深入实际工作，收集一手的基层资料，针对问题，做出正确的决策，真正做到为民办实事、办好事，真正解决基层的实际困难。下一步改进措施：为确保今后“访惠聚”工作队的后续工作，2019年将根据上级拨款经费及相关年初任务计划，总结2018年工作中好的做法，好的经验，改进工作中存在的问题，力争将工作队的任务效率达到98%以上。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spacing w:line="600" w:lineRule="exact"/>
              <w:ind w:firstLine="640" w:firstLineChars="200"/>
              <w:jc w:val="center"/>
              <w:rPr>
                <w:rFonts w:hint="eastAsia" w:ascii="仿宋_GB2312" w:eastAsia="仿宋_GB2312"/>
                <w:sz w:val="32"/>
                <w:szCs w:val="32"/>
              </w:rPr>
            </w:pPr>
            <w:r>
              <w:rPr>
                <w:rFonts w:hint="eastAsia" w:ascii="仿宋_GB2312" w:eastAsia="仿宋_GB2312"/>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74"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p>
            <w:pPr>
              <w:widowControl/>
              <w:ind w:firstLine="300" w:firstLineChars="150"/>
              <w:rPr>
                <w:rFonts w:ascii="宋体" w:hAnsi="宋体" w:cs="宋体"/>
                <w:kern w:val="0"/>
                <w:sz w:val="20"/>
                <w:szCs w:val="20"/>
              </w:rPr>
            </w:pPr>
            <w:r>
              <w:rPr>
                <w:rFonts w:hint="eastAsia" w:ascii="宋体" w:hAnsi="宋体" w:cs="宋体"/>
                <w:kern w:val="0"/>
                <w:sz w:val="20"/>
                <w:szCs w:val="20"/>
              </w:rPr>
              <w:t>“访惠聚”专项经费</w:t>
            </w:r>
          </w:p>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乌鲁木齐县市场监督管理局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14</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12.47</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14</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12.47</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sz w:val="20"/>
                <w:szCs w:val="20"/>
              </w:rPr>
            </w:pPr>
            <w:r>
              <w:rPr>
                <w:rFonts w:hint="eastAsia" w:ascii="宋体" w:cs="宋体"/>
                <w:kern w:val="0"/>
                <w:sz w:val="20"/>
                <w:szCs w:val="20"/>
              </w:rPr>
              <w:t>为我县工商质检工作提供有力宣传保障</w:t>
            </w:r>
          </w:p>
          <w:p>
            <w:pPr>
              <w:widowControl/>
              <w:jc w:val="left"/>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center"/>
              <w:rPr>
                <w:rFonts w:ascii="宋体" w:cs="宋体"/>
                <w:kern w:val="0"/>
                <w:sz w:val="20"/>
                <w:szCs w:val="20"/>
              </w:rPr>
            </w:pPr>
          </w:p>
          <w:p>
            <w:pPr>
              <w:widowControl/>
              <w:jc w:val="center"/>
              <w:rPr>
                <w:rFonts w:ascii="宋体" w:cs="宋体"/>
                <w:kern w:val="0"/>
                <w:sz w:val="20"/>
                <w:szCs w:val="20"/>
              </w:rPr>
            </w:pPr>
          </w:p>
          <w:p>
            <w:pPr>
              <w:widowControl/>
              <w:jc w:val="center"/>
              <w:rPr>
                <w:rFonts w:ascii="宋体" w:cs="宋体"/>
                <w:kern w:val="0"/>
                <w:sz w:val="20"/>
                <w:szCs w:val="20"/>
              </w:rPr>
            </w:pPr>
            <w:r>
              <w:rPr>
                <w:rFonts w:hint="eastAsia" w:ascii="宋体" w:cs="宋体"/>
                <w:kern w:val="0"/>
                <w:sz w:val="20"/>
                <w:szCs w:val="20"/>
              </w:rPr>
              <w:t>全部达到预期目标。</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经费开支</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经费开支在14万元以内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实际开支12.47万元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t>各项工作任务圆满完成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工作队人员考核优秀率达标98%以上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达标98.50%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rPr>
              <w:t>工作任务完成情况</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t>201</w:t>
            </w:r>
            <w:r>
              <w:rPr>
                <w:rFonts w:hint="eastAsia"/>
              </w:rPr>
              <w:t>8</w:t>
            </w:r>
            <w:r>
              <w:t xml:space="preserve"> 年底根据工 作完成</w:t>
            </w:r>
            <w:r>
              <w:rPr>
                <w:rFonts w:hint="eastAsia"/>
              </w:rPr>
              <w:t>情况</w:t>
            </w:r>
            <w:r>
              <w:t>进行考核</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任务按期完成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标准经费范围内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标准经费14万元范围内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开支12.47万元，在下达指标范围内</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rFonts w:ascii="宋体" w:hAnsi="宋体" w:cs="宋体"/>
                <w:kern w:val="0"/>
                <w:sz w:val="20"/>
                <w:szCs w:val="20"/>
              </w:rPr>
            </w:pPr>
          </w:p>
          <w:p>
            <w:pPr>
              <w:rPr>
                <w:sz w:val="20"/>
                <w:szCs w:val="20"/>
              </w:rPr>
            </w:pPr>
            <w:r>
              <w:rPr>
                <w:rFonts w:ascii="宋体" w:hAnsi="宋体" w:cs="宋体"/>
                <w:kern w:val="0"/>
                <w:sz w:val="20"/>
                <w:szCs w:val="20"/>
              </w:rPr>
              <w:t xml:space="preserve"> </w:t>
            </w:r>
            <w:r>
              <w:rPr>
                <w:rFonts w:hint="eastAsia" w:ascii="宋体" w:hAnsi="宋体"/>
                <w:sz w:val="20"/>
                <w:szCs w:val="20"/>
              </w:rPr>
              <w:t>少花钱、多办事</w:t>
            </w:r>
          </w:p>
          <w:p>
            <w:pPr>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经费不超，事要办好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达到目标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9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群众更多地了解法律法规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知晓度达98%以上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对党、对祖国忠诚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达到100%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环境改善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生态环境较大提高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sz w:val="20"/>
                <w:szCs w:val="20"/>
              </w:rPr>
            </w:pPr>
            <w:r>
              <w:rPr>
                <w:rFonts w:ascii="宋体" w:hAnsi="宋体" w:cs="宋体"/>
                <w:kern w:val="0"/>
                <w:sz w:val="20"/>
                <w:szCs w:val="20"/>
              </w:rPr>
              <w:t xml:space="preserve"> </w:t>
            </w:r>
            <w:r>
              <w:rPr>
                <w:rFonts w:hint="eastAsia" w:ascii="宋体" w:hAnsi="宋体"/>
                <w:sz w:val="20"/>
                <w:szCs w:val="20"/>
              </w:rPr>
              <w:t>将工作队工作高质量地递延下去</w:t>
            </w:r>
          </w:p>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sz w:val="20"/>
                <w:szCs w:val="20"/>
              </w:rPr>
              <w:t>每年不间断地派出工作队驻村，为民工作</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实现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群众满意度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食品药品监管经费项目绩效自评综述：根据年初设定的绩效目标，食品药品监管经费项目绩效自评得分为87分。项目全年预算数为161.8万元，执行数为150.22万元，完成预算的92.84%。主要产出和效果：规范食品生产、流通、餐饮环节以及食用农产品经营的食品安全监管工作;提高执法人员、协管员、信息员的业务水平和自身素质，同时提高被监督单位对食品安全的自我安全防护意识。使食品行业安全化、食品行业标准化开展食品流通、餐饮以及食用农产品经营的食品安全监管工作，加强食品安全监督抽检和风险监测工作力度。发现的问题及原因：一是执法办案领域有待拓展,监管手段循旧,缺乏高科技含量的监管技术和专业人才,这种劣势尤其在互联网监管方面表现突出实现“以网管网的程度有待提高,缺乏对新型案件深入研究和探索。二是食品药品监管队伍人员不足，力量薄弱，食品安全执法装备、技术检测检验设施还不能满足监管工作的需要。下一步改进措施：为确保今后我县食品药品安全工作，2019年将食品药品安全抽检资金、协管员经费、健康证经费、食品检测车经费、基层所建设经费等全部纳入年初预算，为我县食品安全工作提供有力保障。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食品药品监管经费项目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乌鲁木齐县市场监督管理局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161.80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150.22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161.80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150.22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0</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numPr>
                <w:ilvl w:val="0"/>
                <w:numId w:val="1"/>
              </w:numPr>
              <w:jc w:val="left"/>
              <w:rPr>
                <w:rFonts w:ascii="宋体" w:hAnsi="宋体" w:cs="宋体"/>
                <w:kern w:val="0"/>
                <w:sz w:val="20"/>
                <w:szCs w:val="20"/>
              </w:rPr>
            </w:pPr>
            <w:r>
              <w:rPr>
                <w:rFonts w:hint="eastAsia" w:ascii="宋体" w:hAnsi="宋体" w:cs="宋体"/>
                <w:kern w:val="0"/>
                <w:sz w:val="20"/>
                <w:szCs w:val="20"/>
              </w:rPr>
              <w:t>规范食品生产、流通、餐饮环节以及食用农产品经营的食品安全监管工作;</w:t>
            </w:r>
          </w:p>
          <w:p>
            <w:pPr>
              <w:widowControl/>
              <w:numPr>
                <w:ilvl w:val="0"/>
                <w:numId w:val="1"/>
              </w:numPr>
              <w:jc w:val="left"/>
              <w:rPr>
                <w:rFonts w:ascii="宋体" w:hAnsi="宋体" w:cs="宋体"/>
                <w:kern w:val="0"/>
                <w:sz w:val="20"/>
                <w:szCs w:val="20"/>
              </w:rPr>
            </w:pPr>
            <w:r>
              <w:rPr>
                <w:rFonts w:hint="eastAsia" w:ascii="宋体" w:hAnsi="宋体" w:cs="宋体"/>
                <w:kern w:val="0"/>
                <w:sz w:val="20"/>
                <w:szCs w:val="20"/>
              </w:rPr>
              <w:t>提高执法人员、协管员、信息员的业务水平和自身素质，同时提高被监督单位对食品安全的自我安全防护意识。</w:t>
            </w:r>
          </w:p>
          <w:p>
            <w:pPr>
              <w:widowControl/>
              <w:numPr>
                <w:ilvl w:val="0"/>
                <w:numId w:val="1"/>
              </w:numPr>
              <w:jc w:val="left"/>
              <w:rPr>
                <w:rFonts w:ascii="宋体" w:hAnsi="宋体" w:cs="宋体"/>
                <w:kern w:val="0"/>
                <w:sz w:val="20"/>
                <w:szCs w:val="20"/>
              </w:rPr>
            </w:pPr>
            <w:r>
              <w:rPr>
                <w:rFonts w:hint="eastAsia" w:ascii="宋体" w:hAnsi="宋体" w:cs="宋体"/>
                <w:kern w:val="0"/>
                <w:sz w:val="20"/>
                <w:szCs w:val="20"/>
              </w:rPr>
              <w:t>使食品行业安全化、食品行业标准化</w:t>
            </w:r>
          </w:p>
          <w:p>
            <w:pPr>
              <w:widowControl/>
              <w:numPr>
                <w:ilvl w:val="0"/>
                <w:numId w:val="1"/>
              </w:numPr>
              <w:jc w:val="left"/>
              <w:rPr>
                <w:rFonts w:ascii="宋体" w:hAnsi="宋体" w:cs="宋体"/>
                <w:kern w:val="0"/>
                <w:sz w:val="20"/>
                <w:szCs w:val="20"/>
              </w:rPr>
            </w:pPr>
            <w:r>
              <w:rPr>
                <w:rFonts w:hint="eastAsia" w:ascii="宋体" w:hAnsi="宋体" w:cs="宋体"/>
                <w:kern w:val="0"/>
                <w:sz w:val="20"/>
                <w:szCs w:val="20"/>
              </w:rPr>
              <w:t>开展食品流通、餐饮以及食用农产品经营的食品安全监管工作，加强食品安全监督抽检和风险监测工作力度。</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全部达到预期目标</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食品安全协管员宣传员信息员补助费（劳务费71.9万）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聘15名协管员、48名信息员开展日常监督检查（4次/1年）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完成日常监督检查（4次/1年）</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食品安全宣传培训费（印刷费0.5万）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印刷食品安全宣传资料0.5万元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为创建国家食品安全示范城市，印刷宣传资料2000多份，支出0.5万元</w:t>
            </w:r>
          </w:p>
        </w:tc>
      </w:tr>
      <w:tr>
        <w:tblPrEx>
          <w:tblLayout w:type="fixed"/>
          <w:tblCellMar>
            <w:top w:w="0" w:type="dxa"/>
            <w:left w:w="108" w:type="dxa"/>
            <w:bottom w:w="0" w:type="dxa"/>
            <w:right w:w="108" w:type="dxa"/>
          </w:tblCellMar>
        </w:tblPrEx>
        <w:trPr>
          <w:trHeight w:val="26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食品安全宣传培训费</w:t>
            </w:r>
            <w:r>
              <w:rPr>
                <w:rFonts w:hint="eastAsia" w:ascii="宋体" w:hAnsi="宋体" w:cs="宋体"/>
                <w:kern w:val="0"/>
                <w:sz w:val="20"/>
                <w:szCs w:val="20"/>
              </w:rPr>
              <w:t>（1.5万）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执法人员、协管员、信息员培训（1次/1年）</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参加省局举办的各类学习培训班的相关培训费和差旅费，支出1.5万元；</w:t>
            </w:r>
          </w:p>
        </w:tc>
      </w:tr>
      <w:tr>
        <w:tblPrEx>
          <w:tblLayout w:type="fixed"/>
          <w:tblCellMar>
            <w:top w:w="0" w:type="dxa"/>
            <w:left w:w="108" w:type="dxa"/>
            <w:bottom w:w="0" w:type="dxa"/>
            <w:right w:w="108" w:type="dxa"/>
          </w:tblCellMar>
        </w:tblPrEx>
        <w:trPr>
          <w:trHeight w:val="20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食品安全抽检经费（40万）</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rPr>
              <w:t>按照自治区、市食品药品安全监督管理部门开展食品流通、餐饮以及食用农产品经营的食品安全监管工作，组织完成国家食品安全监督抽检和风险监测年度计划任务。</w:t>
            </w:r>
            <w:r>
              <w:rPr>
                <w:rFonts w:hint="eastAsia" w:ascii="宋体" w:hAnsi="宋体" w:cs="宋体"/>
                <w:kern w:val="0"/>
                <w:sz w:val="20"/>
                <w:szCs w:val="20"/>
              </w:rPr>
              <w:t>（300批次/1年）</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rPr>
              <w:t>完成监督抽检和风险监测年度检验批次</w:t>
            </w:r>
            <w:r>
              <w:rPr>
                <w:rFonts w:hint="eastAsia" w:ascii="宋体" w:hAnsi="宋体" w:cs="宋体"/>
                <w:kern w:val="0"/>
                <w:sz w:val="20"/>
                <w:szCs w:val="20"/>
              </w:rPr>
              <w:t>（300批次）</w:t>
            </w:r>
          </w:p>
        </w:tc>
      </w:tr>
      <w:tr>
        <w:tblPrEx>
          <w:tblLayout w:type="fixed"/>
          <w:tblCellMar>
            <w:top w:w="0" w:type="dxa"/>
            <w:left w:w="108" w:type="dxa"/>
            <w:bottom w:w="0" w:type="dxa"/>
            <w:right w:w="108" w:type="dxa"/>
          </w:tblCellMar>
        </w:tblPrEx>
        <w:trPr>
          <w:trHeight w:val="11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健康证体检费（36.32万）</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对我县从事食品生产、流通、餐饮的从业人员进行健康体检（6300人次）　</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完成全县从业人员健康体检（6300人次）</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日常监督检查</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协管员、信息员开展日常监督检查（4次/1年）</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352"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印制食品安全宣传材料</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印制食品安全宣传材料2000份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138"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cs="宋体"/>
                <w:kern w:val="0"/>
                <w:sz w:val="20"/>
                <w:szCs w:val="20"/>
              </w:rPr>
              <w:t>执法人员、协管员、信息员、被监督单位食品安全管理人员培训</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完成执法人员、协管员、信息员、被监督单位食品安全管理人员培训（1次/1年）</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5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保质完成年度抽检监测计划任务</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100%</w:t>
            </w:r>
          </w:p>
        </w:tc>
      </w:tr>
      <w:tr>
        <w:tblPrEx>
          <w:tblLayout w:type="fixed"/>
          <w:tblCellMar>
            <w:top w:w="0" w:type="dxa"/>
            <w:left w:w="108" w:type="dxa"/>
            <w:bottom w:w="0" w:type="dxa"/>
            <w:right w:w="108" w:type="dxa"/>
          </w:tblCellMar>
        </w:tblPrEx>
        <w:trPr>
          <w:trHeight w:val="24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健康证体检人数</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6300人次</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日常检查完成率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Layout w:type="fixed"/>
          <w:tblCellMar>
            <w:top w:w="0" w:type="dxa"/>
            <w:left w:w="108" w:type="dxa"/>
            <w:bottom w:w="0" w:type="dxa"/>
            <w:right w:w="108" w:type="dxa"/>
          </w:tblCellMar>
        </w:tblPrEx>
        <w:trPr>
          <w:trHeight w:val="341"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完成2018年食品安全周工作</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14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完成2018年食品安全培训</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食品抽检任务完成率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21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完成2018年参与人员健康证体检人数</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完成2019年参与人员健康证体检人数</w:t>
            </w:r>
          </w:p>
        </w:tc>
        <w:tc>
          <w:tcPr>
            <w:tcW w:w="1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协管员、信息员补助费核算</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与往年持平或提高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r>
      <w:tr>
        <w:tblPrEx>
          <w:tblLayout w:type="fixed"/>
          <w:tblCellMar>
            <w:top w:w="0" w:type="dxa"/>
            <w:left w:w="108" w:type="dxa"/>
            <w:bottom w:w="0" w:type="dxa"/>
            <w:right w:w="108" w:type="dxa"/>
          </w:tblCellMar>
        </w:tblPrEx>
        <w:trPr>
          <w:trHeight w:val="321"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食品宣传成本核算</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与往年持平或提高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持平</w:t>
            </w:r>
          </w:p>
        </w:tc>
      </w:tr>
      <w:tr>
        <w:tblPrEx>
          <w:tblLayout w:type="fixed"/>
          <w:tblCellMar>
            <w:top w:w="0" w:type="dxa"/>
            <w:left w:w="108" w:type="dxa"/>
            <w:bottom w:w="0" w:type="dxa"/>
            <w:right w:w="108" w:type="dxa"/>
          </w:tblCellMar>
        </w:tblPrEx>
        <w:trPr>
          <w:trHeight w:val="16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食品培训成本核算</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与往年持平或提高</w:t>
            </w:r>
          </w:p>
        </w:tc>
        <w:tc>
          <w:tcPr>
            <w:tcW w:w="1780" w:type="dxa"/>
            <w:tcBorders>
              <w:top w:val="single" w:color="auto" w:sz="4" w:space="0"/>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持平</w:t>
            </w:r>
          </w:p>
        </w:tc>
      </w:tr>
      <w:tr>
        <w:tblPrEx>
          <w:tblLayout w:type="fixed"/>
          <w:tblCellMar>
            <w:top w:w="0" w:type="dxa"/>
            <w:left w:w="108" w:type="dxa"/>
            <w:bottom w:w="0" w:type="dxa"/>
            <w:right w:w="108" w:type="dxa"/>
          </w:tblCellMar>
        </w:tblPrEx>
        <w:trPr>
          <w:trHeight w:val="256"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食品抽检成本核算</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与往年持平或提高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持平</w:t>
            </w:r>
          </w:p>
        </w:tc>
      </w:tr>
      <w:tr>
        <w:tblPrEx>
          <w:tblLayout w:type="fixed"/>
          <w:tblCellMar>
            <w:top w:w="0" w:type="dxa"/>
            <w:left w:w="108" w:type="dxa"/>
            <w:bottom w:w="0" w:type="dxa"/>
            <w:right w:w="108" w:type="dxa"/>
          </w:tblCellMar>
        </w:tblPrEx>
        <w:trPr>
          <w:trHeight w:val="234"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从业人员预防性体检成本核算</w:t>
            </w:r>
          </w:p>
        </w:tc>
        <w:tc>
          <w:tcPr>
            <w:tcW w:w="20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与往年持平或提高</w:t>
            </w:r>
          </w:p>
        </w:tc>
        <w:tc>
          <w:tcPr>
            <w:tcW w:w="1780" w:type="dxa"/>
            <w:tcBorders>
              <w:top w:val="single" w:color="auto" w:sz="4" w:space="0"/>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持平</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规范我县食品、药品监管市场的安全秩序，保障食品药品质量。</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食品药品监督覆盖率达到98%</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食品药品覆盖率100%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人民群众对食品安全的自我保护意识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332"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人民群众的参与积极性和知晓率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158"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食品行业安全化程度</w:t>
            </w:r>
          </w:p>
        </w:tc>
        <w:tc>
          <w:tcPr>
            <w:tcW w:w="2060" w:type="dxa"/>
            <w:tcBorders>
              <w:top w:val="single" w:color="auto" w:sz="4" w:space="0"/>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提高</w:t>
            </w:r>
          </w:p>
        </w:tc>
        <w:tc>
          <w:tcPr>
            <w:tcW w:w="1780" w:type="dxa"/>
            <w:tcBorders>
              <w:top w:val="single" w:color="auto" w:sz="4" w:space="0"/>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食品生产、流通、餐饮环境改善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严格控制不合格食品的生产和流通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食品行业安全化、标准化程度</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286"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市场经营规范和维护</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规范化管理</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人民群众对食品安全监管工作的满意度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80%以上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302"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服务对象满意度指标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80%以上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90%</w:t>
            </w:r>
          </w:p>
        </w:tc>
      </w:tr>
      <w:tr>
        <w:tblPrEx>
          <w:tblLayout w:type="fixed"/>
          <w:tblCellMar>
            <w:top w:w="0" w:type="dxa"/>
            <w:left w:w="108" w:type="dxa"/>
            <w:bottom w:w="0" w:type="dxa"/>
            <w:right w:w="108" w:type="dxa"/>
          </w:tblCellMar>
        </w:tblPrEx>
        <w:trPr>
          <w:trHeight w:val="188"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食品从业人员满意度</w:t>
            </w:r>
          </w:p>
        </w:tc>
        <w:tc>
          <w:tcPr>
            <w:tcW w:w="2060" w:type="dxa"/>
            <w:tcBorders>
              <w:top w:val="single" w:color="auto" w:sz="4" w:space="0"/>
              <w:left w:val="nil"/>
              <w:bottom w:val="single" w:color="auto" w:sz="4" w:space="0"/>
              <w:right w:val="single" w:color="auto" w:sz="4" w:space="0"/>
            </w:tcBorders>
            <w:vAlign w:val="center"/>
          </w:tcPr>
          <w:p>
            <w:pPr>
              <w:widowControl/>
              <w:ind w:firstLine="600" w:firstLineChars="300"/>
              <w:rPr>
                <w:rFonts w:ascii="宋体" w:hAnsi="宋体" w:cs="宋体"/>
                <w:kern w:val="0"/>
                <w:sz w:val="20"/>
                <w:szCs w:val="20"/>
              </w:rPr>
            </w:pPr>
            <w:r>
              <w:rPr>
                <w:rFonts w:hint="eastAsia" w:ascii="宋体" w:hAnsi="宋体" w:cs="宋体"/>
                <w:kern w:val="0"/>
                <w:sz w:val="20"/>
                <w:szCs w:val="20"/>
              </w:rPr>
              <w:t>100%</w:t>
            </w:r>
          </w:p>
        </w:tc>
        <w:tc>
          <w:tcPr>
            <w:tcW w:w="1780" w:type="dxa"/>
            <w:tcBorders>
              <w:top w:val="single" w:color="auto" w:sz="4" w:space="0"/>
              <w:left w:val="nil"/>
              <w:bottom w:val="single" w:color="auto" w:sz="4" w:space="0"/>
              <w:right w:val="single" w:color="auto" w:sz="4" w:space="0"/>
            </w:tcBorders>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100%</w:t>
            </w:r>
          </w:p>
        </w:tc>
      </w:tr>
    </w:tbl>
    <w:p>
      <w:pPr>
        <w:spacing w:line="54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重大公共卫生专项项目绩效自评综述：根据年初设定的绩效目标，重大公共卫生专项项目绩效自评得分为</w:t>
      </w:r>
      <w:r>
        <w:rPr>
          <w:rFonts w:hint="eastAsia" w:ascii="仿宋_GB2312" w:eastAsia="仿宋_GB2312"/>
          <w:sz w:val="32"/>
          <w:szCs w:val="32"/>
          <w:lang w:val="en-US" w:eastAsia="zh-CN"/>
        </w:rPr>
        <w:t>90</w:t>
      </w:r>
      <w:r>
        <w:rPr>
          <w:rFonts w:hint="eastAsia" w:ascii="仿宋_GB2312" w:eastAsia="仿宋_GB2312"/>
          <w:sz w:val="32"/>
          <w:szCs w:val="32"/>
        </w:rPr>
        <w:t>分。项目全年预算数为</w:t>
      </w:r>
      <w:r>
        <w:rPr>
          <w:rFonts w:hint="eastAsia" w:ascii="仿宋_GB2312" w:eastAsia="仿宋_GB2312"/>
          <w:sz w:val="32"/>
          <w:szCs w:val="32"/>
          <w:lang w:val="en-US" w:eastAsia="zh-CN"/>
        </w:rPr>
        <w:t>12.34</w:t>
      </w:r>
      <w:r>
        <w:rPr>
          <w:rFonts w:hint="eastAsia" w:ascii="仿宋_GB2312" w:eastAsia="仿宋_GB2312"/>
          <w:sz w:val="32"/>
          <w:szCs w:val="32"/>
        </w:rPr>
        <w:t>万元，执行数为</w:t>
      </w:r>
      <w:r>
        <w:rPr>
          <w:rFonts w:hint="eastAsia" w:ascii="仿宋_GB2312" w:eastAsia="仿宋_GB2312"/>
          <w:sz w:val="32"/>
          <w:szCs w:val="32"/>
          <w:lang w:val="en-US" w:eastAsia="zh-CN"/>
        </w:rPr>
        <w:t>4.45</w:t>
      </w:r>
      <w:r>
        <w:rPr>
          <w:rFonts w:hint="eastAsia" w:ascii="仿宋_GB2312" w:eastAsia="仿宋_GB2312"/>
          <w:sz w:val="32"/>
          <w:szCs w:val="32"/>
        </w:rPr>
        <w:t>万元，完成预算的</w:t>
      </w:r>
      <w:r>
        <w:rPr>
          <w:rFonts w:hint="eastAsia" w:ascii="仿宋_GB2312" w:eastAsia="仿宋_GB2312"/>
          <w:sz w:val="32"/>
          <w:szCs w:val="32"/>
          <w:lang w:val="en-US" w:eastAsia="zh-CN"/>
        </w:rPr>
        <w:t>36.06</w:t>
      </w:r>
      <w:r>
        <w:rPr>
          <w:rFonts w:hint="eastAsia" w:ascii="仿宋_GB2312" w:eastAsia="仿宋_GB2312"/>
          <w:sz w:val="32"/>
          <w:szCs w:val="32"/>
        </w:rPr>
        <w:t>%。主要产出和效果：对我县公共环境卫生检查覆盖95%以上。发现的问题及原因：一是执法办案领域有待拓展,监管手段循旧,缺乏高科技含量的监管技术和专业人才,这种劣势尤其在互联网监管方面表现突出实现“以网管网的程度有待提高,缺乏对新型案件深入研究和探索。二是公共卫生监管队伍人员不足，力量薄弱，公共卫生安全执法装备、技术检测检验设施还不能满足监管工作的需要。下一步改进措施：为确保今后我县公共卫生安全工作，今年将公共卫生安全抽检资金、协管员经费、健康证经费、基层所建设经费等全部纳入年初预算，为我县公共卫生安全工作提供有力保障。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spacing w:line="700" w:lineRule="exact"/>
              <w:jc w:val="left"/>
              <w:rPr>
                <w:rFonts w:hAnsi="宋体" w:eastAsia="仿宋_GB2312" w:cs="宋体"/>
                <w:kern w:val="0"/>
                <w:sz w:val="36"/>
                <w:szCs w:val="36"/>
              </w:rPr>
            </w:pPr>
            <w:r>
              <w:rPr>
                <w:rFonts w:hint="eastAsia" w:ascii="宋体" w:hAnsi="宋体" w:cs="宋体"/>
                <w:kern w:val="0"/>
                <w:sz w:val="20"/>
                <w:szCs w:val="20"/>
              </w:rPr>
              <w:t>重大公共卫生专项</w:t>
            </w:r>
          </w:p>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spacing w:line="700" w:lineRule="exact"/>
              <w:jc w:val="left"/>
              <w:rPr>
                <w:rFonts w:hAnsi="宋体" w:eastAsia="仿宋_GB2312" w:cs="宋体"/>
                <w:kern w:val="0"/>
                <w:sz w:val="36"/>
                <w:szCs w:val="36"/>
              </w:rPr>
            </w:pPr>
            <w:r>
              <w:rPr>
                <w:rFonts w:hint="eastAsia" w:ascii="宋体" w:hAnsi="宋体" w:cs="宋体"/>
                <w:kern w:val="0"/>
                <w:sz w:val="20"/>
                <w:szCs w:val="20"/>
              </w:rPr>
              <w:t>乌鲁木齐县市场监督管理局</w:t>
            </w:r>
          </w:p>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12.34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4.45</w:t>
            </w:r>
          </w:p>
          <w:p>
            <w:pPr>
              <w:widowControl/>
              <w:jc w:val="right"/>
              <w:rPr>
                <w:rFonts w:ascii="宋体" w:cs="宋体"/>
                <w:kern w:val="0"/>
                <w:sz w:val="20"/>
                <w:szCs w:val="20"/>
              </w:rPr>
            </w:pP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12.34</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4.45</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hint="eastAsia" w:ascii="宋体" w:cs="宋体"/>
                <w:kern w:val="0"/>
                <w:sz w:val="20"/>
                <w:szCs w:val="20"/>
              </w:rPr>
            </w:pPr>
            <w:r>
              <w:rPr>
                <w:rFonts w:hint="eastAsia" w:ascii="宋体" w:hAnsi="宋体" w:cs="宋体"/>
                <w:kern w:val="0"/>
                <w:sz w:val="20"/>
                <w:szCs w:val="20"/>
              </w:rPr>
              <w:t>　对我县公共环境卫生检查覆盖95%以上</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覆盖率达98%</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3镇3乡3个管委会公共卫生检查</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覆盖率95%</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覆盖率98%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经费指标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12.34万元以内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4.45万元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卫生检查</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按期完成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2018年12月底完成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经费不超指标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12.34万元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4.45万元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减少群众患病支出</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减少群众患病支出</w:t>
            </w:r>
          </w:p>
        </w:tc>
        <w:tc>
          <w:tcPr>
            <w:tcW w:w="1780" w:type="dxa"/>
            <w:tcBorders>
              <w:top w:val="nil"/>
              <w:left w:val="nil"/>
              <w:bottom w:val="single" w:color="auto" w:sz="4" w:space="0"/>
              <w:right w:val="single" w:color="auto" w:sz="4" w:space="0"/>
            </w:tcBorders>
            <w:vAlign w:val="center"/>
          </w:tcPr>
          <w:p>
            <w:pPr>
              <w:widowControl/>
              <w:jc w:val="left"/>
              <w:rPr>
                <w:rFonts w:hint="eastAsia" w:ascii="宋体" w:cs="宋体"/>
                <w:kern w:val="0"/>
                <w:sz w:val="20"/>
                <w:szCs w:val="20"/>
              </w:rPr>
            </w:pPr>
            <w:r>
              <w:rPr>
                <w:rFonts w:hint="eastAsia" w:ascii="宋体" w:hAnsi="宋体" w:cs="宋体"/>
                <w:kern w:val="0"/>
                <w:sz w:val="20"/>
                <w:szCs w:val="20"/>
              </w:rPr>
              <w:t>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公共卫生监检能力显著提高</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公共卫生监检能力显著提高高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政策的知晓度</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知晓度达98%以上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公共卫生环境改善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公共卫生环境改善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rFonts w:hint="eastAsia"/>
                <w:sz w:val="20"/>
                <w:szCs w:val="20"/>
              </w:rPr>
            </w:pPr>
            <w:r>
              <w:rPr>
                <w:rFonts w:ascii="宋体" w:hAnsi="宋体" w:cs="宋体"/>
                <w:kern w:val="0"/>
                <w:sz w:val="20"/>
                <w:szCs w:val="20"/>
              </w:rPr>
              <w:t xml:space="preserve"> </w:t>
            </w:r>
            <w:r>
              <w:rPr>
                <w:rFonts w:hint="eastAsia" w:ascii="宋体" w:hAnsi="宋体" w:cs="宋体"/>
                <w:kern w:val="0"/>
                <w:sz w:val="20"/>
                <w:szCs w:val="20"/>
              </w:rPr>
              <w:t>计划纳入</w:t>
            </w:r>
            <w:r>
              <w:rPr>
                <w:rFonts w:hint="eastAsia" w:ascii="宋体" w:hAnsi="宋体"/>
                <w:sz w:val="20"/>
                <w:szCs w:val="20"/>
              </w:rPr>
              <w:t>年度预算</w:t>
            </w:r>
          </w:p>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sz w:val="20"/>
                <w:szCs w:val="20"/>
              </w:rPr>
              <w:t>公共卫生资金全部纳入2019年预算</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服务对象满意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br w:type="page"/>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非食品检测经费项目绩效自评综述：根据年初设定的绩效目标，非食品检测经费项目绩效自评得分为</w:t>
      </w:r>
      <w:r>
        <w:rPr>
          <w:rFonts w:hint="eastAsia" w:ascii="仿宋_GB2312" w:eastAsia="仿宋_GB2312"/>
          <w:sz w:val="32"/>
          <w:szCs w:val="32"/>
          <w:lang w:val="en-US" w:eastAsia="zh-CN"/>
        </w:rPr>
        <w:t>88</w:t>
      </w:r>
      <w:r>
        <w:rPr>
          <w:rFonts w:hint="eastAsia" w:ascii="仿宋_GB2312" w:eastAsia="仿宋_GB2312"/>
          <w:sz w:val="32"/>
          <w:szCs w:val="32"/>
        </w:rPr>
        <w:t>分。项目全年预算数为</w:t>
      </w:r>
      <w:r>
        <w:rPr>
          <w:rFonts w:hint="eastAsia" w:ascii="仿宋_GB2312" w:eastAsia="仿宋_GB2312"/>
          <w:sz w:val="32"/>
          <w:szCs w:val="32"/>
          <w:lang w:val="en-US" w:eastAsia="zh-CN"/>
        </w:rPr>
        <w:t>2</w:t>
      </w:r>
      <w:r>
        <w:rPr>
          <w:rFonts w:hint="eastAsia" w:ascii="仿宋_GB2312" w:eastAsia="仿宋_GB2312"/>
          <w:sz w:val="32"/>
          <w:szCs w:val="32"/>
        </w:rPr>
        <w:t>万元，执行数为</w:t>
      </w:r>
      <w:r>
        <w:rPr>
          <w:rFonts w:hint="eastAsia" w:ascii="仿宋_GB2312" w:eastAsia="仿宋_GB2312"/>
          <w:sz w:val="32"/>
          <w:szCs w:val="32"/>
          <w:lang w:val="en-US" w:eastAsia="zh-CN"/>
        </w:rPr>
        <w:t>1.44</w:t>
      </w:r>
      <w:r>
        <w:rPr>
          <w:rFonts w:hint="eastAsia" w:ascii="仿宋_GB2312" w:eastAsia="仿宋_GB2312"/>
          <w:sz w:val="32"/>
          <w:szCs w:val="32"/>
        </w:rPr>
        <w:t>万元，完成预算的</w:t>
      </w:r>
      <w:r>
        <w:rPr>
          <w:rFonts w:hint="eastAsia" w:ascii="仿宋_GB2312" w:eastAsia="仿宋_GB2312"/>
          <w:sz w:val="32"/>
          <w:szCs w:val="32"/>
          <w:lang w:val="en-US" w:eastAsia="zh-CN"/>
        </w:rPr>
        <w:t>72</w:t>
      </w:r>
      <w:r>
        <w:rPr>
          <w:rFonts w:hint="eastAsia" w:ascii="仿宋_GB2312" w:eastAsia="仿宋_GB2312"/>
          <w:sz w:val="32"/>
          <w:szCs w:val="32"/>
        </w:rPr>
        <w:t>%。主要产出和效果：保证我县煤炭质量合格。发现的问题及原因：2018年,我局紧紧围绕年初制定的工作方案,切实履行职责,主动积极作为,加大违法案件的查办力度,重点关注一些典型、具有一定社会影响力的案件。县财政对该项目的投入是对我局职责职能的资金保证。加强业务培训和法律宣传,提高业务知识水平和实际操作技能是保证工作质量,确保该项目顺利实施的基本要求。下一步改进措施：为确保今后我县非食品安全工作，今年将加大非食品安全抽检工作，在资金、人员、基层建设等方面加大投入，为我县非食品安全工作提供有力保障。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774"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非食品检测项目</w:t>
            </w:r>
          </w:p>
          <w:p>
            <w:pPr>
              <w:widowControl/>
              <w:jc w:val="center"/>
              <w:rPr>
                <w:rFonts w:ascii="宋体" w:cs="宋体"/>
                <w:kern w:val="0"/>
                <w:sz w:val="20"/>
                <w:szCs w:val="20"/>
              </w:rPr>
            </w:pP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乌鲁木齐县市场监督管理局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1.44</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1.44</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rPr>
                <w:rFonts w:ascii="宋体" w:hAnsi="宋体" w:cs="宋体"/>
                <w:kern w:val="0"/>
                <w:sz w:val="20"/>
                <w:szCs w:val="20"/>
              </w:rPr>
            </w:pPr>
          </w:p>
          <w:p>
            <w:pPr>
              <w:rPr>
                <w:rFonts w:ascii="宋体" w:hAnsi="宋体" w:cs="宋体"/>
                <w:kern w:val="0"/>
                <w:sz w:val="20"/>
                <w:szCs w:val="20"/>
              </w:rPr>
            </w:pPr>
          </w:p>
          <w:p>
            <w:pPr>
              <w:rPr>
                <w:sz w:val="20"/>
                <w:szCs w:val="20"/>
              </w:rPr>
            </w:pPr>
            <w:r>
              <w:rPr>
                <w:rFonts w:hint="eastAsia" w:ascii="宋体" w:hAnsi="宋体" w:cs="宋体"/>
                <w:kern w:val="0"/>
                <w:sz w:val="20"/>
                <w:szCs w:val="20"/>
              </w:rPr>
              <w:t xml:space="preserve">　       </w:t>
            </w:r>
            <w:r>
              <w:rPr>
                <w:rFonts w:hint="eastAsia" w:ascii="宋体" w:hAnsi="宋体"/>
                <w:sz w:val="20"/>
                <w:szCs w:val="20"/>
              </w:rPr>
              <w:t>保证我县煤炭质量合格</w:t>
            </w:r>
          </w:p>
          <w:p>
            <w:pPr>
              <w:ind w:left="210" w:leftChars="100"/>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center"/>
              <w:rPr>
                <w:rFonts w:ascii="宋体" w:cs="宋体"/>
                <w:kern w:val="0"/>
                <w:sz w:val="20"/>
                <w:szCs w:val="20"/>
              </w:rPr>
            </w:pPr>
          </w:p>
          <w:p>
            <w:pPr>
              <w:widowControl/>
              <w:jc w:val="center"/>
              <w:rPr>
                <w:rFonts w:ascii="宋体" w:cs="宋体"/>
                <w:kern w:val="0"/>
                <w:sz w:val="20"/>
                <w:szCs w:val="20"/>
              </w:rPr>
            </w:pPr>
          </w:p>
          <w:p>
            <w:pPr>
              <w:widowControl/>
              <w:jc w:val="center"/>
              <w:rPr>
                <w:rFonts w:ascii="宋体" w:cs="宋体"/>
                <w:kern w:val="0"/>
                <w:sz w:val="20"/>
                <w:szCs w:val="20"/>
              </w:rPr>
            </w:pPr>
            <w:r>
              <w:rPr>
                <w:rFonts w:hint="eastAsia" w:ascii="宋体" w:cs="宋体"/>
                <w:kern w:val="0"/>
                <w:sz w:val="20"/>
                <w:szCs w:val="20"/>
              </w:rPr>
              <w:t>全部达到预期目标。</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经费不超标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经费开支在2万元以内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实际开支1.44万元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抽检单位</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抽检5个单位5个样品</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rPr>
              <w:t>抽检达标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rPr>
              <w:t>抽检率达标100%</w:t>
            </w: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t>按201</w:t>
            </w:r>
            <w:r>
              <w:rPr>
                <w:rFonts w:hint="eastAsia"/>
              </w:rPr>
              <w:t>7</w:t>
            </w:r>
            <w:r>
              <w:t>年考核情况提出方案，201</w:t>
            </w:r>
            <w:r>
              <w:rPr>
                <w:rFonts w:hint="eastAsia"/>
              </w:rPr>
              <w:t>8</w:t>
            </w:r>
            <w:r>
              <w:t xml:space="preserve"> 年初下</w:t>
            </w:r>
            <w:r>
              <w:rPr>
                <w:rFonts w:hint="eastAsia"/>
              </w:rPr>
              <w:t>达</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t>201</w:t>
            </w:r>
            <w:r>
              <w:rPr>
                <w:rFonts w:hint="eastAsia"/>
              </w:rPr>
              <w:t>8</w:t>
            </w:r>
            <w:r>
              <w:t xml:space="preserve"> 年</w:t>
            </w:r>
            <w:r>
              <w:rPr>
                <w:rFonts w:hint="eastAsia"/>
              </w:rPr>
              <w:t>12月31日全部完成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任务按期完成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标准经费范围内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标准经费2万元范围内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保证全县用上优质产品，减少经济损失</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保证全县用上100%优质产品</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已达目标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非食品抽检</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全县安全质量达到100%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全面加强污染防治</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严格控制不合格农资产品在我县流通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sz w:val="20"/>
                <w:szCs w:val="20"/>
              </w:rPr>
            </w:pPr>
            <w:r>
              <w:rPr>
                <w:rFonts w:ascii="宋体" w:hAnsi="宋体" w:cs="宋体"/>
                <w:kern w:val="0"/>
                <w:sz w:val="20"/>
                <w:szCs w:val="20"/>
              </w:rPr>
              <w:t xml:space="preserve"> </w:t>
            </w:r>
            <w:r>
              <w:rPr>
                <w:rFonts w:hint="eastAsia" w:ascii="宋体" w:hAnsi="宋体"/>
                <w:sz w:val="20"/>
                <w:szCs w:val="20"/>
              </w:rPr>
              <w:t>将农资产品安全</w:t>
            </w:r>
          </w:p>
          <w:p>
            <w:pPr>
              <w:rPr>
                <w:sz w:val="20"/>
                <w:szCs w:val="20"/>
              </w:rPr>
            </w:pPr>
            <w:r>
              <w:rPr>
                <w:rFonts w:hint="eastAsia" w:ascii="宋体" w:hAnsi="宋体"/>
                <w:sz w:val="20"/>
                <w:szCs w:val="20"/>
              </w:rPr>
              <w:t>纳入年度计划</w:t>
            </w:r>
          </w:p>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sz w:val="20"/>
                <w:szCs w:val="20"/>
              </w:rPr>
              <w:t>2019年计划完成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大力投入人力物力</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2019 年大力投入人力物力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计划完成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服务对象满意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br w:type="page"/>
      </w:r>
    </w:p>
    <w:p>
      <w:pPr>
        <w:spacing w:line="540" w:lineRule="exact"/>
        <w:ind w:firstLine="640" w:firstLineChars="200"/>
        <w:rPr>
          <w:rFonts w:hint="eastAsia"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2011501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2011505</w:t>
      </w:r>
      <w:r>
        <w:rPr>
          <w:rFonts w:hint="eastAsia" w:ascii="仿宋_GB2312" w:eastAsia="仿宋_GB2312"/>
          <w:sz w:val="32"/>
          <w:szCs w:val="32"/>
          <w:lang w:eastAsia="zh-CN"/>
        </w:rPr>
        <w:t>指</w:t>
      </w:r>
      <w:r>
        <w:rPr>
          <w:rFonts w:hint="eastAsia" w:ascii="仿宋_GB2312" w:eastAsia="仿宋_GB2312"/>
          <w:sz w:val="32"/>
          <w:szCs w:val="32"/>
        </w:rPr>
        <w:t>执法办案专项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2011506</w:t>
      </w:r>
      <w:r>
        <w:rPr>
          <w:rFonts w:hint="eastAsia" w:ascii="仿宋_GB2312" w:eastAsia="仿宋_GB2312"/>
          <w:sz w:val="32"/>
          <w:szCs w:val="32"/>
          <w:lang w:eastAsia="zh-CN"/>
        </w:rPr>
        <w:t>指</w:t>
      </w:r>
      <w:r>
        <w:rPr>
          <w:rFonts w:hint="eastAsia" w:ascii="仿宋_GB2312" w:eastAsia="仿宋_GB2312"/>
          <w:sz w:val="32"/>
          <w:szCs w:val="32"/>
        </w:rPr>
        <w:t>消费者权益保护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2011599</w:t>
      </w:r>
      <w:r>
        <w:rPr>
          <w:rFonts w:hint="eastAsia" w:ascii="仿宋_GB2312" w:eastAsia="仿宋_GB2312"/>
          <w:sz w:val="32"/>
          <w:szCs w:val="32"/>
          <w:lang w:eastAsia="zh-CN"/>
        </w:rPr>
        <w:t>指</w:t>
      </w:r>
      <w:r>
        <w:rPr>
          <w:rFonts w:hint="eastAsia" w:ascii="仿宋_GB2312" w:eastAsia="仿宋_GB2312"/>
          <w:sz w:val="32"/>
          <w:szCs w:val="32"/>
        </w:rPr>
        <w:t>其他工商行政管理事务支出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2011799</w:t>
      </w:r>
      <w:r>
        <w:rPr>
          <w:rFonts w:hint="eastAsia" w:ascii="仿宋_GB2312" w:eastAsia="仿宋_GB2312"/>
          <w:sz w:val="32"/>
          <w:szCs w:val="32"/>
          <w:lang w:eastAsia="zh-CN"/>
        </w:rPr>
        <w:t>指</w:t>
      </w:r>
      <w:r>
        <w:rPr>
          <w:rFonts w:hint="eastAsia" w:ascii="仿宋_GB2312" w:eastAsia="仿宋_GB2312"/>
          <w:sz w:val="32"/>
          <w:szCs w:val="32"/>
        </w:rPr>
        <w:t>其他质量技术监督与检验检疫事务支出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2080208</w:t>
      </w:r>
      <w:r>
        <w:rPr>
          <w:rFonts w:hint="eastAsia" w:ascii="仿宋_GB2312" w:eastAsia="仿宋_GB2312"/>
          <w:sz w:val="32"/>
          <w:szCs w:val="32"/>
          <w:lang w:eastAsia="zh-CN"/>
        </w:rPr>
        <w:t>指</w:t>
      </w:r>
      <w:r>
        <w:rPr>
          <w:rFonts w:hint="eastAsia" w:ascii="仿宋_GB2312" w:eastAsia="仿宋_GB2312"/>
          <w:sz w:val="32"/>
          <w:szCs w:val="32"/>
        </w:rPr>
        <w:t>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lang w:eastAsia="zh-CN"/>
        </w:rPr>
        <w:t>指</w:t>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lang w:eastAsia="zh-CN"/>
        </w:rPr>
        <w:t>指</w:t>
      </w:r>
      <w:r>
        <w:rPr>
          <w:rFonts w:hint="eastAsia" w:ascii="仿宋_GB2312" w:eastAsia="仿宋_GB2312"/>
          <w:sz w:val="32"/>
          <w:szCs w:val="32"/>
        </w:rPr>
        <w:t>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2100409</w:t>
      </w:r>
      <w:r>
        <w:rPr>
          <w:rFonts w:hint="eastAsia" w:ascii="仿宋_GB2312" w:eastAsia="仿宋_GB2312"/>
          <w:sz w:val="32"/>
          <w:szCs w:val="32"/>
          <w:lang w:eastAsia="zh-CN"/>
        </w:rPr>
        <w:t>指</w:t>
      </w:r>
      <w:r>
        <w:rPr>
          <w:rFonts w:hint="eastAsia" w:ascii="仿宋_GB2312" w:eastAsia="仿宋_GB2312"/>
          <w:sz w:val="32"/>
          <w:szCs w:val="32"/>
        </w:rPr>
        <w:t>重大公共卫生专项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2101001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2101016</w:t>
      </w:r>
      <w:r>
        <w:rPr>
          <w:rFonts w:hint="eastAsia" w:ascii="仿宋_GB2312" w:eastAsia="仿宋_GB2312"/>
          <w:sz w:val="32"/>
          <w:szCs w:val="32"/>
          <w:lang w:eastAsia="zh-CN"/>
        </w:rPr>
        <w:t>指</w:t>
      </w:r>
      <w:r>
        <w:rPr>
          <w:rFonts w:hint="eastAsia" w:ascii="仿宋_GB2312" w:eastAsia="仿宋_GB2312"/>
          <w:sz w:val="32"/>
          <w:szCs w:val="32"/>
        </w:rPr>
        <w:t>食品安全事务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2101099</w:t>
      </w:r>
      <w:r>
        <w:rPr>
          <w:rFonts w:hint="eastAsia" w:ascii="仿宋_GB2312" w:eastAsia="仿宋_GB2312"/>
          <w:sz w:val="32"/>
          <w:szCs w:val="32"/>
          <w:lang w:eastAsia="zh-CN"/>
        </w:rPr>
        <w:t>指</w:t>
      </w:r>
      <w:r>
        <w:rPr>
          <w:rFonts w:hint="eastAsia" w:ascii="仿宋_GB2312" w:eastAsia="仿宋_GB2312"/>
          <w:sz w:val="32"/>
          <w:szCs w:val="32"/>
        </w:rPr>
        <w:t>其他食品和药品监督管理事务支出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2299901</w:t>
      </w:r>
      <w:r>
        <w:rPr>
          <w:rFonts w:hint="eastAsia" w:ascii="仿宋_GB2312" w:eastAsia="仿宋_GB2312"/>
          <w:sz w:val="32"/>
          <w:szCs w:val="32"/>
          <w:lang w:eastAsia="zh-CN"/>
        </w:rPr>
        <w:t>指</w:t>
      </w:r>
      <w:r>
        <w:rPr>
          <w:rFonts w:hint="eastAsia" w:ascii="仿宋_GB2312" w:eastAsia="仿宋_GB2312"/>
          <w:sz w:val="32"/>
          <w:szCs w:val="32"/>
        </w:rPr>
        <w:t>其他支出。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AD4F6"/>
    <w:multiLevelType w:val="singleLevel"/>
    <w:tmpl w:val="5D1AD4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11DC7A6D"/>
    <w:rsid w:val="1C033FE0"/>
    <w:rsid w:val="2AB34D01"/>
    <w:rsid w:val="4572647A"/>
    <w:rsid w:val="69067A34"/>
    <w:rsid w:val="76A60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qFormat/>
    <w:uiPriority w:val="0"/>
    <w:pPr>
      <w:jc w:val="left"/>
    </w:pPr>
    <w:rPr>
      <w:rFonts w:ascii="Times New Roman" w:hAnsi="Times New Roman" w:eastAsia="宋体" w:cs="Times New Roman"/>
      <w:szCs w:val="24"/>
    </w:rPr>
  </w:style>
  <w:style w:type="paragraph" w:styleId="3">
    <w:name w:val="Balloon Text"/>
    <w:basedOn w:val="1"/>
    <w:link w:val="9"/>
    <w:semiHidden/>
    <w:unhideWhenUsed/>
    <w:qFormat/>
    <w:uiPriority w:val="99"/>
    <w:rPr>
      <w:sz w:val="18"/>
      <w:szCs w:val="18"/>
    </w:rPr>
  </w:style>
  <w:style w:type="paragraph" w:styleId="4">
    <w:name w:val="Normal (Web)"/>
    <w:basedOn w:val="1"/>
    <w:unhideWhenUsed/>
    <w:qFormat/>
    <w:uiPriority w:val="99"/>
    <w:pPr>
      <w:widowControl/>
      <w:spacing w:before="100" w:beforeLines="0" w:beforeAutospacing="1" w:after="100" w:afterLines="0" w:afterAutospacing="1"/>
      <w:jc w:val="left"/>
    </w:pPr>
    <w:rPr>
      <w:rFonts w:hint="eastAsia" w:ascii="宋体" w:hAnsi="宋体"/>
      <w:sz w:val="24"/>
    </w:rPr>
  </w:style>
  <w:style w:type="character" w:styleId="7">
    <w:name w:val="annotation reference"/>
    <w:basedOn w:val="6"/>
    <w:semiHidden/>
    <w:unhideWhenUsed/>
    <w:qFormat/>
    <w:uiPriority w:val="99"/>
    <w:rPr>
      <w:sz w:val="21"/>
      <w:szCs w:val="21"/>
    </w:rPr>
  </w:style>
  <w:style w:type="character" w:customStyle="1" w:styleId="8">
    <w:name w:val="批注文字 Char"/>
    <w:basedOn w:val="6"/>
    <w:link w:val="2"/>
    <w:qFormat/>
    <w:uiPriority w:val="0"/>
    <w:rPr>
      <w:rFonts w:ascii="Times New Roman" w:hAnsi="Times New Roman" w:eastAsia="宋体" w:cs="Times New Roman"/>
      <w:szCs w:val="24"/>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19</TotalTime>
  <ScaleCrop>false</ScaleCrop>
  <LinksUpToDate>false</LinksUpToDate>
  <CharactersWithSpaces>5246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Administrator</cp:lastModifiedBy>
  <dcterms:modified xsi:type="dcterms:W3CDTF">2021-05-18T14:06:12Z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