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ind w:firstLine="643" w:firstLineChars="200"/>
        <w:jc w:val="center"/>
        <w:textAlignment w:val="auto"/>
        <w:outlineLvl w:val="9"/>
        <w:rPr>
          <w:b/>
          <w:sz w:val="32"/>
          <w:szCs w:val="32"/>
        </w:rPr>
      </w:pPr>
      <w:r>
        <w:rPr>
          <w:rFonts w:hint="eastAsia"/>
          <w:b/>
          <w:sz w:val="32"/>
          <w:szCs w:val="32"/>
        </w:rPr>
        <w:t>永丰乡基本情况</w:t>
      </w:r>
    </w:p>
    <w:p>
      <w:pPr>
        <w:keepNext w:val="0"/>
        <w:keepLines w:val="0"/>
        <w:pageBreakBefore w:val="0"/>
        <w:widowControl w:val="0"/>
        <w:kinsoku/>
        <w:wordWrap/>
        <w:overflowPunct/>
        <w:topLinePunct w:val="0"/>
        <w:bidi w:val="0"/>
        <w:snapToGrid/>
        <w:ind w:firstLine="560" w:firstLineChars="200"/>
        <w:textAlignment w:val="auto"/>
        <w:outlineLvl w:val="9"/>
        <w:rPr>
          <w:rFonts w:hint="eastAsia" w:eastAsia="宋体"/>
          <w:sz w:val="28"/>
          <w:szCs w:val="28"/>
          <w:lang w:eastAsia="zh-CN"/>
        </w:rPr>
      </w:pPr>
      <w:r>
        <w:rPr>
          <w:sz w:val="28"/>
          <w:szCs w:val="28"/>
        </w:rPr>
        <w:t>1</w:t>
      </w:r>
      <w:r>
        <w:rPr>
          <w:rFonts w:hint="eastAsia"/>
          <w:sz w:val="28"/>
          <w:szCs w:val="28"/>
        </w:rPr>
        <w:t>、部门职</w:t>
      </w:r>
      <w:r>
        <w:rPr>
          <w:rFonts w:hint="eastAsia"/>
          <w:sz w:val="28"/>
          <w:szCs w:val="28"/>
          <w:lang w:eastAsia="zh-CN"/>
        </w:rPr>
        <w:t>责</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1、部门职能</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 xml:space="preserve">永丰乡党委政府主要工作职责： </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乡党委：（1）保证党的路线、方针、政策的坚决贯彻执行。领导和监督同级人大、政府落实上级安排的各项工作任务。教育和管理全乡各族干部群众，抓好经济建设，维护社会稳定。</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（2）负责抓好本乡党建工作、群团工作、新闻宣传工作。抓好精神文明建设，丰富群众文化生活，提倡移风易俗，反对封建迷信，破除陈规陋习，树立社会主义新风尚。</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 xml:space="preserve">（3）完成县委、县政府交给的其他工作任务。 </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 xml:space="preserve"> 乡政府：（1）执行本级党委和人民代表大会的决议及上级国家行政机关的决定和命令，发布决定和命令。</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2）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pPr>
        <w:keepNext w:val="0"/>
        <w:keepLines w:val="0"/>
        <w:pageBreakBefore w:val="0"/>
        <w:widowControl w:val="0"/>
        <w:kinsoku/>
        <w:wordWrap/>
        <w:overflowPunct/>
        <w:topLinePunct w:val="0"/>
        <w:bidi w:val="0"/>
        <w:snapToGrid/>
        <w:ind w:firstLine="560" w:firstLineChars="200"/>
        <w:textAlignment w:val="auto"/>
        <w:outlineLvl w:val="9"/>
        <w:rPr>
          <w:rFonts w:hint="eastAsia"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（4）办理上级人民政府交办的其它事项。</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outlineLvl w:val="9"/>
        <w:rPr>
          <w:rFonts w:hint="eastAsia"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机构设置为：根据县党发【2012】38号《关于印发乌鲁木齐县永丰乡机构改革方案的通知》、县党发【2016】35号《关于下达《乌鲁木齐县乡（镇）站所管理体制改革实施意见》和县编委【2016】6号《关于印发《乌鲁木齐县永丰乡站所机构编制方案》的通知》</w:t>
      </w:r>
      <w:r>
        <w:rPr>
          <w:rFonts w:hint="eastAsia" w:asciiTheme="majorEastAsia" w:hAnsiTheme="majorEastAsia" w:eastAsiaTheme="majorEastAsia" w:cstheme="minorBidi"/>
          <w:sz w:val="28"/>
          <w:szCs w:val="28"/>
          <w:lang w:eastAsia="zh-CN"/>
        </w:rPr>
        <w:t>，</w:t>
      </w:r>
      <w:r>
        <w:rPr>
          <w:rFonts w:hint="eastAsia" w:asciiTheme="majorEastAsia" w:hAnsiTheme="majorEastAsia" w:eastAsiaTheme="majorEastAsia" w:cstheme="minorBidi"/>
          <w:sz w:val="28"/>
          <w:szCs w:val="28"/>
        </w:rPr>
        <w:t>乌鲁木齐县</w:t>
      </w:r>
      <w:r>
        <w:rPr>
          <w:rFonts w:hint="eastAsia" w:asciiTheme="majorEastAsia" w:hAnsiTheme="majorEastAsia" w:eastAsiaTheme="majorEastAsia" w:cstheme="minorBidi"/>
          <w:sz w:val="28"/>
          <w:szCs w:val="28"/>
          <w:lang w:eastAsia="zh-CN"/>
        </w:rPr>
        <w:t>永丰镇</w:t>
      </w:r>
      <w:r>
        <w:rPr>
          <w:rFonts w:hint="eastAsia" w:asciiTheme="majorEastAsia" w:hAnsiTheme="majorEastAsia" w:eastAsiaTheme="majorEastAsia" w:cstheme="minorBidi"/>
          <w:sz w:val="28"/>
          <w:szCs w:val="28"/>
        </w:rPr>
        <w:t>所属站所统一设置“二所四中心”，即司法所、财政所（农村合作经济经营管理服务站）、产业发展服务中心、教育文体广电服务中心，社会保障（民政）服务中心。</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 xml:space="preserve"> 2、机构情况及增减变动原因</w:t>
      </w:r>
    </w:p>
    <w:p>
      <w:pPr>
        <w:keepNext w:val="0"/>
        <w:keepLines w:val="0"/>
        <w:pageBreakBefore w:val="0"/>
        <w:widowControl w:val="0"/>
        <w:kinsoku/>
        <w:wordWrap/>
        <w:overflowPunct/>
        <w:topLinePunct w:val="0"/>
        <w:bidi w:val="0"/>
        <w:snapToGrid/>
        <w:ind w:firstLine="560" w:firstLineChars="200"/>
        <w:textAlignment w:val="auto"/>
        <w:outlineLvl w:val="9"/>
        <w:rPr>
          <w:rFonts w:hint="eastAsia"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永丰乡政府是一个独立核算机构，纳入2016年度部门决算汇编的独立核算单位（以下简称“单位”）共2个，其中独立报送单户报表的单位2个，占单位总数的100%；比较上年无增减。</w:t>
      </w:r>
    </w:p>
    <w:p>
      <w:pPr>
        <w:keepNext w:val="0"/>
        <w:keepLines w:val="0"/>
        <w:pageBreakBefore w:val="0"/>
        <w:widowControl w:val="0"/>
        <w:kinsoku/>
        <w:wordWrap/>
        <w:overflowPunct/>
        <w:topLinePunct w:val="0"/>
        <w:bidi w:val="0"/>
        <w:snapToGrid/>
        <w:ind w:firstLine="560" w:firstLineChars="200"/>
        <w:textAlignment w:val="auto"/>
        <w:outlineLvl w:val="9"/>
        <w:rPr>
          <w:rFonts w:asciiTheme="majorEastAsia" w:hAnsiTheme="majorEastAsia" w:eastAsiaTheme="majorEastAsia" w:cstheme="minorBidi"/>
          <w:sz w:val="28"/>
          <w:szCs w:val="28"/>
        </w:rPr>
      </w:pPr>
      <w:r>
        <w:rPr>
          <w:rFonts w:hint="eastAsia" w:asciiTheme="majorEastAsia" w:hAnsiTheme="majorEastAsia" w:eastAsiaTheme="majorEastAsia" w:cstheme="minorBidi"/>
          <w:sz w:val="28"/>
          <w:szCs w:val="28"/>
        </w:rPr>
        <w:t>3、人员情况及增减变动原因</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r>
        <w:rPr>
          <w:rFonts w:hint="eastAsia" w:asciiTheme="majorEastAsia" w:hAnsiTheme="majorEastAsia" w:eastAsiaTheme="majorEastAsia" w:cstheme="minorBidi"/>
          <w:sz w:val="28"/>
          <w:szCs w:val="28"/>
        </w:rPr>
        <w:t>我单位共有行政编制 20 名，2015实有在职人员19人，因赛福生虽然调出，但编制依然在我单位，2016年实有在职职工  20人，增减原因是调入一人林云。2015年共有行政机关离休人员1人，退休人员 10人，2016年共有行政离休人员1人，减少行政机关退休人员 10人，原因是将退休人员调入社保。我单位共有事业编制 24名，2015实有在职人员21人，2016年实有在职职工 21人，无增减。2015年共有事业退休人员5人，2016年将事业退休人员5 人，转入社保。</w:t>
      </w:r>
    </w:p>
    <w:p>
      <w:pPr>
        <w:keepNext w:val="0"/>
        <w:keepLines w:val="0"/>
        <w:pageBreakBefore w:val="0"/>
        <w:widowControl w:val="0"/>
        <w:kinsoku/>
        <w:wordWrap/>
        <w:overflowPunct/>
        <w:topLinePunct w:val="0"/>
        <w:bidi w:val="0"/>
        <w:snapToGrid/>
        <w:ind w:firstLine="562" w:firstLineChars="200"/>
        <w:textAlignment w:val="auto"/>
        <w:outlineLvl w:val="9"/>
        <w:rPr>
          <w:rFonts w:hint="eastAsia"/>
          <w:b/>
          <w:sz w:val="28"/>
          <w:szCs w:val="28"/>
        </w:rPr>
      </w:pP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r>
        <w:rPr>
          <w:rFonts w:hint="eastAsia"/>
          <w:b/>
          <w:sz w:val="28"/>
          <w:szCs w:val="28"/>
        </w:rPr>
        <w:t>决算收支增减变化说明</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r>
        <w:rPr>
          <w:rFonts w:hint="eastAsia"/>
          <w:sz w:val="28"/>
          <w:szCs w:val="28"/>
        </w:rPr>
        <w:t>本年收入比去年增加406万元，其中一般公共预算财政拨款比上年减少1734.85万元，政府性基金预算拨款比上年减少250.75万元，原因是工程项目款减少，而其他收入比去年增加2392.32万元，主要原因是增加了财政拨入我乡集镇基础设施改造工程款；本年支出比去年增加477万元。其中人员经费增加80.95万元，原因主要是工资增加及社保缴费增加，日常公用经费减少60.5万元，一是我乡压缩了经费支出，二是部分支出还未支付完毕，比如煤款等。项目支出增加了456.63万元，本年我乡增加了集镇基础设施建设项目投入。</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r>
        <w:rPr>
          <w:rFonts w:hint="eastAsia"/>
          <w:b/>
          <w:sz w:val="28"/>
          <w:szCs w:val="28"/>
        </w:rPr>
        <w:t>机关运行经费安排说明</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r>
        <w:rPr>
          <w:rFonts w:hint="eastAsia"/>
          <w:sz w:val="28"/>
          <w:szCs w:val="28"/>
        </w:rPr>
        <w:t>机关运行经费支出71.72万元，其中行政机关运行经费支出67.22万元，事业机关支出4.5万元。办公费9.68万元；印刷费0.33万元；咨询费0.043万元；水费、电费7.3万元；邮电费4.72万元；取暖费13.39万元；差旅费0.02万元；维修维护费2.08万元；租赁费0.3万元；培训费0.43万元；福利费6.02万元；公务用车运行维护费17.5万元；其他交通费2.28万元；其他1.99万元。</w:t>
      </w: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r>
        <w:rPr>
          <w:rFonts w:hint="eastAsia"/>
          <w:b/>
          <w:sz w:val="28"/>
          <w:szCs w:val="28"/>
        </w:rPr>
        <w:t>政府采购安排情况说明</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r>
        <w:rPr>
          <w:rFonts w:hint="eastAsia"/>
          <w:sz w:val="28"/>
          <w:szCs w:val="28"/>
        </w:rPr>
        <w:t>2016年政府采购计划130.56万元，实际123.52万元，其中货物类123.52万元。货物类采购中：通用设备48.78万元，专用设备9.56万元，家具类17.71万元，办公用品6.51万元，其他40.78万元，专利0.65万元，服务类0.18万元。</w:t>
      </w:r>
    </w:p>
    <w:p>
      <w:pPr>
        <w:keepNext w:val="0"/>
        <w:keepLines w:val="0"/>
        <w:pageBreakBefore w:val="0"/>
        <w:widowControl w:val="0"/>
        <w:kinsoku/>
        <w:wordWrap/>
        <w:overflowPunct/>
        <w:topLinePunct w:val="0"/>
        <w:bidi w:val="0"/>
        <w:snapToGrid/>
        <w:ind w:firstLine="560" w:firstLineChars="200"/>
        <w:textAlignment w:val="auto"/>
        <w:outlineLvl w:val="9"/>
        <w:rPr>
          <w:sz w:val="28"/>
          <w:szCs w:val="28"/>
        </w:rPr>
      </w:pP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r>
        <w:rPr>
          <w:rFonts w:hint="eastAsia"/>
          <w:b/>
          <w:sz w:val="28"/>
          <w:szCs w:val="28"/>
        </w:rPr>
        <w:t>三公经费增减变化原因</w:t>
      </w:r>
    </w:p>
    <w:p>
      <w:pPr>
        <w:keepNext w:val="0"/>
        <w:keepLines w:val="0"/>
        <w:pageBreakBefore w:val="0"/>
        <w:widowControl w:val="0"/>
        <w:kinsoku/>
        <w:wordWrap/>
        <w:overflowPunct/>
        <w:topLinePunct w:val="0"/>
        <w:bidi w:val="0"/>
        <w:snapToGrid/>
        <w:ind w:firstLine="560" w:firstLineChars="200"/>
        <w:textAlignment w:val="auto"/>
        <w:outlineLvl w:val="9"/>
        <w:rPr>
          <w:rFonts w:hint="eastAsia"/>
          <w:sz w:val="28"/>
          <w:szCs w:val="28"/>
        </w:rPr>
      </w:pPr>
      <w:r>
        <w:rPr>
          <w:rFonts w:hint="eastAsia"/>
          <w:sz w:val="28"/>
          <w:szCs w:val="28"/>
        </w:rPr>
        <w:t>三公经费比去年减少9.67万元，是公务用车运行维护费下降9.67万元，原因是农机站、兽医站两个站所车辆因站所业务、人员、车辆、经费都由上级局机关管辖，所以公务用车运行维护费下降。</w:t>
      </w:r>
    </w:p>
    <w:p>
      <w:pPr>
        <w:keepNext w:val="0"/>
        <w:keepLines w:val="0"/>
        <w:pageBreakBefore w:val="0"/>
        <w:widowControl w:val="0"/>
        <w:kinsoku/>
        <w:wordWrap/>
        <w:overflowPunct/>
        <w:topLinePunct w:val="0"/>
        <w:bidi w:val="0"/>
        <w:snapToGrid/>
        <w:ind w:firstLine="562" w:firstLineChars="200"/>
        <w:textAlignment w:val="auto"/>
        <w:outlineLvl w:val="9"/>
        <w:rPr>
          <w:b/>
          <w:sz w:val="28"/>
          <w:szCs w:val="28"/>
        </w:rPr>
      </w:pPr>
      <w:r>
        <w:rPr>
          <w:rFonts w:hint="eastAsia"/>
          <w:b/>
          <w:sz w:val="28"/>
          <w:szCs w:val="28"/>
        </w:rPr>
        <w:t>细化说明因公出国（境）团组数及人数</w:t>
      </w:r>
    </w:p>
    <w:p>
      <w:pPr>
        <w:keepNext w:val="0"/>
        <w:keepLines w:val="0"/>
        <w:pageBreakBefore w:val="0"/>
        <w:widowControl w:val="0"/>
        <w:kinsoku/>
        <w:wordWrap/>
        <w:overflowPunct/>
        <w:topLinePunct w:val="0"/>
        <w:bidi w:val="0"/>
        <w:snapToGrid/>
        <w:ind w:firstLine="560" w:firstLineChars="200"/>
        <w:textAlignment w:val="auto"/>
        <w:outlineLvl w:val="9"/>
        <w:rPr>
          <w:rFonts w:hint="eastAsia"/>
          <w:sz w:val="28"/>
          <w:szCs w:val="28"/>
        </w:rPr>
      </w:pPr>
      <w:r>
        <w:rPr>
          <w:rFonts w:hint="eastAsia"/>
          <w:sz w:val="28"/>
          <w:szCs w:val="28"/>
        </w:rPr>
        <w:t>我单位无因公出国（境）团组数及人数</w:t>
      </w:r>
    </w:p>
    <w:p>
      <w:pPr>
        <w:keepNext w:val="0"/>
        <w:keepLines w:val="0"/>
        <w:pageBreakBefore w:val="0"/>
        <w:widowControl w:val="0"/>
        <w:kinsoku/>
        <w:wordWrap/>
        <w:overflowPunct/>
        <w:topLinePunct w:val="0"/>
        <w:bidi w:val="0"/>
        <w:snapToGrid/>
        <w:ind w:firstLine="562" w:firstLineChars="200"/>
        <w:textAlignment w:val="auto"/>
        <w:outlineLvl w:val="9"/>
        <w:rPr>
          <w:rFonts w:hint="eastAsia"/>
          <w:b/>
          <w:bCs/>
          <w:sz w:val="28"/>
          <w:szCs w:val="28"/>
          <w:lang w:val="en-US" w:eastAsia="zh-CN"/>
        </w:rPr>
      </w:pPr>
      <w:r>
        <w:rPr>
          <w:rFonts w:hint="eastAsia"/>
          <w:b/>
          <w:bCs/>
          <w:sz w:val="28"/>
          <w:szCs w:val="28"/>
          <w:lang w:val="en-US" w:eastAsia="zh-CN"/>
        </w:rPr>
        <w:t>细化说明公务用车购置和运行费</w:t>
      </w:r>
    </w:p>
    <w:p>
      <w:pPr>
        <w:keepNext w:val="0"/>
        <w:keepLines w:val="0"/>
        <w:pageBreakBefore w:val="0"/>
        <w:widowControl w:val="0"/>
        <w:kinsoku/>
        <w:wordWrap/>
        <w:overflowPunct/>
        <w:topLinePunct w:val="0"/>
        <w:bidi w:val="0"/>
        <w:snapToGrid/>
        <w:ind w:firstLine="560" w:firstLineChars="200"/>
        <w:textAlignment w:val="auto"/>
        <w:outlineLvl w:val="9"/>
        <w:rPr>
          <w:rFonts w:hint="eastAsia"/>
          <w:b w:val="0"/>
          <w:bCs w:val="0"/>
          <w:sz w:val="28"/>
          <w:szCs w:val="28"/>
          <w:lang w:val="en-US" w:eastAsia="zh-CN"/>
        </w:rPr>
      </w:pPr>
      <w:r>
        <w:rPr>
          <w:rFonts w:hint="eastAsia"/>
          <w:b w:val="0"/>
          <w:bCs w:val="0"/>
          <w:sz w:val="28"/>
          <w:szCs w:val="28"/>
          <w:lang w:val="en-US" w:eastAsia="zh-CN"/>
        </w:rPr>
        <w:t>公务用车运行费支出17.5万元,主要用于车辆加油13.07万元，维修、保养4.43万元。</w:t>
      </w:r>
      <w:bookmarkStart w:id="0" w:name="_GoBack"/>
      <w:bookmarkEnd w:id="0"/>
      <w:r>
        <w:rPr>
          <w:rFonts w:hint="eastAsia"/>
          <w:b w:val="0"/>
          <w:bCs w:val="0"/>
          <w:sz w:val="28"/>
          <w:szCs w:val="28"/>
          <w:lang w:val="en-US" w:eastAsia="zh-CN"/>
        </w:rPr>
        <w:t>当年未购置公务用车。</w:t>
      </w:r>
    </w:p>
    <w:p>
      <w:pPr>
        <w:keepNext w:val="0"/>
        <w:keepLines w:val="0"/>
        <w:pageBreakBefore w:val="0"/>
        <w:widowControl w:val="0"/>
        <w:kinsoku/>
        <w:wordWrap/>
        <w:overflowPunct/>
        <w:topLinePunct w:val="0"/>
        <w:bidi w:val="0"/>
        <w:snapToGrid/>
        <w:ind w:firstLine="562" w:firstLineChars="200"/>
        <w:textAlignment w:val="auto"/>
        <w:outlineLvl w:val="9"/>
        <w:rPr>
          <w:rFonts w:hint="eastAsia"/>
          <w:b/>
          <w:bCs/>
          <w:sz w:val="28"/>
          <w:szCs w:val="28"/>
          <w:lang w:val="en-US" w:eastAsia="zh-CN"/>
        </w:rPr>
      </w:pPr>
      <w:r>
        <w:rPr>
          <w:rFonts w:hint="eastAsia"/>
          <w:b/>
          <w:bCs/>
          <w:sz w:val="28"/>
          <w:szCs w:val="28"/>
          <w:lang w:val="en-US" w:eastAsia="zh-CN"/>
        </w:rPr>
        <w:t xml:space="preserve">公务用车购置数及保有量 </w:t>
      </w:r>
    </w:p>
    <w:p>
      <w:pPr>
        <w:keepNext w:val="0"/>
        <w:keepLines w:val="0"/>
        <w:pageBreakBefore w:val="0"/>
        <w:widowControl w:val="0"/>
        <w:kinsoku/>
        <w:wordWrap/>
        <w:overflowPunct/>
        <w:topLinePunct w:val="0"/>
        <w:bidi w:val="0"/>
        <w:snapToGrid/>
        <w:ind w:firstLine="560" w:firstLineChars="200"/>
        <w:textAlignment w:val="auto"/>
        <w:outlineLvl w:val="9"/>
        <w:rPr>
          <w:rFonts w:hint="eastAsia"/>
          <w:b w:val="0"/>
          <w:bCs w:val="0"/>
          <w:sz w:val="28"/>
          <w:szCs w:val="28"/>
          <w:lang w:val="en-US" w:eastAsia="zh-CN"/>
        </w:rPr>
      </w:pPr>
      <w:r>
        <w:rPr>
          <w:rFonts w:hint="eastAsia"/>
          <w:sz w:val="28"/>
          <w:szCs w:val="28"/>
          <w:lang w:eastAsia="zh-CN"/>
        </w:rPr>
        <w:t>我单位</w:t>
      </w:r>
      <w:r>
        <w:rPr>
          <w:rFonts w:hint="eastAsia"/>
          <w:sz w:val="28"/>
          <w:szCs w:val="28"/>
        </w:rPr>
        <w:t>拥有交通工具</w:t>
      </w:r>
      <w:r>
        <w:rPr>
          <w:rFonts w:hint="eastAsia"/>
          <w:sz w:val="28"/>
          <w:szCs w:val="28"/>
          <w:lang w:val="en-US" w:eastAsia="zh-CN"/>
        </w:rPr>
        <w:t>10</w:t>
      </w:r>
      <w:r>
        <w:rPr>
          <w:rFonts w:hint="eastAsia"/>
          <w:sz w:val="28"/>
          <w:szCs w:val="28"/>
        </w:rPr>
        <w:t>辆，其中汽车</w:t>
      </w:r>
      <w:r>
        <w:rPr>
          <w:rFonts w:hint="eastAsia"/>
          <w:sz w:val="28"/>
          <w:szCs w:val="28"/>
          <w:lang w:val="en-US" w:eastAsia="zh-CN"/>
        </w:rPr>
        <w:t>10</w:t>
      </w:r>
      <w:r>
        <w:rPr>
          <w:rFonts w:hint="eastAsia"/>
          <w:sz w:val="28"/>
          <w:szCs w:val="28"/>
        </w:rPr>
        <w:t>辆</w:t>
      </w:r>
      <w:r>
        <w:rPr>
          <w:rFonts w:hint="eastAsia"/>
          <w:sz w:val="28"/>
          <w:szCs w:val="28"/>
          <w:lang w:eastAsia="zh-CN"/>
        </w:rPr>
        <w:t>。</w:t>
      </w:r>
      <w:r>
        <w:rPr>
          <w:rFonts w:hint="eastAsia"/>
          <w:b w:val="0"/>
          <w:bCs w:val="0"/>
          <w:sz w:val="28"/>
          <w:szCs w:val="28"/>
          <w:lang w:val="en-US" w:eastAsia="zh-CN"/>
        </w:rPr>
        <w:t>当年未购置公务用车。</w:t>
      </w:r>
    </w:p>
    <w:p>
      <w:pPr>
        <w:keepNext w:val="0"/>
        <w:keepLines w:val="0"/>
        <w:pageBreakBefore w:val="0"/>
        <w:widowControl w:val="0"/>
        <w:kinsoku/>
        <w:wordWrap/>
        <w:overflowPunct/>
        <w:topLinePunct w:val="0"/>
        <w:bidi w:val="0"/>
        <w:snapToGrid/>
        <w:ind w:firstLine="562" w:firstLineChars="200"/>
        <w:textAlignment w:val="auto"/>
        <w:outlineLvl w:val="9"/>
        <w:rPr>
          <w:rFonts w:hint="eastAsia" w:eastAsia="宋体"/>
          <w:sz w:val="28"/>
          <w:szCs w:val="28"/>
          <w:lang w:eastAsia="zh-CN"/>
        </w:rPr>
      </w:pPr>
      <w:r>
        <w:rPr>
          <w:rFonts w:hint="eastAsia" w:eastAsia="宋体"/>
          <w:b/>
          <w:bCs/>
          <w:sz w:val="28"/>
          <w:szCs w:val="28"/>
          <w:lang w:eastAsia="zh-CN"/>
        </w:rPr>
        <w:t>国内公务接待的批次、人数</w:t>
      </w:r>
      <w:r>
        <w:rPr>
          <w:rFonts w:hint="eastAsia" w:eastAsia="宋体"/>
          <w:sz w:val="28"/>
          <w:szCs w:val="28"/>
          <w:lang w:eastAsia="zh-CN"/>
        </w:rPr>
        <w:t xml:space="preserve"> </w:t>
      </w:r>
    </w:p>
    <w:p>
      <w:pPr>
        <w:keepNext w:val="0"/>
        <w:keepLines w:val="0"/>
        <w:pageBreakBefore w:val="0"/>
        <w:widowControl w:val="0"/>
        <w:kinsoku/>
        <w:wordWrap/>
        <w:overflowPunct/>
        <w:topLinePunct w:val="0"/>
        <w:bidi w:val="0"/>
        <w:snapToGrid/>
        <w:ind w:firstLine="560" w:firstLineChars="200"/>
        <w:textAlignment w:val="auto"/>
        <w:outlineLvl w:val="9"/>
        <w:rPr>
          <w:rFonts w:hint="eastAsia"/>
          <w:b w:val="0"/>
          <w:bCs w:val="0"/>
          <w:sz w:val="28"/>
          <w:szCs w:val="28"/>
          <w:lang w:val="en-US" w:eastAsia="zh-CN"/>
        </w:rPr>
      </w:pPr>
      <w:r>
        <w:rPr>
          <w:rFonts w:hint="eastAsia"/>
          <w:b w:val="0"/>
          <w:bCs w:val="0"/>
          <w:sz w:val="28"/>
          <w:szCs w:val="28"/>
          <w:lang w:val="en-US" w:eastAsia="zh-CN"/>
        </w:rPr>
        <w:t>我单位当年公务接待0批次，0人数。</w:t>
      </w:r>
    </w:p>
    <w:p>
      <w:pPr>
        <w:ind w:firstLine="660"/>
        <w:jc w:val="center"/>
        <w:rPr>
          <w:rFonts w:asciiTheme="majorEastAsia" w:hAnsiTheme="majorEastAsia" w:eastAsiaTheme="majorEastAsia" w:cstheme="minorBidi"/>
          <w:b/>
          <w:sz w:val="44"/>
          <w:szCs w:val="32"/>
        </w:rPr>
      </w:pPr>
    </w:p>
    <w:p>
      <w:pPr>
        <w:ind w:firstLine="660"/>
        <w:jc w:val="center"/>
        <w:rPr>
          <w:rFonts w:asciiTheme="majorEastAsia" w:hAnsiTheme="majorEastAsia" w:eastAsiaTheme="majorEastAsia" w:cstheme="minorBidi"/>
          <w:b/>
          <w:sz w:val="44"/>
          <w:szCs w:val="32"/>
        </w:rPr>
      </w:pPr>
      <w:r>
        <w:rPr>
          <w:rFonts w:hint="eastAsia" w:asciiTheme="majorEastAsia" w:hAnsiTheme="majorEastAsia" w:eastAsiaTheme="majorEastAsia" w:cstheme="minorBidi"/>
          <w:b/>
          <w:sz w:val="44"/>
          <w:szCs w:val="32"/>
        </w:rPr>
        <w:t>名词解释</w:t>
      </w:r>
    </w:p>
    <w:p>
      <w:pPr>
        <w:ind w:firstLine="645"/>
        <w:jc w:val="center"/>
        <w:rPr>
          <w:rFonts w:asciiTheme="majorEastAsia" w:hAnsiTheme="majorEastAsia" w:eastAsiaTheme="majorEastAsia" w:cstheme="minorBidi"/>
          <w:b/>
          <w:sz w:val="32"/>
          <w:szCs w:val="32"/>
        </w:rPr>
      </w:pPr>
    </w:p>
    <w:p>
      <w:pPr>
        <w:ind w:firstLine="645"/>
        <w:jc w:val="left"/>
        <w:rPr>
          <w:rFonts w:asciiTheme="majorEastAsia" w:hAnsiTheme="majorEastAsia" w:eastAsiaTheme="majorEastAsia" w:cstheme="minorBidi"/>
          <w:sz w:val="32"/>
          <w:szCs w:val="32"/>
        </w:rPr>
      </w:pPr>
      <w:r>
        <w:rPr>
          <w:rFonts w:hint="eastAsia" w:asciiTheme="majorEastAsia" w:hAnsiTheme="majorEastAsia" w:eastAsiaTheme="majorEastAsia" w:cstheme="minorBidi"/>
          <w:b/>
          <w:sz w:val="32"/>
          <w:szCs w:val="32"/>
        </w:rPr>
        <w:t>公共财政</w:t>
      </w:r>
      <w:r>
        <w:rPr>
          <w:rFonts w:hint="eastAsia" w:asciiTheme="majorEastAsia" w:hAnsiTheme="majorEastAsia" w:eastAsiaTheme="majorEastAsia" w:cstheme="minorBidi"/>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ind w:firstLine="645"/>
        <w:jc w:val="left"/>
        <w:rPr>
          <w:rFonts w:asciiTheme="majorEastAsia" w:hAnsiTheme="majorEastAsia" w:eastAsiaTheme="majorEastAsia" w:cstheme="minorBidi"/>
          <w:sz w:val="32"/>
          <w:szCs w:val="32"/>
        </w:rPr>
      </w:pPr>
      <w:r>
        <w:rPr>
          <w:rFonts w:hint="eastAsia" w:asciiTheme="majorEastAsia" w:hAnsiTheme="majorEastAsia" w:eastAsiaTheme="majorEastAsia" w:cstheme="minorBidi"/>
          <w:b/>
          <w:sz w:val="32"/>
          <w:szCs w:val="32"/>
        </w:rPr>
        <w:t>一般公共预算</w:t>
      </w:r>
      <w:r>
        <w:rPr>
          <w:rFonts w:hint="eastAsia" w:asciiTheme="majorEastAsia" w:hAnsiTheme="majorEastAsia" w:eastAsiaTheme="majorEastAsia" w:cstheme="minorBidi"/>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Theme="majorEastAsia" w:hAnsiTheme="majorEastAsia" w:eastAsiaTheme="majorEastAsia" w:cstheme="minorBidi"/>
          <w:sz w:val="32"/>
          <w:szCs w:val="32"/>
        </w:rPr>
      </w:pPr>
      <w:r>
        <w:rPr>
          <w:rFonts w:hint="eastAsia" w:asciiTheme="majorEastAsia" w:hAnsiTheme="majorEastAsia" w:eastAsiaTheme="majorEastAsia" w:cstheme="minorBidi"/>
          <w:b/>
          <w:sz w:val="32"/>
          <w:szCs w:val="32"/>
        </w:rPr>
        <w:t>部门预算</w:t>
      </w:r>
      <w:r>
        <w:rPr>
          <w:rFonts w:hint="eastAsia" w:asciiTheme="majorEastAsia" w:hAnsiTheme="majorEastAsia" w:eastAsiaTheme="majorEastAsia" w:cstheme="minorBidi"/>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Theme="majorEastAsia" w:hAnsiTheme="majorEastAsia" w:eastAsiaTheme="majorEastAsia" w:cstheme="minorBidi"/>
          <w:b/>
          <w:sz w:val="32"/>
          <w:szCs w:val="32"/>
        </w:rPr>
      </w:pPr>
      <w:r>
        <w:rPr>
          <w:rFonts w:hint="eastAsia" w:asciiTheme="majorEastAsia" w:hAnsiTheme="majorEastAsia" w:eastAsiaTheme="majorEastAsia" w:cstheme="minorBidi"/>
          <w:b/>
          <w:sz w:val="32"/>
          <w:szCs w:val="32"/>
        </w:rPr>
        <w:t>“三公”经费，</w:t>
      </w:r>
      <w:r>
        <w:rPr>
          <w:rFonts w:hint="eastAsia" w:asciiTheme="majorEastAsia" w:hAnsiTheme="majorEastAsia" w:eastAsiaTheme="majorEastAsia" w:cstheme="minorBidi"/>
          <w:sz w:val="32"/>
          <w:szCs w:val="32"/>
        </w:rPr>
        <w:t>指政府部门人员因公出国（境）经费、公务车购置及运行费、公务招待费产生的消费。</w:t>
      </w:r>
    </w:p>
    <w:p>
      <w:pPr>
        <w:rPr>
          <w:rFonts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7D9"/>
    <w:rsid w:val="000B1B8F"/>
    <w:rsid w:val="00174D74"/>
    <w:rsid w:val="0023050F"/>
    <w:rsid w:val="003C02EB"/>
    <w:rsid w:val="004100EF"/>
    <w:rsid w:val="0041693E"/>
    <w:rsid w:val="004F5DFB"/>
    <w:rsid w:val="005E2F1C"/>
    <w:rsid w:val="006770B2"/>
    <w:rsid w:val="0076219F"/>
    <w:rsid w:val="00791034"/>
    <w:rsid w:val="0080701A"/>
    <w:rsid w:val="00885BE4"/>
    <w:rsid w:val="00924F19"/>
    <w:rsid w:val="00936DEF"/>
    <w:rsid w:val="00A501FC"/>
    <w:rsid w:val="00AD57F3"/>
    <w:rsid w:val="00AE37D9"/>
    <w:rsid w:val="00B279C2"/>
    <w:rsid w:val="00B340F3"/>
    <w:rsid w:val="00BD2281"/>
    <w:rsid w:val="00C00773"/>
    <w:rsid w:val="00C10599"/>
    <w:rsid w:val="00C201A6"/>
    <w:rsid w:val="00D528D8"/>
    <w:rsid w:val="00DA1F95"/>
    <w:rsid w:val="00FE231E"/>
    <w:rsid w:val="00FF61E0"/>
    <w:rsid w:val="15E66DF7"/>
    <w:rsid w:val="293828A1"/>
    <w:rsid w:val="3C256B2E"/>
    <w:rsid w:val="4A817C8B"/>
    <w:rsid w:val="4C434EC3"/>
    <w:rsid w:val="511E6DDC"/>
    <w:rsid w:val="520D3363"/>
    <w:rsid w:val="6A5A12CF"/>
    <w:rsid w:val="79A92998"/>
    <w:rsid w:val="7F145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rFonts w:ascii="Calibri" w:hAnsi="Calibri" w:eastAsia="宋体" w:cs="Times New Roman"/>
      <w:sz w:val="18"/>
      <w:szCs w:val="18"/>
    </w:rPr>
  </w:style>
  <w:style w:type="character" w:customStyle="1" w:styleId="7">
    <w:name w:val="页脚 Char"/>
    <w:basedOn w:val="4"/>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324</Words>
  <Characters>1847</Characters>
  <Lines>15</Lines>
  <Paragraphs>4</Paragraphs>
  <TotalTime>13</TotalTime>
  <ScaleCrop>false</ScaleCrop>
  <LinksUpToDate>false</LinksUpToDate>
  <CharactersWithSpaces>2167</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2017-10-26T08:03:00Z</dcterms:created>
  <dc:creator>Sky123.Org</dc:creator>
  <cp:lastModifiedBy>Administrator</cp:lastModifiedBy>
  <dcterms:modified xsi:type="dcterms:W3CDTF">2018-12-13T06:25:09Z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