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F2" w:rsidRDefault="009136D0" w:rsidP="000200F2">
      <w:pPr>
        <w:widowControl/>
        <w:jc w:val="center"/>
        <w:rPr>
          <w:rFonts w:ascii="宋体" w:eastAsia="宋体" w:hAnsi="宋体" w:cs="宋体"/>
          <w:kern w:val="0"/>
          <w:sz w:val="44"/>
          <w:szCs w:val="44"/>
        </w:rPr>
      </w:pPr>
      <w:r>
        <w:rPr>
          <w:rFonts w:ascii="宋体" w:eastAsia="宋体" w:hAnsi="宋体" w:cs="宋体" w:hint="eastAsia"/>
          <w:kern w:val="0"/>
          <w:sz w:val="44"/>
          <w:szCs w:val="44"/>
        </w:rPr>
        <w:t>2016</w:t>
      </w:r>
      <w:r w:rsidR="000200F2" w:rsidRPr="000200F2">
        <w:rPr>
          <w:rFonts w:ascii="宋体" w:eastAsia="宋体" w:hAnsi="宋体" w:cs="宋体" w:hint="eastAsia"/>
          <w:kern w:val="0"/>
          <w:sz w:val="44"/>
          <w:szCs w:val="44"/>
        </w:rPr>
        <w:t>年</w:t>
      </w:r>
      <w:r w:rsidR="00090648" w:rsidRPr="000200F2">
        <w:rPr>
          <w:rFonts w:ascii="宋体" w:eastAsia="宋体" w:hAnsi="宋体" w:cs="宋体"/>
          <w:kern w:val="0"/>
          <w:sz w:val="44"/>
          <w:szCs w:val="44"/>
        </w:rPr>
        <w:t>预算公开</w:t>
      </w:r>
      <w:r w:rsidR="000200F2" w:rsidRPr="000200F2">
        <w:rPr>
          <w:rFonts w:ascii="宋体" w:eastAsia="宋体" w:hAnsi="宋体" w:cs="宋体" w:hint="eastAsia"/>
          <w:kern w:val="0"/>
          <w:sz w:val="44"/>
          <w:szCs w:val="44"/>
        </w:rPr>
        <w:t>说明</w:t>
      </w:r>
      <w:r w:rsidR="00090648" w:rsidRPr="000200F2">
        <w:rPr>
          <w:rFonts w:ascii="宋体" w:eastAsia="宋体" w:hAnsi="宋体" w:cs="宋体"/>
          <w:kern w:val="0"/>
          <w:sz w:val="44"/>
          <w:szCs w:val="44"/>
        </w:rPr>
        <w:t>：</w:t>
      </w:r>
    </w:p>
    <w:p w:rsidR="000200F2" w:rsidRPr="000200F2" w:rsidRDefault="000200F2" w:rsidP="000200F2">
      <w:pPr>
        <w:widowControl/>
        <w:jc w:val="center"/>
        <w:rPr>
          <w:rFonts w:ascii="宋体" w:eastAsia="宋体" w:hAnsi="宋体" w:cs="宋体"/>
          <w:kern w:val="0"/>
          <w:sz w:val="44"/>
          <w:szCs w:val="44"/>
        </w:rPr>
      </w:pPr>
    </w:p>
    <w:p w:rsidR="00EC2E39" w:rsidRPr="000200F2" w:rsidRDefault="00090648" w:rsidP="000200F2">
      <w:pPr>
        <w:widowControl/>
        <w:rPr>
          <w:rFonts w:asciiTheme="minorEastAsia" w:hAnsiTheme="minorEastAsia" w:cs="宋体"/>
          <w:b/>
          <w:kern w:val="0"/>
          <w:sz w:val="32"/>
          <w:szCs w:val="32"/>
        </w:rPr>
      </w:pPr>
      <w:r w:rsidRPr="000200F2">
        <w:rPr>
          <w:rFonts w:asciiTheme="minorEastAsia" w:hAnsiTheme="minorEastAsia" w:cs="宋体"/>
          <w:b/>
          <w:kern w:val="0"/>
          <w:sz w:val="32"/>
          <w:szCs w:val="32"/>
        </w:rPr>
        <w:t>一、部门主要职责及机构设置情况</w:t>
      </w:r>
    </w:p>
    <w:p w:rsidR="00EC2E39" w:rsidRPr="000200F2" w:rsidRDefault="00EC2E39" w:rsidP="00EC2E39">
      <w:pPr>
        <w:snapToGrid w:val="0"/>
        <w:spacing w:line="600" w:lineRule="exact"/>
        <w:ind w:firstLineChars="200" w:firstLine="643"/>
        <w:rPr>
          <w:rFonts w:asciiTheme="minorEastAsia" w:hAnsiTheme="minorEastAsia"/>
          <w:b/>
          <w:sz w:val="32"/>
          <w:szCs w:val="32"/>
        </w:rPr>
      </w:pPr>
      <w:r w:rsidRPr="000200F2">
        <w:rPr>
          <w:rFonts w:asciiTheme="minorEastAsia" w:hAnsiTheme="minorEastAsia" w:hint="eastAsia"/>
          <w:b/>
          <w:sz w:val="32"/>
          <w:szCs w:val="32"/>
        </w:rPr>
        <w:t xml:space="preserve">1．主要职能。 </w:t>
      </w:r>
    </w:p>
    <w:p w:rsidR="00EC2E39" w:rsidRPr="000200F2" w:rsidRDefault="00EC2E39" w:rsidP="00EC2E39">
      <w:pPr>
        <w:snapToGrid w:val="0"/>
        <w:spacing w:line="600" w:lineRule="exact"/>
        <w:ind w:firstLineChars="200" w:firstLine="640"/>
        <w:rPr>
          <w:rFonts w:asciiTheme="minorEastAsia" w:hAnsiTheme="minorEastAsia"/>
          <w:sz w:val="32"/>
          <w:szCs w:val="32"/>
        </w:rPr>
      </w:pPr>
      <w:r w:rsidRPr="000200F2">
        <w:rPr>
          <w:rFonts w:asciiTheme="minorEastAsia" w:hAnsiTheme="minorEastAsia" w:hint="eastAsia"/>
          <w:sz w:val="32"/>
          <w:szCs w:val="32"/>
        </w:rPr>
        <w:t>受县委、县人民政府委托，统一领导和管理辖区党务、行政、社会事务工作，促进片区和谐发展。负责拟定片区发展规划，提出强化“”两个机制、夯实基层基础工作的建议和措施，并组织实施；统筹整合辖区行政资源、社会资源和公共服务资源，综合协调相关职能部门和驻区单位，为辖区居民提供民生保障、社会治安、城市管理等综合服务；加强党的组织基层建设，依法指导社区居民自治，推动社区建设，促进社会组织健康发展；对相关职能部门和驻区企事业单位履行社会管理和公共服务职能情况进行监督、检查和考核；做好辖区社会治安综合治理及维稳工作，指导驻村单位的精神文明建设工作，促进社会文明、和谐、稳定、发展。</w:t>
      </w:r>
    </w:p>
    <w:p w:rsidR="00EC2E39" w:rsidRPr="000200F2" w:rsidRDefault="00EC2E39" w:rsidP="00EC2E39">
      <w:pPr>
        <w:snapToGrid w:val="0"/>
        <w:spacing w:line="600" w:lineRule="exact"/>
        <w:ind w:firstLineChars="200" w:firstLine="643"/>
        <w:rPr>
          <w:rFonts w:asciiTheme="minorEastAsia" w:hAnsiTheme="minorEastAsia"/>
          <w:b/>
          <w:sz w:val="32"/>
          <w:szCs w:val="32"/>
        </w:rPr>
      </w:pPr>
      <w:r w:rsidRPr="000200F2">
        <w:rPr>
          <w:rFonts w:asciiTheme="minorEastAsia" w:hAnsiTheme="minorEastAsia" w:hint="eastAsia"/>
          <w:b/>
          <w:sz w:val="32"/>
          <w:szCs w:val="32"/>
        </w:rPr>
        <w:t>2．机构情况，包括当年变动情况及原因。</w:t>
      </w:r>
    </w:p>
    <w:p w:rsidR="00EC2E39" w:rsidRPr="000200F2" w:rsidRDefault="00923018" w:rsidP="00EC2E39">
      <w:pPr>
        <w:snapToGrid w:val="0"/>
        <w:spacing w:line="600" w:lineRule="exact"/>
        <w:ind w:firstLineChars="200" w:firstLine="640"/>
        <w:rPr>
          <w:rFonts w:asciiTheme="minorEastAsia" w:hAnsiTheme="minorEastAsia"/>
          <w:sz w:val="32"/>
          <w:szCs w:val="32"/>
        </w:rPr>
      </w:pPr>
      <w:r>
        <w:rPr>
          <w:rFonts w:asciiTheme="minorEastAsia" w:hAnsiTheme="minorEastAsia" w:hint="eastAsia"/>
          <w:sz w:val="32"/>
          <w:szCs w:val="32"/>
        </w:rPr>
        <w:t>本单位为清水泉片区管理委员会，清水泉社区</w:t>
      </w:r>
      <w:r w:rsidR="00EC2E39" w:rsidRPr="000200F2">
        <w:rPr>
          <w:rFonts w:asciiTheme="minorEastAsia" w:hAnsiTheme="minorEastAsia" w:hint="eastAsia"/>
          <w:sz w:val="32"/>
          <w:szCs w:val="32"/>
        </w:rPr>
        <w:t>为管委会管辖。管委会内设两个机构：党政办公室和综合协调科。下设3个事业单位：行政社会事务执法管理服务中心、综治信访维稳中心、产业发展服务中心。</w:t>
      </w:r>
    </w:p>
    <w:p w:rsidR="00EC2E39" w:rsidRPr="000200F2" w:rsidRDefault="00EC2E39" w:rsidP="00EC2E39">
      <w:pPr>
        <w:snapToGrid w:val="0"/>
        <w:spacing w:line="600" w:lineRule="exact"/>
        <w:ind w:firstLineChars="200" w:firstLine="643"/>
        <w:rPr>
          <w:rFonts w:asciiTheme="minorEastAsia" w:hAnsiTheme="minorEastAsia"/>
          <w:b/>
          <w:sz w:val="32"/>
          <w:szCs w:val="32"/>
        </w:rPr>
      </w:pPr>
      <w:r w:rsidRPr="000200F2">
        <w:rPr>
          <w:rFonts w:asciiTheme="minorEastAsia" w:hAnsiTheme="minorEastAsia" w:hint="eastAsia"/>
          <w:b/>
          <w:sz w:val="32"/>
          <w:szCs w:val="32"/>
        </w:rPr>
        <w:t>3．人员情况，包括当年变动情况及原因。</w:t>
      </w:r>
    </w:p>
    <w:p w:rsidR="00EC2E39" w:rsidRPr="000200F2" w:rsidRDefault="005805A9" w:rsidP="00EC2E39">
      <w:pPr>
        <w:snapToGrid w:val="0"/>
        <w:spacing w:line="600" w:lineRule="exact"/>
        <w:ind w:firstLineChars="200" w:firstLine="640"/>
        <w:rPr>
          <w:rFonts w:asciiTheme="minorEastAsia" w:hAnsiTheme="minorEastAsia"/>
          <w:sz w:val="32"/>
          <w:szCs w:val="32"/>
        </w:rPr>
      </w:pPr>
      <w:r>
        <w:rPr>
          <w:rFonts w:asciiTheme="minorEastAsia" w:hAnsiTheme="minorEastAsia" w:hint="eastAsia"/>
          <w:sz w:val="32"/>
          <w:szCs w:val="32"/>
        </w:rPr>
        <w:t>2016</w:t>
      </w:r>
      <w:r w:rsidR="00EC2E39" w:rsidRPr="000200F2">
        <w:rPr>
          <w:rFonts w:asciiTheme="minorEastAsia" w:hAnsiTheme="minorEastAsia" w:hint="eastAsia"/>
          <w:sz w:val="32"/>
          <w:szCs w:val="32"/>
        </w:rPr>
        <w:t>年单位社工</w:t>
      </w:r>
      <w:r>
        <w:rPr>
          <w:rFonts w:asciiTheme="minorEastAsia" w:hAnsiTheme="minorEastAsia" w:hint="eastAsia"/>
          <w:sz w:val="32"/>
          <w:szCs w:val="32"/>
        </w:rPr>
        <w:t>9</w:t>
      </w:r>
      <w:r w:rsidR="00EC2E39" w:rsidRPr="000200F2">
        <w:rPr>
          <w:rFonts w:asciiTheme="minorEastAsia" w:hAnsiTheme="minorEastAsia" w:hint="eastAsia"/>
          <w:sz w:val="32"/>
          <w:szCs w:val="32"/>
        </w:rPr>
        <w:t>人，聘用人员</w:t>
      </w:r>
      <w:r>
        <w:rPr>
          <w:rFonts w:asciiTheme="minorEastAsia" w:hAnsiTheme="minorEastAsia" w:hint="eastAsia"/>
          <w:sz w:val="32"/>
          <w:szCs w:val="32"/>
        </w:rPr>
        <w:t>3人，</w:t>
      </w:r>
      <w:r w:rsidR="00EC2E39" w:rsidRPr="000200F2">
        <w:rPr>
          <w:rFonts w:asciiTheme="minorEastAsia" w:hAnsiTheme="minorEastAsia" w:hint="eastAsia"/>
          <w:sz w:val="32"/>
          <w:szCs w:val="32"/>
        </w:rPr>
        <w:t>行政编制</w:t>
      </w:r>
      <w:r>
        <w:rPr>
          <w:rFonts w:asciiTheme="minorEastAsia" w:hAnsiTheme="minorEastAsia" w:hint="eastAsia"/>
          <w:sz w:val="32"/>
          <w:szCs w:val="32"/>
        </w:rPr>
        <w:t>3</w:t>
      </w:r>
      <w:r w:rsidR="00EC2E39" w:rsidRPr="000200F2">
        <w:rPr>
          <w:rFonts w:asciiTheme="minorEastAsia" w:hAnsiTheme="minorEastAsia" w:hint="eastAsia"/>
          <w:sz w:val="32"/>
          <w:szCs w:val="32"/>
        </w:rPr>
        <w:t>人，事业编制</w:t>
      </w:r>
      <w:r>
        <w:rPr>
          <w:rFonts w:asciiTheme="minorEastAsia" w:hAnsiTheme="minorEastAsia" w:hint="eastAsia"/>
          <w:sz w:val="32"/>
          <w:szCs w:val="32"/>
        </w:rPr>
        <w:t>0人。</w:t>
      </w:r>
    </w:p>
    <w:p w:rsidR="00EC2E39" w:rsidRPr="000200F2" w:rsidRDefault="00090648" w:rsidP="00090648">
      <w:pPr>
        <w:widowControl/>
        <w:jc w:val="left"/>
        <w:rPr>
          <w:rFonts w:asciiTheme="minorEastAsia" w:hAnsiTheme="minorEastAsia" w:cs="宋体"/>
          <w:kern w:val="0"/>
          <w:sz w:val="32"/>
          <w:szCs w:val="32"/>
        </w:rPr>
      </w:pPr>
      <w:r w:rsidRPr="000200F2">
        <w:rPr>
          <w:rFonts w:asciiTheme="minorEastAsia" w:hAnsiTheme="minorEastAsia" w:cs="宋体"/>
          <w:b/>
          <w:kern w:val="0"/>
          <w:sz w:val="32"/>
          <w:szCs w:val="32"/>
        </w:rPr>
        <w:lastRenderedPageBreak/>
        <w:t>二、预算收支</w:t>
      </w:r>
      <w:r w:rsidRPr="00C606F9">
        <w:rPr>
          <w:rFonts w:asciiTheme="minorEastAsia" w:hAnsiTheme="minorEastAsia" w:cs="宋体"/>
          <w:b/>
          <w:kern w:val="0"/>
          <w:sz w:val="32"/>
          <w:szCs w:val="32"/>
        </w:rPr>
        <w:t>增减变化</w:t>
      </w:r>
      <w:r w:rsidRPr="000200F2">
        <w:rPr>
          <w:rFonts w:asciiTheme="minorEastAsia" w:hAnsiTheme="minorEastAsia" w:cs="宋体"/>
          <w:b/>
          <w:kern w:val="0"/>
          <w:sz w:val="32"/>
          <w:szCs w:val="32"/>
        </w:rPr>
        <w:t>情况</w:t>
      </w:r>
    </w:p>
    <w:p w:rsidR="00EC2E39" w:rsidRPr="00C606F9" w:rsidRDefault="005805A9" w:rsidP="00EC2E39">
      <w:pPr>
        <w:spacing w:line="600" w:lineRule="exact"/>
        <w:ind w:firstLineChars="200" w:firstLine="640"/>
        <w:rPr>
          <w:rFonts w:asciiTheme="minorEastAsia" w:hAnsiTheme="minorEastAsia"/>
          <w:sz w:val="32"/>
          <w:szCs w:val="32"/>
        </w:rPr>
      </w:pPr>
      <w:r>
        <w:rPr>
          <w:rFonts w:asciiTheme="minorEastAsia" w:hAnsiTheme="minorEastAsia" w:hint="eastAsia"/>
          <w:sz w:val="32"/>
          <w:szCs w:val="32"/>
        </w:rPr>
        <w:t>乌鲁木齐县清水泉</w:t>
      </w:r>
      <w:r w:rsidR="00EC2E39" w:rsidRPr="000200F2">
        <w:rPr>
          <w:rFonts w:asciiTheme="minorEastAsia" w:hAnsiTheme="minorEastAsia" w:hint="eastAsia"/>
          <w:sz w:val="32"/>
          <w:szCs w:val="32"/>
        </w:rPr>
        <w:t>片区管理委员会</w:t>
      </w:r>
      <w:r>
        <w:rPr>
          <w:rFonts w:asciiTheme="minorEastAsia" w:hAnsiTheme="minorEastAsia" w:hint="eastAsia"/>
          <w:sz w:val="32"/>
          <w:szCs w:val="32"/>
        </w:rPr>
        <w:t>2016</w:t>
      </w:r>
      <w:r w:rsidR="00EC2E39" w:rsidRPr="000200F2">
        <w:rPr>
          <w:rFonts w:asciiTheme="minorEastAsia" w:hAnsiTheme="minorEastAsia" w:hint="eastAsia"/>
          <w:sz w:val="32"/>
          <w:szCs w:val="32"/>
        </w:rPr>
        <w:t>年预算总支出</w:t>
      </w:r>
      <w:r>
        <w:rPr>
          <w:rFonts w:asciiTheme="minorEastAsia" w:hAnsiTheme="minorEastAsia" w:hint="eastAsia"/>
          <w:sz w:val="32"/>
          <w:szCs w:val="32"/>
        </w:rPr>
        <w:t>72.09</w:t>
      </w:r>
      <w:r w:rsidR="00EC2E39" w:rsidRPr="000200F2">
        <w:rPr>
          <w:rFonts w:asciiTheme="minorEastAsia" w:hAnsiTheme="minorEastAsia" w:hint="eastAsia"/>
          <w:sz w:val="32"/>
          <w:szCs w:val="32"/>
        </w:rPr>
        <w:t>万元，</w:t>
      </w:r>
      <w:r>
        <w:rPr>
          <w:rFonts w:asciiTheme="minorEastAsia" w:hAnsiTheme="minorEastAsia" w:hint="eastAsia"/>
          <w:sz w:val="32"/>
          <w:szCs w:val="32"/>
        </w:rPr>
        <w:t>2015年单位未成立。</w:t>
      </w:r>
    </w:p>
    <w:p w:rsidR="00C9121C" w:rsidRDefault="00090648" w:rsidP="00C9121C">
      <w:pPr>
        <w:rPr>
          <w:rFonts w:asciiTheme="minorEastAsia" w:hAnsiTheme="minorEastAsia" w:hint="eastAsia"/>
          <w:sz w:val="32"/>
          <w:szCs w:val="32"/>
        </w:rPr>
      </w:pPr>
      <w:r w:rsidRPr="000200F2">
        <w:rPr>
          <w:rFonts w:asciiTheme="minorEastAsia" w:hAnsiTheme="minorEastAsia" w:cs="宋体"/>
          <w:b/>
          <w:kern w:val="0"/>
          <w:sz w:val="32"/>
          <w:szCs w:val="32"/>
        </w:rPr>
        <w:t>三、机关运行经费安排情况</w:t>
      </w:r>
      <w:r w:rsidRPr="000200F2">
        <w:rPr>
          <w:rFonts w:asciiTheme="minorEastAsia" w:hAnsiTheme="minorEastAsia" w:cs="宋体"/>
          <w:b/>
          <w:kern w:val="0"/>
          <w:sz w:val="32"/>
          <w:szCs w:val="32"/>
        </w:rPr>
        <w:br/>
      </w:r>
      <w:r w:rsidR="005805A9">
        <w:rPr>
          <w:rFonts w:asciiTheme="minorEastAsia" w:hAnsiTheme="minorEastAsia" w:hint="eastAsia"/>
          <w:sz w:val="32"/>
          <w:szCs w:val="32"/>
        </w:rPr>
        <w:t>2016</w:t>
      </w:r>
      <w:r w:rsidR="00EC2E39" w:rsidRPr="000200F2">
        <w:rPr>
          <w:rFonts w:asciiTheme="minorEastAsia" w:hAnsiTheme="minorEastAsia" w:hint="eastAsia"/>
          <w:sz w:val="32"/>
          <w:szCs w:val="32"/>
        </w:rPr>
        <w:t>年预算总金额</w:t>
      </w:r>
      <w:r w:rsidR="005805A9">
        <w:rPr>
          <w:rFonts w:asciiTheme="minorEastAsia" w:hAnsiTheme="minorEastAsia" w:hint="eastAsia"/>
          <w:sz w:val="32"/>
          <w:szCs w:val="32"/>
        </w:rPr>
        <w:t>72.09</w:t>
      </w:r>
      <w:r w:rsidR="00EC2E39" w:rsidRPr="000200F2">
        <w:rPr>
          <w:rFonts w:asciiTheme="minorEastAsia" w:hAnsiTheme="minorEastAsia" w:hint="eastAsia"/>
          <w:sz w:val="32"/>
          <w:szCs w:val="32"/>
        </w:rPr>
        <w:t>万元。</w:t>
      </w:r>
    </w:p>
    <w:p w:rsidR="005805A9" w:rsidRPr="000200F2" w:rsidRDefault="005805A9" w:rsidP="00EC2E39">
      <w:pPr>
        <w:rPr>
          <w:rFonts w:asciiTheme="minorEastAsia" w:hAnsiTheme="minorEastAsia"/>
          <w:sz w:val="32"/>
          <w:szCs w:val="32"/>
        </w:rPr>
      </w:pPr>
      <w:r>
        <w:rPr>
          <w:rFonts w:asciiTheme="minorEastAsia" w:hAnsiTheme="minorEastAsia" w:hint="eastAsia"/>
          <w:sz w:val="32"/>
          <w:szCs w:val="32"/>
        </w:rPr>
        <w:t>基本支出33.89万元，其中工资福利支出14.64万元，商品和服务支出19.25万元</w:t>
      </w:r>
      <w:r w:rsidR="00C9121C">
        <w:rPr>
          <w:rFonts w:asciiTheme="minorEastAsia" w:hAnsiTheme="minorEastAsia" w:hint="eastAsia"/>
          <w:sz w:val="32"/>
          <w:szCs w:val="32"/>
        </w:rPr>
        <w:t>（其中办公费2万元、水费0.5万元、电费0.5万元、邮电费0.1万元、差旅费1万元、会议费0.5万元、培训费0.5万元、公务接待费0.6万元、公用取暖费2.75万元、车辆维修费1.5万元，车辆燃油费9.3万元</w:t>
      </w:r>
      <w:r w:rsidR="00C9121C">
        <w:rPr>
          <w:rFonts w:asciiTheme="minorEastAsia" w:hAnsiTheme="minorEastAsia"/>
          <w:sz w:val="32"/>
          <w:szCs w:val="32"/>
        </w:rPr>
        <w:t>）</w:t>
      </w:r>
    </w:p>
    <w:p w:rsidR="00EC2E39" w:rsidRPr="00950ECB" w:rsidRDefault="00090648" w:rsidP="00950ECB">
      <w:pPr>
        <w:widowControl/>
        <w:ind w:left="161" w:hangingChars="50" w:hanging="161"/>
        <w:jc w:val="left"/>
        <w:rPr>
          <w:rFonts w:asciiTheme="minorEastAsia" w:hAnsiTheme="minorEastAsia" w:cs="宋体"/>
          <w:b/>
          <w:kern w:val="0"/>
          <w:sz w:val="32"/>
          <w:szCs w:val="32"/>
        </w:rPr>
      </w:pPr>
      <w:r w:rsidRPr="00950ECB">
        <w:rPr>
          <w:rFonts w:asciiTheme="minorEastAsia" w:hAnsiTheme="minorEastAsia" w:cs="宋体"/>
          <w:b/>
          <w:kern w:val="0"/>
          <w:sz w:val="32"/>
          <w:szCs w:val="32"/>
        </w:rPr>
        <w:t>四、政府采购安排情况</w:t>
      </w:r>
      <w:r w:rsidR="00EC2E39" w:rsidRPr="00950ECB">
        <w:rPr>
          <w:rFonts w:asciiTheme="minorEastAsia" w:hAnsiTheme="minorEastAsia" w:cs="宋体" w:hint="eastAsia"/>
          <w:b/>
          <w:kern w:val="0"/>
          <w:sz w:val="32"/>
          <w:szCs w:val="32"/>
        </w:rPr>
        <w:t xml:space="preserve"> </w:t>
      </w:r>
    </w:p>
    <w:p w:rsidR="00EC2E39" w:rsidRPr="000200F2" w:rsidRDefault="00EC2E39" w:rsidP="00EC2E39">
      <w:pPr>
        <w:widowControl/>
        <w:ind w:left="160" w:hangingChars="50" w:hanging="160"/>
        <w:jc w:val="left"/>
        <w:rPr>
          <w:rFonts w:asciiTheme="minorEastAsia" w:hAnsiTheme="minorEastAsia" w:cs="宋体"/>
          <w:kern w:val="0"/>
          <w:sz w:val="32"/>
          <w:szCs w:val="32"/>
        </w:rPr>
      </w:pPr>
      <w:r w:rsidRPr="000200F2">
        <w:rPr>
          <w:rFonts w:asciiTheme="minorEastAsia" w:hAnsiTheme="minorEastAsia" w:cs="宋体" w:hint="eastAsia"/>
          <w:kern w:val="0"/>
          <w:sz w:val="32"/>
          <w:szCs w:val="32"/>
        </w:rPr>
        <w:t>本年度未安排政府采购。</w:t>
      </w:r>
    </w:p>
    <w:p w:rsidR="00EC2E39" w:rsidRPr="000200F2" w:rsidRDefault="00090648" w:rsidP="000200F2">
      <w:pPr>
        <w:widowControl/>
        <w:ind w:left="161" w:hangingChars="50" w:hanging="161"/>
        <w:jc w:val="left"/>
        <w:rPr>
          <w:rFonts w:asciiTheme="minorEastAsia" w:hAnsiTheme="minorEastAsia" w:cs="宋体"/>
          <w:b/>
          <w:kern w:val="0"/>
          <w:sz w:val="32"/>
          <w:szCs w:val="32"/>
        </w:rPr>
      </w:pPr>
      <w:r w:rsidRPr="000200F2">
        <w:rPr>
          <w:rFonts w:asciiTheme="minorEastAsia" w:hAnsiTheme="minorEastAsia" w:cs="宋体"/>
          <w:b/>
          <w:kern w:val="0"/>
          <w:sz w:val="32"/>
          <w:szCs w:val="32"/>
        </w:rPr>
        <w:t>五、名词解释</w:t>
      </w:r>
    </w:p>
    <w:p w:rsidR="0039635A" w:rsidRPr="000200F2" w:rsidRDefault="0039635A" w:rsidP="0039635A">
      <w:pPr>
        <w:ind w:firstLine="645"/>
        <w:jc w:val="left"/>
        <w:rPr>
          <w:rFonts w:asciiTheme="minorEastAsia" w:hAnsiTheme="minorEastAsia"/>
          <w:sz w:val="32"/>
          <w:szCs w:val="32"/>
        </w:rPr>
      </w:pPr>
      <w:r w:rsidRPr="000200F2">
        <w:rPr>
          <w:rFonts w:asciiTheme="minorEastAsia" w:hAnsiTheme="minorEastAsia" w:hint="eastAsia"/>
          <w:b/>
          <w:sz w:val="32"/>
          <w:szCs w:val="32"/>
        </w:rPr>
        <w:t>公共财政</w:t>
      </w:r>
      <w:r w:rsidRPr="000200F2">
        <w:rPr>
          <w:rFonts w:asciiTheme="minorEastAsia" w:hAnsiTheme="minorEastAsia" w:hint="eastAsia"/>
          <w:sz w:val="32"/>
          <w:szCs w:val="32"/>
        </w:rPr>
        <w:t>：指在市场经济条件下，为满足社会公共需要而进行的政府收支活动模式或财政运行机制模式，国家以社会和经济管理者的身份参与社会分配，并将收入用于政府公共活动支出，为社会提供公共产品和公共服务，以保障和改善民生，保证国家机器正常运转，维护国家安全和社会秩序，促进经济社会协调发展。</w:t>
      </w:r>
    </w:p>
    <w:p w:rsidR="0039635A" w:rsidRPr="000200F2" w:rsidRDefault="0039635A" w:rsidP="0039635A">
      <w:pPr>
        <w:ind w:firstLine="645"/>
        <w:jc w:val="left"/>
        <w:rPr>
          <w:rFonts w:asciiTheme="minorEastAsia" w:hAnsiTheme="minorEastAsia"/>
          <w:sz w:val="32"/>
          <w:szCs w:val="32"/>
        </w:rPr>
      </w:pPr>
      <w:r w:rsidRPr="000200F2">
        <w:rPr>
          <w:rFonts w:asciiTheme="minorEastAsia" w:hAnsiTheme="minorEastAsia" w:hint="eastAsia"/>
          <w:b/>
          <w:sz w:val="32"/>
          <w:szCs w:val="32"/>
        </w:rPr>
        <w:t>一般公共预算</w:t>
      </w:r>
      <w:r w:rsidRPr="000200F2">
        <w:rPr>
          <w:rFonts w:asciiTheme="minorEastAsia" w:hAnsiTheme="minorEastAsia" w:hint="eastAsia"/>
          <w:sz w:val="32"/>
          <w:szCs w:val="32"/>
        </w:rPr>
        <w:t>：原公共财政预算，按照新《预算法》要求，更名为一般公共预算。是指政府凭借国家政治权力，以社会管理者身份筹集以税收为主体的财政收入，用于保障和</w:t>
      </w:r>
      <w:r w:rsidRPr="000200F2">
        <w:rPr>
          <w:rFonts w:asciiTheme="minorEastAsia" w:hAnsiTheme="minorEastAsia" w:hint="eastAsia"/>
          <w:sz w:val="32"/>
          <w:szCs w:val="32"/>
        </w:rPr>
        <w:lastRenderedPageBreak/>
        <w:t>改善民生、维持国家行政职能正常行使、保障国家安全等方面的收支预算。地方公共财政收入预算包括：地方本级预算收入、转移性收入、调入预算稳定调节基金、地方政府债券收入和上年结余收入。地方公共财政支出预算编制内容包括地方本级预算支出、转移性支出、地方政府债券还本支出、安排预算稳定调节基金、增设预算周转金和年终结余。</w:t>
      </w:r>
    </w:p>
    <w:p w:rsidR="0039635A" w:rsidRPr="000200F2" w:rsidRDefault="0039635A" w:rsidP="0039635A">
      <w:pPr>
        <w:ind w:firstLine="645"/>
        <w:jc w:val="left"/>
        <w:rPr>
          <w:rFonts w:asciiTheme="minorEastAsia" w:hAnsiTheme="minorEastAsia"/>
          <w:sz w:val="32"/>
          <w:szCs w:val="32"/>
        </w:rPr>
      </w:pPr>
      <w:r w:rsidRPr="000200F2">
        <w:rPr>
          <w:rFonts w:asciiTheme="minorEastAsia" w:hAnsiTheme="minorEastAsia" w:hint="eastAsia"/>
          <w:b/>
          <w:sz w:val="32"/>
          <w:szCs w:val="32"/>
        </w:rPr>
        <w:t>部门预算</w:t>
      </w:r>
      <w:r w:rsidRPr="000200F2">
        <w:rPr>
          <w:rFonts w:asciiTheme="minorEastAsia" w:hAnsiTheme="minorEastAsia" w:hint="eastAsia"/>
          <w:sz w:val="32"/>
          <w:szCs w:val="32"/>
        </w:rPr>
        <w:t>：指部门依据国家有关政策规定及其行使职能的需要，由基层预算单位编制，逐级上报，经各级政府财政部门汇总审核后提交立法机关依法批准的涵盖部门各项收支的综合财政计划。主要包括部门收入、基本支出和项目支出预算等内容。通俗地讲就是“一个部门、一本预算”。</w:t>
      </w:r>
    </w:p>
    <w:p w:rsidR="0039635A" w:rsidRPr="000200F2" w:rsidRDefault="0039635A" w:rsidP="0039635A">
      <w:pPr>
        <w:ind w:firstLine="645"/>
        <w:jc w:val="left"/>
        <w:rPr>
          <w:rFonts w:asciiTheme="minorEastAsia" w:hAnsiTheme="minorEastAsia"/>
          <w:sz w:val="32"/>
          <w:szCs w:val="32"/>
        </w:rPr>
      </w:pPr>
      <w:r w:rsidRPr="000200F2">
        <w:rPr>
          <w:rFonts w:asciiTheme="minorEastAsia" w:hAnsiTheme="minorEastAsia" w:hint="eastAsia"/>
          <w:b/>
          <w:sz w:val="32"/>
          <w:szCs w:val="32"/>
        </w:rPr>
        <w:t>“三公”经费，</w:t>
      </w:r>
      <w:r w:rsidRPr="000200F2">
        <w:rPr>
          <w:rFonts w:asciiTheme="minorEastAsia" w:hAnsiTheme="minorEastAsia" w:hint="eastAsia"/>
          <w:sz w:val="32"/>
          <w:szCs w:val="32"/>
        </w:rPr>
        <w:t>指政府部门人员因公出国（境）经费、公务车购置及运行费、公务招待费产生的消费。</w:t>
      </w:r>
    </w:p>
    <w:p w:rsidR="0039635A" w:rsidRPr="000200F2" w:rsidRDefault="00090648" w:rsidP="000200F2">
      <w:pPr>
        <w:rPr>
          <w:rFonts w:asciiTheme="minorEastAsia" w:hAnsiTheme="minorEastAsia"/>
          <w:sz w:val="32"/>
          <w:szCs w:val="32"/>
        </w:rPr>
      </w:pPr>
      <w:r w:rsidRPr="000200F2">
        <w:rPr>
          <w:rFonts w:asciiTheme="minorEastAsia" w:hAnsiTheme="minorEastAsia" w:cs="宋体"/>
          <w:b/>
          <w:kern w:val="0"/>
          <w:sz w:val="32"/>
          <w:szCs w:val="32"/>
        </w:rPr>
        <w:t>六、三公经费增减变化原因等说明信息</w:t>
      </w:r>
      <w:r w:rsidRPr="000200F2">
        <w:rPr>
          <w:rFonts w:asciiTheme="minorEastAsia" w:hAnsiTheme="minorEastAsia" w:cs="宋体"/>
          <w:b/>
          <w:kern w:val="0"/>
          <w:sz w:val="32"/>
          <w:szCs w:val="32"/>
        </w:rPr>
        <w:br/>
      </w:r>
      <w:r w:rsidR="008862EF">
        <w:rPr>
          <w:rFonts w:asciiTheme="minorEastAsia" w:hAnsiTheme="minorEastAsia" w:hint="eastAsia"/>
          <w:sz w:val="32"/>
          <w:szCs w:val="32"/>
        </w:rPr>
        <w:t>2016</w:t>
      </w:r>
      <w:r w:rsidR="0039635A" w:rsidRPr="000200F2">
        <w:rPr>
          <w:rFonts w:asciiTheme="minorEastAsia" w:hAnsiTheme="minorEastAsia" w:hint="eastAsia"/>
          <w:sz w:val="32"/>
          <w:szCs w:val="32"/>
        </w:rPr>
        <w:t>年“三公”经费车辆运行经费预算数</w:t>
      </w:r>
      <w:r w:rsidR="008862EF">
        <w:rPr>
          <w:rFonts w:asciiTheme="minorEastAsia" w:hAnsiTheme="minorEastAsia" w:hint="eastAsia"/>
          <w:sz w:val="32"/>
          <w:szCs w:val="32"/>
        </w:rPr>
        <w:t>10.8万元，公务接待费0.6万元</w:t>
      </w:r>
      <w:r w:rsidR="0039635A" w:rsidRPr="000200F2">
        <w:rPr>
          <w:rFonts w:asciiTheme="minorEastAsia" w:hAnsiTheme="minorEastAsia" w:hint="eastAsia"/>
          <w:sz w:val="32"/>
          <w:szCs w:val="32"/>
        </w:rPr>
        <w:t>，</w:t>
      </w:r>
      <w:r w:rsidR="008862EF">
        <w:rPr>
          <w:rFonts w:asciiTheme="minorEastAsia" w:hAnsiTheme="minorEastAsia" w:hint="eastAsia"/>
          <w:sz w:val="32"/>
          <w:szCs w:val="32"/>
        </w:rPr>
        <w:t>2015年单位未成立，无法对比上年数据。</w:t>
      </w:r>
    </w:p>
    <w:p w:rsidR="0039635A" w:rsidRPr="000200F2" w:rsidRDefault="0039635A" w:rsidP="0039635A">
      <w:pPr>
        <w:snapToGrid w:val="0"/>
        <w:spacing w:line="600" w:lineRule="exact"/>
        <w:ind w:firstLineChars="200" w:firstLine="640"/>
        <w:rPr>
          <w:rFonts w:asciiTheme="minorEastAsia" w:hAnsiTheme="minorEastAsia"/>
          <w:sz w:val="32"/>
          <w:szCs w:val="32"/>
        </w:rPr>
      </w:pPr>
    </w:p>
    <w:p w:rsidR="00090648" w:rsidRPr="000200F2" w:rsidRDefault="00090648" w:rsidP="0039635A">
      <w:pPr>
        <w:widowControl/>
        <w:ind w:left="160" w:hangingChars="50" w:hanging="160"/>
        <w:jc w:val="left"/>
        <w:rPr>
          <w:rFonts w:asciiTheme="minorEastAsia" w:hAnsiTheme="minorEastAsia"/>
          <w:sz w:val="32"/>
          <w:szCs w:val="32"/>
        </w:rPr>
      </w:pPr>
    </w:p>
    <w:sectPr w:rsidR="00090648" w:rsidRPr="000200F2" w:rsidSect="008A5C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EBC" w:rsidRDefault="008A6EBC" w:rsidP="00090648">
      <w:r>
        <w:separator/>
      </w:r>
    </w:p>
  </w:endnote>
  <w:endnote w:type="continuationSeparator" w:id="0">
    <w:p w:rsidR="008A6EBC" w:rsidRDefault="008A6EBC" w:rsidP="000906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EBC" w:rsidRDefault="008A6EBC" w:rsidP="00090648">
      <w:r>
        <w:separator/>
      </w:r>
    </w:p>
  </w:footnote>
  <w:footnote w:type="continuationSeparator" w:id="0">
    <w:p w:rsidR="008A6EBC" w:rsidRDefault="008A6EBC" w:rsidP="000906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648"/>
    <w:rsid w:val="000200F2"/>
    <w:rsid w:val="00090648"/>
    <w:rsid w:val="000E34B6"/>
    <w:rsid w:val="0039635A"/>
    <w:rsid w:val="003E1F9A"/>
    <w:rsid w:val="004A5719"/>
    <w:rsid w:val="005805A9"/>
    <w:rsid w:val="008862EF"/>
    <w:rsid w:val="008A6EBC"/>
    <w:rsid w:val="009136D0"/>
    <w:rsid w:val="00923018"/>
    <w:rsid w:val="00950ECB"/>
    <w:rsid w:val="00B60EC6"/>
    <w:rsid w:val="00BE2960"/>
    <w:rsid w:val="00C606F9"/>
    <w:rsid w:val="00C9121C"/>
    <w:rsid w:val="00D94811"/>
    <w:rsid w:val="00EC2E39"/>
    <w:rsid w:val="00EF60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0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0648"/>
    <w:rPr>
      <w:sz w:val="18"/>
      <w:szCs w:val="18"/>
    </w:rPr>
  </w:style>
  <w:style w:type="paragraph" w:styleId="a4">
    <w:name w:val="footer"/>
    <w:basedOn w:val="a"/>
    <w:link w:val="Char0"/>
    <w:uiPriority w:val="99"/>
    <w:semiHidden/>
    <w:unhideWhenUsed/>
    <w:rsid w:val="000906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06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4E54-9C83-4589-AC1A-8A0AF999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52</cp:revision>
  <dcterms:created xsi:type="dcterms:W3CDTF">2017-11-27T03:12:00Z</dcterms:created>
  <dcterms:modified xsi:type="dcterms:W3CDTF">2017-12-06T03:53:00Z</dcterms:modified>
</cp:coreProperties>
</file>