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9923"/>
        </w:tabs>
        <w:snapToGrid w:val="0"/>
        <w:jc w:val="center"/>
        <w:rPr>
          <w:rFonts w:ascii="黑体" w:hAnsi="黑体" w:eastAsia="黑体" w:cs="Times New Roman"/>
          <w:color w:val="000000"/>
          <w:sz w:val="44"/>
          <w:szCs w:val="44"/>
        </w:rPr>
      </w:pPr>
      <w:r>
        <w:rPr>
          <w:rFonts w:hint="eastAsia" w:ascii="黑体" w:hAnsi="黑体" w:eastAsia="黑体" w:cs="黑体"/>
          <w:color w:val="000000"/>
          <w:sz w:val="44"/>
          <w:szCs w:val="44"/>
          <w:lang w:eastAsia="zh-CN"/>
        </w:rPr>
        <w:t>乌鲁木齐县水西沟卫生院</w:t>
      </w:r>
      <w:r>
        <w:rPr>
          <w:rFonts w:hint="eastAsia" w:ascii="黑体" w:hAnsi="黑体" w:eastAsia="黑体" w:cs="黑体"/>
          <w:color w:val="000000"/>
          <w:sz w:val="44"/>
          <w:szCs w:val="44"/>
        </w:rPr>
        <w:t>201</w:t>
      </w:r>
      <w:r>
        <w:rPr>
          <w:rFonts w:hint="eastAsia" w:ascii="黑体" w:hAnsi="黑体" w:eastAsia="黑体" w:cs="黑体"/>
          <w:color w:val="000000"/>
          <w:sz w:val="44"/>
          <w:szCs w:val="44"/>
          <w:lang w:val="en-US" w:eastAsia="zh-CN"/>
        </w:rPr>
        <w:t>7</w:t>
      </w:r>
      <w:r>
        <w:rPr>
          <w:rFonts w:hint="eastAsia" w:ascii="黑体" w:hAnsi="黑体" w:eastAsia="黑体" w:cs="黑体"/>
          <w:color w:val="000000"/>
          <w:sz w:val="44"/>
          <w:szCs w:val="44"/>
        </w:rPr>
        <w:t>年度部门</w:t>
      </w:r>
      <w:r>
        <w:rPr>
          <w:rFonts w:hint="eastAsia" w:ascii="黑体" w:hAnsi="黑体" w:eastAsia="黑体" w:cs="黑体"/>
          <w:color w:val="000000"/>
          <w:sz w:val="44"/>
          <w:szCs w:val="44"/>
          <w:lang w:eastAsia="zh-CN"/>
        </w:rPr>
        <w:t>预</w:t>
      </w:r>
      <w:r>
        <w:rPr>
          <w:rFonts w:hint="eastAsia" w:ascii="黑体" w:hAnsi="黑体" w:eastAsia="黑体" w:cs="黑体"/>
          <w:color w:val="000000"/>
          <w:sz w:val="44"/>
          <w:szCs w:val="44"/>
        </w:rPr>
        <w:t>算情况说明</w:t>
      </w:r>
    </w:p>
    <w:p>
      <w:pPr>
        <w:snapToGrid w:val="0"/>
        <w:rPr>
          <w:rFonts w:hint="eastAsia" w:eastAsia="黑体" w:cs="Times New Roman"/>
          <w:bCs/>
          <w:sz w:val="30"/>
          <w:szCs w:val="32"/>
        </w:rPr>
      </w:pPr>
      <w:r>
        <w:rPr>
          <w:rFonts w:hint="eastAsia" w:eastAsia="黑体" w:cs="Times New Roman"/>
          <w:bCs/>
          <w:sz w:val="30"/>
          <w:szCs w:val="32"/>
        </w:rPr>
        <w:t xml:space="preserve">    </w:t>
      </w:r>
    </w:p>
    <w:p>
      <w:pPr>
        <w:numPr>
          <w:ilvl w:val="0"/>
          <w:numId w:val="1"/>
        </w:numPr>
        <w:rPr>
          <w:rFonts w:hint="eastAsia" w:asciiTheme="minorEastAsia" w:hAnsiTheme="minorEastAsia" w:eastAsiaTheme="minorEastAsia" w:cstheme="minorEastAsia"/>
          <w:b w:val="0"/>
          <w:bCs w:val="0"/>
          <w:kern w:val="0"/>
          <w:sz w:val="28"/>
          <w:szCs w:val="28"/>
          <w:lang w:val="en-US" w:eastAsia="zh-CN" w:bidi="ar"/>
        </w:rPr>
      </w:pPr>
      <w:r>
        <w:rPr>
          <w:rFonts w:hint="eastAsia" w:asciiTheme="minorEastAsia" w:hAnsiTheme="minorEastAsia" w:eastAsiaTheme="minorEastAsia" w:cstheme="minorEastAsia"/>
          <w:b w:val="0"/>
          <w:bCs w:val="0"/>
          <w:kern w:val="0"/>
          <w:sz w:val="28"/>
          <w:szCs w:val="28"/>
          <w:lang w:val="en-US" w:eastAsia="zh-CN" w:bidi="ar"/>
        </w:rPr>
        <w:t>部门主要职责及机构设置情况</w:t>
      </w:r>
    </w:p>
    <w:p>
      <w:pPr>
        <w:numPr>
          <w:ilvl w:val="0"/>
          <w:numId w:val="0"/>
        </w:numPr>
        <w:ind w:firstLine="560" w:firstLineChars="200"/>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rPr>
        <w:t>水西沟卫生院是一所非营利性公立综合卫生院，开设内儿科门诊、外妇科门诊、哈萨克医特色门诊、结核病防治门诊、临床综合科、中医针灸推拿科、口腔科、放射科、超声科、检验科、公共卫生科、门诊药房、中心药房、中草药药房等科室。并建立了住院部，核定床位35余张，实际开放50张住院床位</w:t>
      </w:r>
      <w:r>
        <w:rPr>
          <w:rFonts w:hint="eastAsia" w:asciiTheme="minorEastAsia" w:hAnsiTheme="minorEastAsia" w:eastAsiaTheme="minorEastAsia" w:cstheme="minorEastAsia"/>
          <w:b w:val="0"/>
          <w:bCs w:val="0"/>
          <w:sz w:val="28"/>
          <w:szCs w:val="28"/>
          <w:lang w:val="en-US" w:eastAsia="zh-CN"/>
        </w:rPr>
        <w:t>.</w:t>
      </w:r>
    </w:p>
    <w:p>
      <w:pPr>
        <w:spacing w:line="600" w:lineRule="exact"/>
        <w:ind w:firstLine="560" w:firstLineChars="200"/>
        <w:jc w:val="left"/>
        <w:rPr>
          <w:rFonts w:asciiTheme="minorEastAsia" w:hAnsiTheme="minorEastAsia" w:eastAsiaTheme="minorEastAsia" w:cstheme="minorEastAsia"/>
          <w:sz w:val="28"/>
          <w:szCs w:val="28"/>
        </w:rPr>
      </w:pPr>
      <w:r>
        <w:rPr>
          <w:rFonts w:hint="eastAsia" w:asciiTheme="minorEastAsia" w:hAnsiTheme="minorEastAsia" w:eastAsiaTheme="minorEastAsia" w:cstheme="minorEastAsia"/>
          <w:b w:val="0"/>
          <w:bCs w:val="0"/>
          <w:sz w:val="28"/>
          <w:szCs w:val="28"/>
          <w:lang w:eastAsia="zh-CN"/>
        </w:rPr>
        <w:t>水西沟卫生院为全</w:t>
      </w:r>
      <w:r>
        <w:rPr>
          <w:rFonts w:hint="eastAsia" w:asciiTheme="minorEastAsia" w:hAnsiTheme="minorEastAsia" w:eastAsiaTheme="minorEastAsia" w:cstheme="minorEastAsia"/>
          <w:b w:val="0"/>
          <w:bCs w:val="0"/>
          <w:sz w:val="28"/>
          <w:szCs w:val="28"/>
        </w:rPr>
        <w:t>额拨款预算的事业单位，单位</w:t>
      </w:r>
      <w:r>
        <w:rPr>
          <w:rFonts w:hint="eastAsia" w:asciiTheme="minorEastAsia" w:hAnsiTheme="minorEastAsia" w:eastAsiaTheme="minorEastAsia" w:cstheme="minorEastAsia"/>
          <w:b w:val="0"/>
          <w:bCs w:val="0"/>
          <w:sz w:val="28"/>
          <w:szCs w:val="28"/>
          <w:lang w:eastAsia="zh-CN"/>
        </w:rPr>
        <w:t>实有编制</w:t>
      </w:r>
      <w:r>
        <w:rPr>
          <w:rFonts w:hint="eastAsia" w:asciiTheme="minorEastAsia" w:hAnsiTheme="minorEastAsia" w:eastAsiaTheme="minorEastAsia" w:cstheme="minorEastAsia"/>
          <w:b w:val="0"/>
          <w:bCs w:val="0"/>
          <w:sz w:val="28"/>
          <w:szCs w:val="28"/>
          <w:lang w:val="en-US" w:eastAsia="zh-CN"/>
        </w:rPr>
        <w:t>48人，</w:t>
      </w:r>
      <w:r>
        <w:rPr>
          <w:rFonts w:hint="eastAsia" w:asciiTheme="minorEastAsia" w:hAnsiTheme="minorEastAsia" w:eastAsiaTheme="minorEastAsia" w:cstheme="minorEastAsia"/>
          <w:b w:val="0"/>
          <w:bCs w:val="0"/>
          <w:sz w:val="28"/>
          <w:szCs w:val="28"/>
        </w:rPr>
        <w:t>在编</w:t>
      </w:r>
      <w:r>
        <w:rPr>
          <w:rFonts w:hint="eastAsia" w:asciiTheme="minorEastAsia" w:hAnsiTheme="minorEastAsia" w:eastAsiaTheme="minorEastAsia" w:cstheme="minorEastAsia"/>
          <w:b w:val="0"/>
          <w:bCs w:val="0"/>
          <w:sz w:val="28"/>
          <w:szCs w:val="28"/>
          <w:lang w:eastAsia="zh-CN"/>
        </w:rPr>
        <w:t>在职</w:t>
      </w:r>
      <w:r>
        <w:rPr>
          <w:rFonts w:hint="eastAsia" w:asciiTheme="minorEastAsia" w:hAnsiTheme="minorEastAsia" w:eastAsiaTheme="minorEastAsia" w:cstheme="minorEastAsia"/>
          <w:b w:val="0"/>
          <w:bCs w:val="0"/>
          <w:sz w:val="28"/>
          <w:szCs w:val="28"/>
        </w:rPr>
        <w:t>人员60人，其中包括水西沟卫生院45人，乌鲁木齐县人民医院15人</w:t>
      </w:r>
      <w:r>
        <w:rPr>
          <w:rFonts w:hint="eastAsia" w:asciiTheme="minorEastAsia" w:hAnsiTheme="minorEastAsia" w:eastAsiaTheme="minorEastAsia" w:cstheme="minorEastAsia"/>
          <w:b w:val="0"/>
          <w:bCs w:val="0"/>
          <w:sz w:val="28"/>
          <w:szCs w:val="28"/>
          <w:lang w:eastAsia="zh-CN"/>
        </w:rPr>
        <w:t>，</w:t>
      </w:r>
      <w:r>
        <w:rPr>
          <w:rFonts w:hint="eastAsia" w:asciiTheme="minorEastAsia" w:hAnsiTheme="minorEastAsia" w:eastAsiaTheme="minorEastAsia" w:cstheme="minorEastAsia"/>
          <w:sz w:val="28"/>
          <w:szCs w:val="28"/>
        </w:rPr>
        <w:t>退休人员3人。我单位全部为120救护车，车辆编制3辆，实际使用5辆。</w:t>
      </w:r>
    </w:p>
    <w:p>
      <w:pPr>
        <w:spacing w:line="600" w:lineRule="exact"/>
        <w:ind w:firstLine="560" w:firstLineChars="200"/>
        <w:jc w:val="left"/>
        <w:rPr>
          <w:rFonts w:hint="eastAsia" w:asciiTheme="minorEastAsia" w:hAnsiTheme="minorEastAsia" w:eastAsiaTheme="minorEastAsia" w:cstheme="minorEastAsia"/>
          <w:b w:val="0"/>
          <w:bCs w:val="0"/>
          <w:sz w:val="28"/>
          <w:szCs w:val="28"/>
        </w:rPr>
      </w:pPr>
    </w:p>
    <w:p>
      <w:pPr>
        <w:numPr>
          <w:ilvl w:val="0"/>
          <w:numId w:val="0"/>
        </w:numPr>
        <w:spacing w:line="600" w:lineRule="exact"/>
        <w:jc w:val="left"/>
        <w:rPr>
          <w:rFonts w:hint="eastAsia" w:asciiTheme="minorEastAsia" w:hAnsiTheme="minorEastAsia" w:eastAsiaTheme="minorEastAsia" w:cstheme="minorEastAsia"/>
          <w:kern w:val="0"/>
          <w:sz w:val="28"/>
          <w:szCs w:val="28"/>
          <w:lang w:val="en-US" w:eastAsia="zh-CN" w:bidi="ar"/>
        </w:rPr>
      </w:pPr>
      <w:r>
        <w:rPr>
          <w:rFonts w:hint="eastAsia" w:asciiTheme="minorEastAsia" w:hAnsiTheme="minorEastAsia" w:eastAsiaTheme="minorEastAsia" w:cstheme="minorEastAsia"/>
          <w:kern w:val="0"/>
          <w:sz w:val="28"/>
          <w:szCs w:val="28"/>
          <w:lang w:val="en-US" w:eastAsia="zh-CN" w:bidi="ar"/>
        </w:rPr>
        <w:t>二：预算收支增减变化情况</w:t>
      </w:r>
    </w:p>
    <w:p>
      <w:pPr>
        <w:numPr>
          <w:ilvl w:val="0"/>
          <w:numId w:val="0"/>
        </w:numPr>
        <w:spacing w:line="600" w:lineRule="exact"/>
        <w:ind w:firstLine="560" w:firstLineChars="200"/>
        <w:jc w:val="left"/>
        <w:rPr>
          <w:rFonts w:hint="eastAsia" w:asciiTheme="minorEastAsia" w:hAnsiTheme="minorEastAsia" w:eastAsiaTheme="minorEastAsia" w:cstheme="minorEastAsia"/>
          <w:kern w:val="0"/>
          <w:sz w:val="28"/>
          <w:szCs w:val="28"/>
          <w:lang w:val="en-US" w:eastAsia="zh-CN" w:bidi="ar"/>
        </w:rPr>
      </w:pPr>
      <w:r>
        <w:rPr>
          <w:rFonts w:hint="eastAsia" w:asciiTheme="minorEastAsia" w:hAnsiTheme="minorEastAsia" w:eastAsiaTheme="minorEastAsia" w:cstheme="minorEastAsia"/>
          <w:kern w:val="0"/>
          <w:sz w:val="28"/>
          <w:szCs w:val="28"/>
          <w:lang w:val="en-US" w:eastAsia="zh-CN" w:bidi="ar"/>
        </w:rPr>
        <w:t>2017年预算收支687.24万元（其中工资福利支出568.28万元、商品和服务支出60.84万元、对个人和家庭支出58.12万元）</w:t>
      </w:r>
    </w:p>
    <w:p>
      <w:pPr>
        <w:numPr>
          <w:ilvl w:val="0"/>
          <w:numId w:val="0"/>
        </w:numPr>
        <w:spacing w:line="600" w:lineRule="exact"/>
        <w:ind w:firstLine="560" w:firstLineChars="200"/>
        <w:jc w:val="left"/>
        <w:rPr>
          <w:rFonts w:hint="eastAsia" w:asciiTheme="minorEastAsia" w:hAnsiTheme="minorEastAsia" w:eastAsiaTheme="minorEastAsia" w:cstheme="minorEastAsia"/>
          <w:kern w:val="0"/>
          <w:sz w:val="28"/>
          <w:szCs w:val="28"/>
          <w:lang w:val="en-US" w:eastAsia="zh-CN" w:bidi="ar"/>
        </w:rPr>
      </w:pPr>
      <w:r>
        <w:rPr>
          <w:rFonts w:hint="eastAsia" w:asciiTheme="minorEastAsia" w:hAnsiTheme="minorEastAsia" w:eastAsiaTheme="minorEastAsia" w:cstheme="minorEastAsia"/>
          <w:kern w:val="0"/>
          <w:sz w:val="28"/>
          <w:szCs w:val="28"/>
          <w:lang w:val="en-US" w:eastAsia="zh-CN" w:bidi="ar"/>
        </w:rPr>
        <w:t>2016年预算收支452.49万元（其中工资福利支出341.66万元、商品和服务支出57.76万元、对个人和家庭支出53.07万元）</w:t>
      </w:r>
    </w:p>
    <w:p>
      <w:pPr>
        <w:numPr>
          <w:ilvl w:val="0"/>
          <w:numId w:val="0"/>
        </w:numPr>
        <w:spacing w:line="600" w:lineRule="exact"/>
        <w:ind w:firstLine="560" w:firstLineChars="200"/>
        <w:jc w:val="left"/>
        <w:rPr>
          <w:rFonts w:hint="eastAsia" w:asciiTheme="minorEastAsia" w:hAnsiTheme="minorEastAsia" w:eastAsiaTheme="minorEastAsia" w:cstheme="minorEastAsia"/>
          <w:kern w:val="0"/>
          <w:sz w:val="28"/>
          <w:szCs w:val="28"/>
          <w:lang w:val="en-US" w:eastAsia="zh-CN" w:bidi="ar"/>
        </w:rPr>
      </w:pPr>
      <w:r>
        <w:rPr>
          <w:rFonts w:hint="eastAsia" w:asciiTheme="minorEastAsia" w:hAnsiTheme="minorEastAsia" w:eastAsiaTheme="minorEastAsia" w:cstheme="minorEastAsia"/>
          <w:kern w:val="0"/>
          <w:sz w:val="28"/>
          <w:szCs w:val="28"/>
          <w:lang w:val="en-US" w:eastAsia="zh-CN" w:bidi="ar"/>
        </w:rPr>
        <w:t>2017年比2016年预算收支增加234.75万元（其中工资福利支出增加226.62万元、商品和服务支出3.08万元、对个人和家庭支出5.05万元）</w:t>
      </w:r>
    </w:p>
    <w:p>
      <w:pPr>
        <w:numPr>
          <w:ilvl w:val="0"/>
          <w:numId w:val="2"/>
        </w:numPr>
        <w:spacing w:line="600" w:lineRule="exact"/>
        <w:ind w:left="480" w:hanging="560" w:hangingChars="200"/>
        <w:jc w:val="left"/>
        <w:rPr>
          <w:rFonts w:hint="eastAsia" w:asciiTheme="minorEastAsia" w:hAnsiTheme="minorEastAsia" w:eastAsiaTheme="minorEastAsia" w:cstheme="minorEastAsia"/>
          <w:kern w:val="0"/>
          <w:sz w:val="28"/>
          <w:szCs w:val="28"/>
          <w:lang w:val="en-US" w:eastAsia="zh-CN" w:bidi="ar"/>
        </w:rPr>
      </w:pPr>
      <w:r>
        <w:rPr>
          <w:rFonts w:hint="eastAsia" w:asciiTheme="minorEastAsia" w:hAnsiTheme="minorEastAsia" w:eastAsiaTheme="minorEastAsia" w:cstheme="minorEastAsia"/>
          <w:kern w:val="0"/>
          <w:sz w:val="28"/>
          <w:szCs w:val="28"/>
          <w:lang w:val="en-US" w:eastAsia="zh-CN" w:bidi="ar"/>
        </w:rPr>
        <w:t>机关运行经费安排情况</w:t>
      </w:r>
    </w:p>
    <w:p>
      <w:pPr>
        <w:numPr>
          <w:numId w:val="0"/>
        </w:numPr>
        <w:spacing w:line="600" w:lineRule="exact"/>
        <w:ind w:leftChars="-200"/>
        <w:jc w:val="left"/>
        <w:rPr>
          <w:rFonts w:hint="eastAsia" w:asciiTheme="minorEastAsia" w:hAnsiTheme="minorEastAsia" w:eastAsiaTheme="minorEastAsia" w:cstheme="minorEastAsia"/>
          <w:kern w:val="0"/>
          <w:sz w:val="28"/>
          <w:szCs w:val="28"/>
          <w:lang w:val="en-US" w:eastAsia="zh-CN" w:bidi="ar"/>
        </w:rPr>
      </w:pPr>
      <w:r>
        <w:rPr>
          <w:rFonts w:hint="eastAsia" w:asciiTheme="minorEastAsia" w:hAnsiTheme="minorEastAsia" w:eastAsiaTheme="minorEastAsia" w:cstheme="minorEastAsia"/>
          <w:kern w:val="0"/>
          <w:sz w:val="28"/>
          <w:szCs w:val="28"/>
          <w:lang w:val="en-US" w:eastAsia="zh-CN" w:bidi="ar"/>
        </w:rPr>
        <w:t>我单位是事业单位无机关运行经费</w:t>
      </w:r>
      <w:bookmarkStart w:id="0" w:name="_GoBack"/>
      <w:bookmarkEnd w:id="0"/>
    </w:p>
    <w:p>
      <w:pPr>
        <w:numPr>
          <w:ilvl w:val="0"/>
          <w:numId w:val="0"/>
        </w:numPr>
        <w:spacing w:line="600" w:lineRule="exact"/>
        <w:ind w:left="-139" w:leftChars="-66" w:firstLine="560" w:firstLineChars="200"/>
        <w:jc w:val="left"/>
        <w:rPr>
          <w:rFonts w:hint="eastAsia" w:asciiTheme="minorEastAsia" w:hAnsiTheme="minorEastAsia" w:eastAsiaTheme="minorEastAsia" w:cstheme="minorEastAsia"/>
          <w:kern w:val="0"/>
          <w:sz w:val="28"/>
          <w:szCs w:val="28"/>
          <w:lang w:val="en-US" w:eastAsia="zh-CN" w:bidi="ar"/>
        </w:rPr>
      </w:pPr>
      <w:r>
        <w:rPr>
          <w:rFonts w:hint="eastAsia" w:asciiTheme="minorEastAsia" w:hAnsiTheme="minorEastAsia" w:eastAsiaTheme="minorEastAsia" w:cstheme="minorEastAsia"/>
          <w:kern w:val="0"/>
          <w:sz w:val="28"/>
          <w:szCs w:val="28"/>
          <w:lang w:val="en-US" w:eastAsia="zh-CN" w:bidi="ar"/>
        </w:rPr>
        <w:t>四、政府采购安排情况</w:t>
      </w:r>
      <w:r>
        <w:rPr>
          <w:rFonts w:hint="eastAsia" w:asciiTheme="minorEastAsia" w:hAnsiTheme="minorEastAsia" w:eastAsiaTheme="minorEastAsia" w:cstheme="minorEastAsia"/>
          <w:kern w:val="0"/>
          <w:sz w:val="28"/>
          <w:szCs w:val="28"/>
          <w:lang w:val="en-US" w:eastAsia="zh-CN" w:bidi="ar"/>
        </w:rPr>
        <w:br w:type="textWrapping"/>
      </w:r>
      <w:r>
        <w:rPr>
          <w:rFonts w:hint="eastAsia" w:asciiTheme="minorEastAsia" w:hAnsiTheme="minorEastAsia" w:eastAsiaTheme="minorEastAsia" w:cstheme="minorEastAsia"/>
          <w:b/>
          <w:bCs/>
          <w:kern w:val="0"/>
          <w:sz w:val="28"/>
          <w:szCs w:val="28"/>
          <w:lang w:val="en-US" w:eastAsia="zh-CN" w:bidi="ar"/>
        </w:rPr>
        <w:t>（政府采购金额22.4万元，其中货物类19.9万元万元，服务类2.5万元万元，主要用于购买医疗器械、病房家具、工作服、财务软件、机票等）</w:t>
      </w:r>
      <w:r>
        <w:rPr>
          <w:rFonts w:hint="eastAsia" w:asciiTheme="minorEastAsia" w:hAnsiTheme="minorEastAsia" w:eastAsiaTheme="minorEastAsia" w:cstheme="minorEastAsia"/>
          <w:b/>
          <w:bCs/>
          <w:kern w:val="0"/>
          <w:sz w:val="28"/>
          <w:szCs w:val="28"/>
          <w:lang w:val="en-US" w:eastAsia="zh-CN" w:bidi="ar"/>
        </w:rPr>
        <w:br w:type="textWrapping"/>
      </w:r>
      <w:r>
        <w:rPr>
          <w:rFonts w:hint="eastAsia" w:asciiTheme="minorEastAsia" w:hAnsiTheme="minorEastAsia" w:eastAsiaTheme="minorEastAsia" w:cstheme="minorEastAsia"/>
          <w:kern w:val="0"/>
          <w:sz w:val="28"/>
          <w:szCs w:val="28"/>
          <w:lang w:val="en-US" w:eastAsia="zh-CN" w:bidi="ar"/>
        </w:rPr>
        <w:t>五、名词解释</w:t>
      </w:r>
    </w:p>
    <w:p>
      <w:pPr>
        <w:ind w:firstLine="645"/>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sz w:val="28"/>
          <w:szCs w:val="28"/>
        </w:rPr>
        <w:t>公共财政</w:t>
      </w:r>
      <w:r>
        <w:rPr>
          <w:rFonts w:hint="eastAsia" w:asciiTheme="minorEastAsia" w:hAnsiTheme="minorEastAsia" w:eastAsiaTheme="minorEastAsia" w:cstheme="minorEastAsia"/>
          <w:sz w:val="28"/>
          <w:szCs w:val="28"/>
        </w:rPr>
        <w:t xml:space="preserve">：指在市场经济条件下，为满足社会公共需要而进行的政府收支活动模式或财政运行机制模式，国家以社会和经济管理者的身份参与社会分配，并将收入用于政府公共活动支出，为社会提供公共产品和公共服务，以保障和改善民生，保证国家机器正常运转，维护国家安全和社会秩序，促进经济社会协调发展。 </w:t>
      </w:r>
    </w:p>
    <w:p>
      <w:pPr>
        <w:ind w:firstLine="645"/>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sz w:val="28"/>
          <w:szCs w:val="28"/>
        </w:rPr>
        <w:t>一般公共预算</w:t>
      </w:r>
      <w:r>
        <w:rPr>
          <w:rFonts w:hint="eastAsia" w:asciiTheme="minorEastAsia" w:hAnsiTheme="minorEastAsia" w:eastAsiaTheme="minorEastAsia" w:cstheme="minorEastAsia"/>
          <w:sz w:val="28"/>
          <w:szCs w:val="28"/>
        </w:rPr>
        <w:t>：原公共财政预算，按照新《预算法》要求，更名为一般公共预算。是指政府凭借国家政治权力，以社会管理者身份筹集以税收为主体的财政收入，用于保障和改善民生、维持国家行政职能正常行使、保障国家安全等方面的收支预算。地方公共财政收入预算包括：地方本级预算收入、转移性收入、调入预算稳定调节基金、地方政府债券收入和上年结余收入。地方公共财政支出预算编制内容包括地方本级预算支出、转移性支出、地方政府债券还本支出、安排预算稳定调节基金、增设预算周转金和年终结余。</w:t>
      </w:r>
    </w:p>
    <w:p>
      <w:pPr>
        <w:ind w:firstLine="645"/>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sz w:val="28"/>
          <w:szCs w:val="28"/>
        </w:rPr>
        <w:t>部门预算</w:t>
      </w:r>
      <w:r>
        <w:rPr>
          <w:rFonts w:hint="eastAsia" w:asciiTheme="minorEastAsia" w:hAnsiTheme="minorEastAsia" w:eastAsiaTheme="minorEastAsia" w:cstheme="minorEastAsia"/>
          <w:sz w:val="28"/>
          <w:szCs w:val="28"/>
        </w:rPr>
        <w:t>：指部门依据国家有关政策规定及其行使职能的需要，由基层预算单位编制，逐级上报，经各级政府财政部门汇总审核后提交立法机关依法批准的涵盖部门各项收支的综合财政计划。主要包括部门收入、基本支出和项目支出预算等内容。通俗地讲就是“一个部门、一本预算”。</w:t>
      </w:r>
    </w:p>
    <w:p>
      <w:pPr>
        <w:ind w:firstLine="645"/>
        <w:jc w:val="left"/>
        <w:rPr>
          <w:rFonts w:hint="eastAsia"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8"/>
          <w:szCs w:val="28"/>
        </w:rPr>
        <w:t>“三公”经费，</w:t>
      </w:r>
      <w:r>
        <w:rPr>
          <w:rFonts w:hint="eastAsia" w:asciiTheme="minorEastAsia" w:hAnsiTheme="minorEastAsia" w:eastAsiaTheme="minorEastAsia" w:cstheme="minorEastAsia"/>
          <w:sz w:val="28"/>
          <w:szCs w:val="28"/>
        </w:rPr>
        <w:t>指政府部门人员因公出国（境）经费、公务车购置及运行费、公务招待费产生的消费。</w:t>
      </w:r>
    </w:p>
    <w:p>
      <w:pPr>
        <w:numPr>
          <w:ilvl w:val="0"/>
          <w:numId w:val="3"/>
        </w:numPr>
        <w:spacing w:line="600" w:lineRule="exact"/>
        <w:jc w:val="left"/>
        <w:rPr>
          <w:rFonts w:hint="eastAsia" w:asciiTheme="minorEastAsia" w:hAnsiTheme="minorEastAsia" w:eastAsiaTheme="minorEastAsia" w:cstheme="minorEastAsia"/>
          <w:kern w:val="0"/>
          <w:sz w:val="28"/>
          <w:szCs w:val="28"/>
          <w:lang w:val="en-US" w:eastAsia="zh-CN" w:bidi="ar"/>
        </w:rPr>
      </w:pPr>
      <w:r>
        <w:rPr>
          <w:rFonts w:hint="eastAsia" w:asciiTheme="minorEastAsia" w:hAnsiTheme="minorEastAsia" w:eastAsiaTheme="minorEastAsia" w:cstheme="minorEastAsia"/>
          <w:kern w:val="0"/>
          <w:sz w:val="28"/>
          <w:szCs w:val="28"/>
          <w:lang w:val="en-US" w:eastAsia="zh-CN" w:bidi="ar"/>
        </w:rPr>
        <w:t>三公经费增减变化原因等说明信息</w:t>
      </w:r>
      <w:r>
        <w:rPr>
          <w:rFonts w:hint="eastAsia" w:asciiTheme="minorEastAsia" w:hAnsiTheme="minorEastAsia" w:eastAsiaTheme="minorEastAsia" w:cstheme="minorEastAsia"/>
          <w:kern w:val="0"/>
          <w:sz w:val="28"/>
          <w:szCs w:val="28"/>
          <w:lang w:val="en-US" w:eastAsia="zh-CN" w:bidi="ar"/>
        </w:rPr>
        <w:br w:type="textWrapping"/>
      </w:r>
      <w:r>
        <w:rPr>
          <w:rFonts w:hint="eastAsia" w:asciiTheme="minorEastAsia" w:hAnsiTheme="minorEastAsia" w:eastAsiaTheme="minorEastAsia" w:cstheme="minorEastAsia"/>
          <w:kern w:val="0"/>
          <w:sz w:val="28"/>
          <w:szCs w:val="28"/>
          <w:lang w:val="en-US" w:eastAsia="zh-CN" w:bidi="ar"/>
        </w:rPr>
        <w:t>2016年公务车运行费7.2万元，2017年公务车运行费自行承担。</w:t>
      </w:r>
    </w:p>
    <w:p>
      <w:pPr>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2016年、2017年我单位无公务招待费。</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仿宋">
    <w:altName w:val="微软雅黑"/>
    <w:panose1 w:val="02010609060101010101"/>
    <w:charset w:val="86"/>
    <w:family w:val="modern"/>
    <w:pitch w:val="default"/>
    <w:sig w:usb0="00000000" w:usb1="00000000" w:usb2="00000016" w:usb3="00000000" w:csb0="00040001" w:csb1="00000000"/>
  </w:font>
  <w:font w:name="Arial Unicode MS">
    <w:altName w:val="宋体"/>
    <w:panose1 w:val="020B0604020202020204"/>
    <w:charset w:val="86"/>
    <w:family w:val="auto"/>
    <w:pitch w:val="default"/>
    <w:sig w:usb0="00000000" w:usb1="00000000" w:usb2="0000003F" w:usb3="00000000" w:csb0="603F01FF" w:csb1="FFFF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1A0F3C52" w:usb2="00000010" w:usb3="00000000" w:csb0="0004001F" w:csb1="00000000"/>
  </w:font>
  <w:font w:name="Tahoma">
    <w:panose1 w:val="020B0604030504040204"/>
    <w:charset w:val="00"/>
    <w:family w:val="swiss"/>
    <w:pitch w:val="default"/>
    <w:sig w:usb0="61007A87" w:usb1="80000000" w:usb2="00000008" w:usb3="00000000" w:csb0="200101FF" w:csb1="20280000"/>
  </w:font>
  <w:font w:name="方正仿宋_GBK">
    <w:altName w:val="微软雅黑"/>
    <w:panose1 w:val="03000509000000000000"/>
    <w:charset w:val="86"/>
    <w:family w:val="script"/>
    <w:pitch w:val="default"/>
    <w:sig w:usb0="00000000" w:usb1="00000000" w:usb2="00000010" w:usb3="00000000" w:csb0="00040000" w:csb1="00000000"/>
  </w:font>
  <w:font w:name="华文宋体">
    <w:altName w:val="宋体"/>
    <w:panose1 w:val="02010600040101010101"/>
    <w:charset w:val="86"/>
    <w:family w:val="auto"/>
    <w:pitch w:val="default"/>
    <w:sig w:usb0="00000000" w:usb1="00000000" w:usb2="00000000" w:usb3="00000000" w:csb0="0004009F" w:csb1="DFD70000"/>
  </w:font>
  <w:font w:name="华文仿宋">
    <w:altName w:val="仿宋_GB2312"/>
    <w:panose1 w:val="02010600040101010101"/>
    <w:charset w:val="86"/>
    <w:family w:val="auto"/>
    <w:pitch w:val="default"/>
    <w:sig w:usb0="00000000" w:usb1="00000000" w:usb2="00000000" w:usb3="00000000" w:csb0="0004009F" w:csb1="DFD70000"/>
  </w:font>
  <w:font w:name="华文新魏">
    <w:altName w:val="宋体"/>
    <w:panose1 w:val="02010800040101010101"/>
    <w:charset w:val="86"/>
    <w:family w:val="auto"/>
    <w:pitch w:val="default"/>
    <w:sig w:usb0="00000000" w:usb1="00000000" w:usb2="00000000" w:usb3="00000000" w:csb0="00040000" w:csb1="00000000"/>
  </w:font>
  <w:font w:name="方正仿宋_GBK">
    <w:altName w:val="微软雅黑"/>
    <w:panose1 w:val="00000000000000000000"/>
    <w:charset w:val="00"/>
    <w:family w:val="auto"/>
    <w:pitch w:val="default"/>
    <w:sig w:usb0="00000000" w:usb1="00000000" w:usb2="00000000" w:usb3="00000000" w:csb0="00000000" w:csb1="00000000"/>
  </w:font>
  <w:font w:name="Calibri Light">
    <w:altName w:val="Times New Roman"/>
    <w:panose1 w:val="00000000000000000000"/>
    <w:charset w:val="00"/>
    <w:family w:val="roman"/>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1C22D5"/>
    <w:multiLevelType w:val="singleLevel"/>
    <w:tmpl w:val="5A1C22D5"/>
    <w:lvl w:ilvl="0" w:tentative="0">
      <w:start w:val="1"/>
      <w:numFmt w:val="chineseCounting"/>
      <w:suff w:val="nothing"/>
      <w:lvlText w:val="%1、"/>
      <w:lvlJc w:val="left"/>
    </w:lvl>
  </w:abstractNum>
  <w:abstractNum w:abstractNumId="1">
    <w:nsid w:val="5A1D5D91"/>
    <w:multiLevelType w:val="singleLevel"/>
    <w:tmpl w:val="5A1D5D91"/>
    <w:lvl w:ilvl="0" w:tentative="0">
      <w:start w:val="3"/>
      <w:numFmt w:val="chineseCounting"/>
      <w:suff w:val="nothing"/>
      <w:lvlText w:val="%1、"/>
      <w:lvlJc w:val="left"/>
    </w:lvl>
  </w:abstractNum>
  <w:abstractNum w:abstractNumId="2">
    <w:nsid w:val="5A1E3E2B"/>
    <w:multiLevelType w:val="singleLevel"/>
    <w:tmpl w:val="5A1E3E2B"/>
    <w:lvl w:ilvl="0" w:tentative="0">
      <w:start w:val="6"/>
      <w:numFmt w:val="chineseCounting"/>
      <w:suff w:val="nothing"/>
      <w:lvlText w:val="%1、"/>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CF920D7"/>
    <w:rsid w:val="44DA095A"/>
    <w:rsid w:val="487210BB"/>
    <w:rsid w:val="4D456FF6"/>
    <w:rsid w:val="4F951242"/>
    <w:rsid w:val="508925F9"/>
    <w:rsid w:val="528C0067"/>
    <w:rsid w:val="6409727E"/>
    <w:rsid w:val="6C100CAE"/>
    <w:rsid w:val="74B421DC"/>
    <w:rsid w:val="777D3568"/>
    <w:rsid w:val="79845EBC"/>
    <w:rsid w:val="7AE1626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2">
    <w:name w:val="Default Paragraph Font"/>
    <w:semiHidden/>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2017-12-05T04:55:25Z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2052-10.1.0.7023</vt:lpwstr>
  </property>
</Properties>
</file>