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firstLine="480"/>
        <w:spacing w:line="380" w:lineRule="exact"/>
        <w:rPr>
          <w:rFonts w:ascii="黑体" w:hAnsi="黑体" w:eastAsia="黑体" w:cs="黑体" w:hint="eastAsia"/>
          <w:sz w:val="36"/>
          <w:szCs w:val="36"/>
        </w:rPr>
      </w:pPr>
      <w:r>
        <w:rPr>
          <w:rFonts w:ascii="黑体" w:hAnsi="黑体" w:eastAsia="黑体" w:cs="黑体" w:hint="eastAsia"/>
          <w:sz w:val="36"/>
          <w:szCs w:val="36"/>
        </w:rPr>
        <w:t xml:space="preserve">   乌鲁木齐县土地储备中心决算编制说明</w:t>
      </w:r>
    </w:p>
    <w:p>
      <w:pPr>
        <w:ind w:firstLine="640"/>
        <w:spacing w:line="380" w:lineRule="exact"/>
      </w:pPr>
      <w:bookmarkStart w:id="0" w:name="一、部门（单位）情况"/>
      <w:bookmarkEnd w:id="0"/>
      <w:r/>
    </w:p>
    <w:p>
      <w:pPr>
        <w:ind w:firstLine="640"/>
        <w:spacing w:line="380" w:lineRule="exact"/>
        <w:rPr>
          <w:rFonts w:ascii="仿宋_GB2312" w:hAnsi="仿宋_GB2312" w:eastAsia="仿宋_GB2312"/>
          <w:b/>
          <w:sz w:val="32"/>
          <w:szCs w:val="32"/>
        </w:rPr>
      </w:pPr>
      <w:r>
        <w:rPr>
          <w:rFonts w:ascii="仿宋_GB2312" w:hAnsi="仿宋_GB2312" w:eastAsia="仿宋_GB2312" w:hint="eastAsia"/>
          <w:b/>
          <w:sz w:val="32"/>
          <w:szCs w:val="32"/>
        </w:rPr>
        <w:t>一、部门（单位）情况</w:t>
      </w:r>
      <w:r>
        <w:rPr>
          <w:rFonts w:ascii="仿宋_GB2312" w:hAnsi="仿宋_GB2312" w:eastAsia="仿宋_GB2312"/>
          <w:b/>
          <w:sz w:val="32"/>
          <w:szCs w:val="32"/>
        </w:rPr>
      </w:r>
    </w:p>
    <w:p>
      <w:pPr>
        <w:ind w:firstLine="640"/>
        <w:spacing w:line="380" w:lineRule="exact"/>
        <w:rPr>
          <w:rFonts w:ascii="仿宋_GB2312" w:hAnsi="仿宋_GB2312" w:eastAsia="仿宋_GB2312"/>
          <w:sz w:val="32"/>
          <w:szCs w:val="32"/>
        </w:rPr>
      </w:pPr>
      <w:r>
        <w:rPr>
          <w:rFonts w:ascii="仿宋_GB2312" w:hAnsi="仿宋_GB2312" w:eastAsia="仿宋_GB2312" w:hint="eastAsia"/>
          <w:sz w:val="32"/>
          <w:szCs w:val="32"/>
        </w:rPr>
        <w:t>（一）基本情况</w:t>
      </w:r>
      <w:r>
        <w:rPr>
          <w:rFonts w:ascii="仿宋_GB2312" w:hAnsi="仿宋_GB2312" w:eastAsia="仿宋_GB2312"/>
          <w:sz w:val="32"/>
          <w:szCs w:val="32"/>
        </w:rPr>
      </w:r>
    </w:p>
    <w:p>
      <w:pPr>
        <w:ind w:firstLine="640"/>
        <w:spacing w:line="380" w:lineRule="exact"/>
        <w:rPr>
          <w:rFonts w:ascii="仿宋_GB2312" w:hAnsi="仿宋_GB2312" w:eastAsia="仿宋_GB2312"/>
          <w:sz w:val="32"/>
          <w:szCs w:val="32"/>
        </w:rPr>
      </w:pPr>
      <w:r>
        <w:rPr>
          <w:rFonts w:ascii="仿宋_GB2312" w:hAnsi="仿宋_GB2312" w:eastAsia="仿宋_GB2312" w:hint="eastAsia"/>
          <w:sz w:val="32"/>
          <w:szCs w:val="32"/>
        </w:rPr>
        <w:t>1．主要职能</w:t>
      </w:r>
      <w:r>
        <w:rPr>
          <w:rFonts w:ascii="仿宋_GB2312" w:hAnsi="仿宋_GB2312" w:eastAsia="仿宋_GB2312"/>
          <w:sz w:val="32"/>
          <w:szCs w:val="32"/>
        </w:rPr>
      </w:r>
    </w:p>
    <w:p>
      <w:pPr>
        <w:ind w:firstLine="560"/>
        <w:spacing w:line="380" w:lineRule="exact"/>
        <w:rPr>
          <w:sz w:val="28"/>
          <w:szCs w:val="28"/>
        </w:rPr>
      </w:pPr>
      <w:r>
        <w:rPr>
          <w:sz w:val="28"/>
          <w:szCs w:val="28"/>
        </w:rPr>
        <w:t>全面实施乌鲁木齐县土地利用总体规划，村镇建设规划和土地储备计划，依法通过征用、置换、回收、收购等方式进行土地实物储备，优化城镇土地资源配置，保证重点用地项目建设，合理开发利用土地资源；负责全县范围内土地及矿产资源“招、拍、挂”等出让工作</w:t>
      </w:r>
    </w:p>
    <w:p>
      <w:pPr>
        <w:ind w:firstLine="640"/>
        <w:spacing w:line="380" w:lineRule="exact"/>
        <w:rPr>
          <w:rFonts w:ascii="仿宋_GB2312" w:hAnsi="仿宋_GB2312" w:eastAsia="仿宋_GB2312"/>
          <w:sz w:val="32"/>
          <w:szCs w:val="32"/>
        </w:rPr>
      </w:pPr>
      <w:r>
        <w:rPr>
          <w:rFonts w:ascii="仿宋_GB2312" w:hAnsi="仿宋_GB2312" w:eastAsia="仿宋_GB2312" w:hint="eastAsia"/>
          <w:sz w:val="32"/>
          <w:szCs w:val="32"/>
        </w:rPr>
        <w:t>2．机构情况</w:t>
      </w:r>
      <w:r>
        <w:rPr>
          <w:rFonts w:ascii="仿宋_GB2312" w:hAnsi="仿宋_GB2312" w:eastAsia="仿宋_GB2312"/>
          <w:sz w:val="32"/>
          <w:szCs w:val="32"/>
        </w:rPr>
      </w:r>
    </w:p>
    <w:p>
      <w:pPr>
        <w:ind w:firstLine="560"/>
        <w:spacing w:line="380" w:lineRule="exact"/>
        <w:rPr>
          <w:rFonts w:ascii="仿宋" w:hAnsi="仿宋" w:eastAsia="仿宋"/>
          <w:sz w:val="28"/>
          <w:szCs w:val="28"/>
        </w:rPr>
      </w:pPr>
      <w:r>
        <w:rPr>
          <w:sz w:val="28"/>
          <w:szCs w:val="28"/>
        </w:rPr>
        <w:t>经乌鲁木齐县机构编制委员会批准，乌鲁木齐县土地储备中心（土地有偿使用办公室）与土地有偿办公室合署办公，实行一套人马，两块牌子。</w:t>
      </w:r>
      <w:r>
        <w:rPr>
          <w:rFonts w:ascii="仿宋" w:hAnsi="仿宋" w:eastAsia="仿宋"/>
          <w:sz w:val="28"/>
          <w:szCs w:val="28"/>
        </w:rPr>
      </w:r>
    </w:p>
    <w:p>
      <w:pPr>
        <w:ind w:firstLine="480"/>
        <w:spacing w:line="380" w:lineRule="exact"/>
        <w:rPr>
          <w:rFonts w:ascii="仿宋_GB2312" w:hAnsi="仿宋_GB2312" w:eastAsia="仿宋_GB2312"/>
          <w:sz w:val="32"/>
          <w:szCs w:val="32"/>
        </w:rPr>
      </w:pPr>
      <w:r>
        <w:rPr>
          <w:rFonts w:ascii="仿宋_GB2312" w:hAnsi="仿宋_GB2312" w:eastAsia="仿宋_GB2312" w:hint="eastAsia"/>
          <w:sz w:val="32"/>
          <w:szCs w:val="32"/>
        </w:rPr>
        <w:t>（二）当年取得的主要事业成效</w:t>
      </w:r>
      <w:r>
        <w:rPr>
          <w:rFonts w:ascii="仿宋_GB2312" w:hAnsi="仿宋_GB2312" w:eastAsia="仿宋_GB2312"/>
          <w:sz w:val="32"/>
          <w:szCs w:val="32"/>
        </w:rPr>
      </w:r>
    </w:p>
    <w:p>
      <w:pPr>
        <w:ind w:firstLine="560"/>
        <w:spacing w:line="380" w:lineRule="exact"/>
        <w:rPr>
          <w:rFonts w:ascii="仿宋" w:hAnsi="仿宋" w:eastAsia="仿宋" w:cs="仿宋"/>
          <w:sz w:val="28"/>
          <w:szCs w:val="28"/>
        </w:rPr>
      </w:pPr>
      <w:r>
        <w:rPr>
          <w:rFonts w:eastAsia="宋体" w:hint="eastAsia"/>
          <w:sz w:val="28"/>
          <w:szCs w:val="28"/>
        </w:rPr>
        <w:t>全年共组织发布</w:t>
      </w:r>
      <w:r>
        <w:rPr>
          <w:sz w:val="28"/>
          <w:szCs w:val="28"/>
        </w:rPr>
        <w:t>6</w:t>
      </w:r>
      <w:r>
        <w:rPr>
          <w:rFonts w:eastAsia="宋体" w:hint="eastAsia"/>
          <w:sz w:val="28"/>
          <w:szCs w:val="28"/>
        </w:rPr>
        <w:t>批挂牌公告，</w:t>
      </w:r>
      <w:r>
        <w:rPr>
          <w:rFonts w:ascii="仿宋_GB2312" w:hAnsi="仿宋_GB2312" w:eastAsia="仿宋_GB2312" w:hint="eastAsia"/>
          <w:sz w:val="28"/>
          <w:szCs w:val="28"/>
        </w:rPr>
        <w:t>共挂牌50宗地，总面积198.3公顷（约2974.7亩）</w:t>
      </w:r>
      <w:r>
        <w:rPr>
          <w:rFonts w:eastAsia="宋体" w:hint="eastAsia"/>
          <w:sz w:val="28"/>
          <w:szCs w:val="28"/>
        </w:rPr>
        <w:t>。</w:t>
      </w:r>
      <w:r>
        <w:rPr>
          <w:rFonts w:ascii="仿宋" w:hAnsi="仿宋" w:eastAsia="仿宋" w:hint="eastAsia"/>
          <w:sz w:val="28"/>
          <w:szCs w:val="28"/>
        </w:rPr>
        <w:t>参与</w:t>
      </w:r>
      <w:r>
        <w:rPr>
          <w:rFonts w:eastAsia="仿宋_GB2312" w:hint="eastAsia"/>
          <w:sz w:val="28"/>
          <w:szCs w:val="28"/>
        </w:rPr>
        <w:t>完成的重点征地项目包括：</w:t>
      </w:r>
      <w:r>
        <w:rPr>
          <w:rFonts w:ascii="仿宋_GB2312" w:hAnsi="仿宋_GB2312" w:eastAsia="仿宋_GB2312" w:hint="eastAsia"/>
          <w:sz w:val="28"/>
          <w:szCs w:val="28"/>
        </w:rPr>
        <w:t>乌鲁木齐县板水大桥项目，新疆北燃乌热能源有限公司燃气供热项目。此外马文化体育旅游综合建设项目</w:t>
      </w:r>
      <w:r>
        <w:rPr>
          <w:rFonts w:ascii="仿宋_GB2312" w:hAnsi="仿宋_GB2312" w:eastAsia="仿宋_GB2312" w:hint="eastAsia"/>
          <w:bCs/>
          <w:sz w:val="28"/>
          <w:szCs w:val="28"/>
        </w:rPr>
        <w:t>，大庙村村居改造配套项目，涉及的征收前期工作已全部完成。</w:t>
      </w:r>
      <w:r>
        <w:rPr>
          <w:rFonts w:ascii="仿宋" w:hAnsi="仿宋" w:eastAsia="仿宋" w:cs="仿宋"/>
          <w:sz w:val="28"/>
          <w:szCs w:val="28"/>
        </w:rPr>
      </w:r>
    </w:p>
    <w:p>
      <w:pPr>
        <w:ind w:firstLine="640"/>
        <w:spacing w:line="380" w:lineRule="exact"/>
        <w:rPr>
          <w:rFonts w:ascii="仿宋_GB2312" w:hAnsi="仿宋_GB2312" w:eastAsia="仿宋_GB2312"/>
          <w:b/>
          <w:sz w:val="32"/>
          <w:szCs w:val="32"/>
        </w:rPr>
      </w:pPr>
      <w:r/>
      <w:bookmarkStart w:id="1" w:name="二、收入支出预算执行情况分析"/>
      <w:bookmarkEnd w:id="1"/>
      <w:r/>
      <w:r>
        <w:rPr>
          <w:rFonts w:ascii="仿宋_GB2312" w:hAnsi="仿宋_GB2312" w:eastAsia="仿宋_GB2312" w:hint="eastAsia"/>
          <w:b/>
          <w:sz w:val="32"/>
          <w:szCs w:val="32"/>
        </w:rPr>
        <w:t>二、收入支出预算执行情况</w:t>
      </w:r>
      <w:r>
        <w:rPr>
          <w:rFonts w:ascii="仿宋_GB2312" w:hAnsi="仿宋_GB2312" w:eastAsia="仿宋_GB2312" w:hint="eastAsia"/>
          <w:b/>
          <w:sz w:val="32"/>
          <w:szCs w:val="32"/>
        </w:rPr>
        <w:t>说明</w:t>
      </w:r>
      <w:r>
        <w:rPr>
          <w:rFonts w:ascii="仿宋_GB2312" w:hAnsi="仿宋_GB2312" w:eastAsia="仿宋_GB2312"/>
          <w:b/>
          <w:sz w:val="32"/>
          <w:szCs w:val="32"/>
        </w:rPr>
      </w:r>
    </w:p>
    <w:p>
      <w:pPr>
        <w:ind w:firstLine="560"/>
        <w:spacing w:line="380" w:lineRule="exact"/>
        <w:rPr>
          <w:sz w:val="28"/>
          <w:szCs w:val="28"/>
        </w:rPr>
      </w:pPr>
      <w:r>
        <w:rPr>
          <w:spacing w:val="-15"/>
          <w:sz w:val="28"/>
          <w:szCs w:val="28"/>
        </w:rPr>
        <w:t>1.本年年初收入预算21722.13万元，追加后全年预算拨款28694.</w:t>
      </w:r>
      <w:r>
        <w:rPr>
          <w:sz w:val="28"/>
          <w:szCs w:val="28"/>
        </w:rPr>
        <w:t>1万元；调整原因：主要是追加土地储备资金，</w:t>
      </w:r>
      <w:r>
        <w:rPr>
          <w:sz w:val="28"/>
          <w:szCs w:val="28"/>
        </w:rPr>
        <w:t>用于储备土地的补偿费及其他支出</w:t>
      </w:r>
      <w:r>
        <w:rPr>
          <w:sz w:val="28"/>
          <w:szCs w:val="28"/>
        </w:rPr>
        <w:t>增加</w:t>
      </w:r>
      <w:r>
        <w:rPr>
          <w:sz w:val="28"/>
          <w:szCs w:val="28"/>
        </w:rPr>
        <w:t>。</w:t>
      </w:r>
      <w:r>
        <w:rPr>
          <w:sz w:val="28"/>
          <w:szCs w:val="28"/>
        </w:rPr>
      </w:r>
    </w:p>
    <w:p>
      <w:pPr>
        <w:ind w:firstLine="420"/>
        <w:spacing w:line="380" w:lineRule="exact"/>
        <w:rPr>
          <w:sz w:val="28"/>
          <w:szCs w:val="28"/>
        </w:rPr>
      </w:pPr>
      <w:r>
        <w:rPr>
          <w:sz w:val="28"/>
          <w:szCs w:val="28"/>
        </w:rPr>
        <w:t>2.本年年初支出预算21722.03万元，追加后全年预算支出</w:t>
      </w:r>
      <w:r>
        <w:rPr>
          <w:spacing w:val="-15"/>
          <w:sz w:val="28"/>
          <w:szCs w:val="28"/>
        </w:rPr>
        <w:t>28694.</w:t>
      </w:r>
      <w:r>
        <w:rPr>
          <w:sz w:val="28"/>
          <w:szCs w:val="28"/>
        </w:rPr>
        <w:t>1</w:t>
      </w:r>
      <w:r>
        <w:rPr>
          <w:sz w:val="28"/>
          <w:szCs w:val="28"/>
        </w:rPr>
        <w:t>0万元；调整原因：主要是追加土地储备资金,用于储备土地的补偿费及其他支出。全年实际支出15434.5</w:t>
      </w:r>
      <w:r>
        <w:rPr>
          <w:sz w:val="28"/>
          <w:szCs w:val="28"/>
        </w:rPr>
        <w:t>8</w:t>
      </w:r>
      <w:r>
        <w:rPr>
          <w:sz w:val="28"/>
          <w:szCs w:val="28"/>
        </w:rPr>
        <w:t>万元，比调整后预算减少1</w:t>
      </w:r>
      <w:r>
        <w:rPr>
          <w:sz w:val="28"/>
          <w:szCs w:val="28"/>
        </w:rPr>
        <w:t>3</w:t>
      </w:r>
      <w:r>
        <w:rPr>
          <w:sz w:val="28"/>
          <w:szCs w:val="28"/>
        </w:rPr>
        <w:t>259.5</w:t>
      </w:r>
      <w:r>
        <w:rPr>
          <w:sz w:val="28"/>
          <w:szCs w:val="28"/>
        </w:rPr>
        <w:t>2</w:t>
      </w:r>
      <w:r>
        <w:rPr>
          <w:sz w:val="28"/>
          <w:szCs w:val="28"/>
        </w:rPr>
        <w:t>万元。变动原因：主要是</w:t>
      </w:r>
      <w:r>
        <w:rPr>
          <w:sz w:val="28"/>
          <w:szCs w:val="28"/>
        </w:rPr>
        <w:t>部分重点项目征地及</w:t>
      </w:r>
      <w:r>
        <w:rPr>
          <w:sz w:val="28"/>
          <w:szCs w:val="28"/>
        </w:rPr>
        <w:t>土地储备项目</w:t>
      </w:r>
      <w:r>
        <w:rPr>
          <w:sz w:val="28"/>
          <w:szCs w:val="28"/>
        </w:rPr>
        <w:t>需结转下年度完成。</w:t>
      </w:r>
      <w:r>
        <w:rPr>
          <w:sz w:val="28"/>
          <w:szCs w:val="28"/>
        </w:rPr>
      </w:r>
    </w:p>
    <w:p>
      <w:pPr>
        <w:ind w:firstLine="567"/>
        <w:spacing w:line="380" w:lineRule="exact"/>
        <w:rPr>
          <w:rFonts w:ascii="黑体" w:hAnsi="黑体" w:eastAsia="黑体" w:cs="黑体"/>
          <w:sz w:val="28"/>
          <w:szCs w:val="28"/>
        </w:rPr>
      </w:pPr>
      <w:r>
        <w:rPr>
          <w:rFonts w:ascii="黑体" w:hAnsi="黑体" w:eastAsia="黑体" w:cs="黑体" w:hint="eastAsia"/>
          <w:sz w:val="28"/>
          <w:szCs w:val="28"/>
        </w:rPr>
        <w:t>三、</w:t>
      </w:r>
      <w:r>
        <w:rPr>
          <w:rFonts w:ascii="黑体" w:hAnsi="黑体" w:eastAsia="黑体" w:cs="黑体"/>
          <w:sz w:val="28"/>
          <w:szCs w:val="28"/>
        </w:rPr>
        <w:t>决算收支增减情况说明：</w:t>
      </w:r>
    </w:p>
    <w:p>
      <w:pPr>
        <w:ind w:firstLine="567"/>
        <w:spacing w:line="380" w:lineRule="exact"/>
        <w:rPr>
          <w:rFonts w:ascii="宋体" w:hAnsi="宋体" w:eastAsia="宋体" w:cs="仿宋" w:hint="eastAsia"/>
          <w:sz w:val="28"/>
          <w:szCs w:val="28"/>
        </w:rPr>
      </w:pPr>
      <w:r>
        <w:rPr>
          <w:rFonts w:ascii="宋体" w:hAnsi="宋体" w:eastAsia="宋体" w:cs="仿宋"/>
          <w:sz w:val="28"/>
          <w:szCs w:val="28"/>
        </w:rPr>
        <w:t>201</w:t>
      </w:r>
      <w:r>
        <w:rPr>
          <w:rFonts w:ascii="宋体" w:hAnsi="宋体" w:eastAsia="宋体" w:cs="仿宋" w:hint="eastAsia"/>
          <w:sz w:val="28"/>
          <w:szCs w:val="28"/>
        </w:rPr>
        <w:t>5</w:t>
      </w:r>
      <w:r>
        <w:rPr>
          <w:rFonts w:ascii="宋体" w:hAnsi="宋体" w:eastAsia="宋体" w:cs="仿宋"/>
          <w:sz w:val="28"/>
          <w:szCs w:val="28"/>
        </w:rPr>
        <w:t>年决算收入</w:t>
      </w:r>
      <w:r>
        <w:rPr>
          <w:sz w:val="28"/>
          <w:szCs w:val="28"/>
        </w:rPr>
        <w:t>31189.52</w:t>
      </w:r>
      <w:r>
        <w:rPr>
          <w:rFonts w:ascii="宋体" w:hAnsi="宋体" w:eastAsia="宋体" w:cs="仿宋"/>
          <w:sz w:val="28"/>
          <w:szCs w:val="28"/>
        </w:rPr>
        <w:t>万元，比201</w:t>
      </w:r>
      <w:r>
        <w:rPr>
          <w:rFonts w:ascii="宋体" w:hAnsi="宋体" w:eastAsia="宋体" w:cs="仿宋" w:hint="eastAsia"/>
          <w:sz w:val="28"/>
          <w:szCs w:val="28"/>
        </w:rPr>
        <w:t>4</w:t>
      </w:r>
      <w:r>
        <w:rPr>
          <w:rFonts w:ascii="宋体" w:hAnsi="宋体" w:eastAsia="宋体" w:cs="仿宋"/>
          <w:sz w:val="28"/>
          <w:szCs w:val="28"/>
        </w:rPr>
        <w:t>年的</w:t>
      </w:r>
      <w:r>
        <w:rPr>
          <w:rFonts w:ascii="宋体" w:hAnsi="宋体" w:eastAsia="宋体" w:cs="仿宋" w:hint="eastAsia"/>
          <w:sz w:val="28"/>
          <w:szCs w:val="28"/>
        </w:rPr>
        <w:t>6518.81</w:t>
      </w:r>
      <w:r>
        <w:rPr>
          <w:rFonts w:ascii="宋体" w:hAnsi="宋体" w:eastAsia="宋体" w:cs="仿宋"/>
          <w:sz w:val="28"/>
          <w:szCs w:val="28"/>
        </w:rPr>
        <w:t>万元</w:t>
      </w:r>
      <w:r>
        <w:rPr>
          <w:rFonts w:ascii="宋体" w:hAnsi="宋体" w:eastAsia="宋体" w:cs="仿宋" w:hint="eastAsia"/>
          <w:sz w:val="28"/>
          <w:szCs w:val="28"/>
        </w:rPr>
        <w:t>增加24670.71</w:t>
      </w:r>
      <w:r>
        <w:rPr>
          <w:rFonts w:ascii="宋体" w:hAnsi="宋体" w:eastAsia="宋体" w:cs="仿宋"/>
          <w:sz w:val="28"/>
          <w:szCs w:val="28"/>
        </w:rPr>
        <w:t>万元，</w:t>
      </w:r>
      <w:r>
        <w:rPr>
          <w:rFonts w:ascii="宋体" w:hAnsi="宋体" w:eastAsia="宋体" w:cs="仿宋" w:hint="eastAsia"/>
          <w:sz w:val="28"/>
          <w:szCs w:val="28"/>
        </w:rPr>
        <w:t>增加</w:t>
      </w:r>
      <w:r>
        <w:rPr>
          <w:rFonts w:ascii="宋体" w:hAnsi="宋体" w:eastAsia="宋体" w:cs="仿宋"/>
          <w:sz w:val="28"/>
          <w:szCs w:val="28"/>
        </w:rPr>
        <w:t>原因：</w:t>
      </w:r>
      <w:r>
        <w:rPr>
          <w:rFonts w:ascii="宋体" w:hAnsi="宋体" w:eastAsia="宋体" w:cs="仿宋" w:hint="eastAsia"/>
          <w:sz w:val="28"/>
          <w:szCs w:val="28"/>
        </w:rPr>
        <w:t>（1）</w:t>
      </w:r>
      <w:r>
        <w:rPr>
          <w:rFonts w:ascii="宋体" w:hAnsi="宋体" w:eastAsia="宋体" w:cs="仿宋"/>
          <w:sz w:val="28"/>
          <w:szCs w:val="28"/>
        </w:rPr>
        <w:t>2015年重点项目</w:t>
      </w:r>
      <w:r>
        <w:rPr>
          <w:rFonts w:ascii="宋体" w:hAnsi="宋体" w:eastAsia="宋体" w:cs="仿宋" w:hint="eastAsia"/>
          <w:sz w:val="28"/>
          <w:szCs w:val="28"/>
        </w:rPr>
        <w:t>及政府储备土地增加，征地补偿费增加；（2）土储项目贷款资金还本付息增加。</w:t>
      </w:r>
      <w:r>
        <w:rPr>
          <w:rFonts w:ascii="宋体" w:hAnsi="宋体" w:eastAsia="宋体" w:cs="仿宋"/>
          <w:sz w:val="28"/>
          <w:szCs w:val="28"/>
        </w:rPr>
        <w:t xml:space="preserve"> </w:t>
      </w:r>
      <w:r>
        <w:rPr>
          <w:rFonts w:ascii="宋体" w:hAnsi="宋体" w:eastAsia="宋体" w:cs="仿宋" w:hint="eastAsia"/>
          <w:sz w:val="28"/>
          <w:szCs w:val="28"/>
        </w:rPr>
        <w:t xml:space="preserve">    </w:t>
      </w:r>
      <w:r>
        <w:rPr>
          <w:rFonts w:ascii="宋体" w:hAnsi="宋体" w:eastAsia="宋体" w:cs="仿宋" w:hint="eastAsia"/>
          <w:sz w:val="28"/>
          <w:szCs w:val="28"/>
        </w:rPr>
      </w:r>
    </w:p>
    <w:p>
      <w:pPr>
        <w:ind w:firstLine="567"/>
        <w:spacing w:line="380" w:lineRule="exact"/>
        <w:rPr>
          <w:rFonts w:ascii="宋体" w:hAnsi="宋体" w:eastAsia="宋体" w:cs="仿宋" w:hint="eastAsia"/>
          <w:sz w:val="28"/>
          <w:szCs w:val="28"/>
        </w:rPr>
      </w:pPr>
      <w:r>
        <w:rPr>
          <w:rFonts w:ascii="宋体" w:hAnsi="宋体" w:eastAsia="宋体" w:cs="仿宋"/>
          <w:sz w:val="28"/>
          <w:szCs w:val="28"/>
        </w:rPr>
        <w:t>201</w:t>
      </w:r>
      <w:r>
        <w:rPr>
          <w:rFonts w:ascii="宋体" w:hAnsi="宋体" w:eastAsia="宋体" w:cs="仿宋" w:hint="eastAsia"/>
          <w:sz w:val="28"/>
          <w:szCs w:val="28"/>
        </w:rPr>
        <w:t>5</w:t>
      </w:r>
      <w:r>
        <w:rPr>
          <w:rFonts w:ascii="宋体" w:hAnsi="宋体" w:eastAsia="宋体" w:cs="仿宋"/>
          <w:sz w:val="28"/>
          <w:szCs w:val="28"/>
        </w:rPr>
        <w:t>年决算支出</w:t>
      </w:r>
      <w:r>
        <w:rPr>
          <w:rFonts w:ascii="宋体" w:hAnsi="宋体" w:eastAsia="宋体" w:cs="仿宋" w:hint="eastAsia"/>
          <w:sz w:val="28"/>
          <w:szCs w:val="28"/>
        </w:rPr>
        <w:t>15434.58</w:t>
      </w:r>
      <w:r>
        <w:rPr>
          <w:rFonts w:ascii="宋体" w:hAnsi="宋体" w:eastAsia="宋体" w:cs="仿宋"/>
          <w:sz w:val="28"/>
          <w:szCs w:val="28"/>
        </w:rPr>
        <w:t>万元，比201</w:t>
      </w:r>
      <w:r>
        <w:rPr>
          <w:rFonts w:ascii="宋体" w:hAnsi="宋体" w:eastAsia="宋体" w:cs="仿宋" w:hint="eastAsia"/>
          <w:sz w:val="28"/>
          <w:szCs w:val="28"/>
        </w:rPr>
        <w:t>4</w:t>
      </w:r>
      <w:r>
        <w:rPr>
          <w:rFonts w:ascii="宋体" w:hAnsi="宋体" w:eastAsia="宋体" w:cs="仿宋"/>
          <w:sz w:val="28"/>
          <w:szCs w:val="28"/>
        </w:rPr>
        <w:t>年的</w:t>
      </w:r>
      <w:r>
        <w:rPr>
          <w:rFonts w:ascii="宋体" w:hAnsi="宋体" w:eastAsia="宋体" w:cs="仿宋" w:hint="eastAsia"/>
          <w:sz w:val="28"/>
          <w:szCs w:val="28"/>
        </w:rPr>
        <w:t>5258.72</w:t>
      </w:r>
      <w:r>
        <w:rPr>
          <w:rFonts w:ascii="宋体" w:hAnsi="宋体" w:eastAsia="宋体" w:cs="仿宋"/>
          <w:sz w:val="28"/>
          <w:szCs w:val="28"/>
        </w:rPr>
        <w:t>万元增加</w:t>
      </w:r>
      <w:r>
        <w:rPr>
          <w:rFonts w:ascii="宋体" w:hAnsi="宋体" w:eastAsia="宋体" w:cs="仿宋" w:hint="eastAsia"/>
          <w:sz w:val="28"/>
          <w:szCs w:val="28"/>
        </w:rPr>
        <w:t>10175</w:t>
      </w:r>
      <w:r>
        <w:rPr>
          <w:rFonts w:ascii="宋体" w:hAnsi="宋体" w:eastAsia="宋体" w:cs="仿宋"/>
          <w:sz w:val="28"/>
          <w:szCs w:val="28"/>
        </w:rPr>
        <w:t>.</w:t>
      </w:r>
      <w:r>
        <w:rPr>
          <w:rFonts w:ascii="宋体" w:hAnsi="宋体" w:eastAsia="宋体" w:cs="仿宋" w:hint="eastAsia"/>
          <w:sz w:val="28"/>
          <w:szCs w:val="28"/>
        </w:rPr>
        <w:t>86</w:t>
      </w:r>
      <w:r>
        <w:rPr>
          <w:rFonts w:ascii="宋体" w:hAnsi="宋体" w:eastAsia="宋体" w:cs="仿宋"/>
          <w:sz w:val="28"/>
          <w:szCs w:val="28"/>
        </w:rPr>
        <w:t>万元；增加原因:</w:t>
      </w:r>
      <w:r>
        <w:rPr>
          <w:rFonts w:ascii="宋体" w:hAnsi="宋体" w:eastAsia="宋体" w:cs="仿宋" w:hint="eastAsia"/>
          <w:sz w:val="28"/>
          <w:szCs w:val="28"/>
        </w:rPr>
        <w:t>（1）</w:t>
      </w:r>
      <w:r>
        <w:rPr>
          <w:rFonts w:ascii="宋体" w:hAnsi="宋体" w:eastAsia="宋体" w:cs="仿宋"/>
          <w:sz w:val="28"/>
          <w:szCs w:val="28"/>
        </w:rPr>
        <w:t>2015年重点项目</w:t>
      </w:r>
      <w:r>
        <w:rPr>
          <w:rFonts w:ascii="宋体" w:hAnsi="宋体" w:eastAsia="宋体" w:cs="仿宋" w:hint="eastAsia"/>
          <w:sz w:val="28"/>
          <w:szCs w:val="28"/>
        </w:rPr>
        <w:t>及政府储备土地增加，征地补偿费增加；（2）土储项目贷款资金还本付息增加。</w:t>
      </w:r>
      <w:r>
        <w:rPr>
          <w:rFonts w:ascii="宋体" w:hAnsi="宋体" w:eastAsia="宋体" w:cs="仿宋" w:hint="eastAsia"/>
          <w:sz w:val="28"/>
          <w:szCs w:val="28"/>
        </w:rPr>
      </w:r>
    </w:p>
    <w:p>
      <w:pPr>
        <w:ind w:firstLine="567"/>
        <w:spacing w:line="380" w:lineRule="exact"/>
        <w:rPr>
          <w:rFonts w:ascii="宋体" w:hAnsi="宋体" w:eastAsia="宋体" w:cs="仿宋"/>
          <w:sz w:val="28"/>
          <w:szCs w:val="28"/>
        </w:rPr>
      </w:pPr>
      <w:r>
        <w:rPr>
          <w:rFonts w:ascii="黑体" w:hAnsi="黑体" w:eastAsia="黑体" w:cs="黑体"/>
          <w:sz w:val="28"/>
          <w:szCs w:val="28"/>
        </w:rPr>
        <w:t xml:space="preserve"> </w:t>
      </w:r>
      <w:r>
        <w:rPr>
          <w:rFonts w:ascii="黑体" w:hAnsi="黑体" w:eastAsia="黑体" w:cs="黑体" w:hint="eastAsia"/>
          <w:sz w:val="28"/>
          <w:szCs w:val="28"/>
        </w:rPr>
        <w:t>四、</w:t>
      </w:r>
      <w:r>
        <w:rPr>
          <w:rFonts w:ascii="黑体" w:hAnsi="黑体" w:eastAsia="黑体" w:cs="黑体"/>
          <w:sz w:val="28"/>
          <w:szCs w:val="28"/>
        </w:rPr>
        <w:t>机关运行经费执行情况说明</w:t>
      </w:r>
      <w:r>
        <w:rPr>
          <w:rFonts w:ascii="宋体" w:hAnsi="宋体" w:eastAsia="宋体" w:cs="仿宋"/>
          <w:sz w:val="28"/>
          <w:szCs w:val="28"/>
        </w:rPr>
        <w:t>：本单位与国土资源局土地有偿办公室合署办公，实行一套人马，两块牌子。机关运行经费在国土资源局核算，本财务主要核算土地专项资金。</w:t>
      </w:r>
      <w:r>
        <w:rPr>
          <w:rFonts w:ascii="宋体" w:hAnsi="宋体" w:eastAsia="宋体" w:cs="仿宋"/>
          <w:sz w:val="28"/>
          <w:szCs w:val="28"/>
        </w:rPr>
      </w:r>
    </w:p>
    <w:p>
      <w:pPr>
        <w:ind w:firstLine="567"/>
        <w:spacing w:line="380" w:lineRule="exact"/>
        <w:rPr>
          <w:rFonts w:ascii="宋体" w:hAnsi="宋体" w:eastAsia="宋体" w:cs="仿宋"/>
          <w:sz w:val="28"/>
          <w:szCs w:val="28"/>
        </w:rPr>
      </w:pPr>
      <w:r>
        <w:rPr>
          <w:rFonts w:ascii="黑体" w:hAnsi="黑体" w:eastAsia="黑体" w:cs="黑体" w:hint="eastAsia"/>
          <w:sz w:val="28"/>
          <w:szCs w:val="28"/>
        </w:rPr>
        <w:t>五、</w:t>
      </w:r>
      <w:r>
        <w:rPr>
          <w:rFonts w:ascii="黑体" w:hAnsi="黑体" w:eastAsia="黑体" w:cs="黑体"/>
          <w:sz w:val="28"/>
          <w:szCs w:val="28"/>
        </w:rPr>
        <w:t>政府采购执行情况说明</w:t>
      </w:r>
      <w:r>
        <w:rPr>
          <w:rFonts w:ascii="宋体" w:hAnsi="宋体" w:eastAsia="宋体" w:cs="仿宋"/>
          <w:sz w:val="28"/>
          <w:szCs w:val="28"/>
        </w:rPr>
        <w:t>：政府采购资金安排</w:t>
      </w:r>
      <w:r>
        <w:rPr>
          <w:rFonts w:ascii="宋体" w:hAnsi="宋体" w:eastAsia="宋体" w:cs="仿宋" w:hint="eastAsia"/>
          <w:sz w:val="28"/>
          <w:szCs w:val="28"/>
        </w:rPr>
        <w:t>3.1万</w:t>
      </w:r>
      <w:r>
        <w:rPr>
          <w:rFonts w:ascii="宋体" w:hAnsi="宋体" w:eastAsia="宋体" w:cs="仿宋"/>
          <w:sz w:val="28"/>
          <w:szCs w:val="28"/>
        </w:rPr>
        <w:t>元，实际执行</w:t>
      </w:r>
      <w:r>
        <w:rPr>
          <w:rFonts w:ascii="宋体" w:hAnsi="宋体" w:eastAsia="宋体" w:cs="仿宋" w:hint="eastAsia"/>
          <w:sz w:val="28"/>
          <w:szCs w:val="28"/>
        </w:rPr>
        <w:t>3.06万</w:t>
      </w:r>
      <w:r>
        <w:rPr>
          <w:rFonts w:ascii="宋体" w:hAnsi="宋体" w:eastAsia="宋体" w:cs="仿宋"/>
          <w:sz w:val="28"/>
          <w:szCs w:val="28"/>
        </w:rPr>
        <w:t>元，主要购买</w:t>
      </w:r>
      <w:r>
        <w:rPr>
          <w:rFonts w:ascii="宋体" w:hAnsi="宋体" w:eastAsia="宋体" w:cs="仿宋" w:hint="eastAsia"/>
          <w:sz w:val="28"/>
          <w:szCs w:val="28"/>
        </w:rPr>
        <w:t>征地用测绘仪器</w:t>
      </w:r>
      <w:r>
        <w:rPr>
          <w:rFonts w:ascii="宋体" w:hAnsi="宋体" w:eastAsia="宋体" w:cs="仿宋"/>
          <w:sz w:val="28"/>
          <w:szCs w:val="28"/>
        </w:rPr>
        <w:t>。</w:t>
      </w:r>
      <w:r>
        <w:rPr>
          <w:rFonts w:ascii="宋体" w:hAnsi="宋体" w:eastAsia="宋体" w:cs="仿宋"/>
          <w:sz w:val="28"/>
          <w:szCs w:val="28"/>
        </w:rPr>
      </w:r>
    </w:p>
    <w:p>
      <w:pPr>
        <w:ind w:firstLine="567"/>
        <w:spacing w:line="380" w:lineRule="exact"/>
        <w:rPr>
          <w:rFonts w:ascii="宋体" w:hAnsi="宋体" w:eastAsia="宋体" w:cs="仿宋"/>
          <w:sz w:val="28"/>
          <w:szCs w:val="28"/>
        </w:rPr>
      </w:pPr>
      <w:r>
        <w:rPr>
          <w:rFonts w:ascii="黑体" w:hAnsi="黑体" w:eastAsia="黑体" w:cs="黑体" w:hint="eastAsia"/>
          <w:sz w:val="28"/>
          <w:szCs w:val="28"/>
        </w:rPr>
        <w:t>六、</w:t>
      </w:r>
      <w:r>
        <w:rPr>
          <w:rFonts w:ascii="黑体" w:hAnsi="黑体" w:eastAsia="黑体" w:cs="黑体"/>
          <w:sz w:val="28"/>
          <w:szCs w:val="28"/>
        </w:rPr>
        <w:t>三公经费说明</w:t>
      </w:r>
      <w:r>
        <w:rPr>
          <w:rFonts w:ascii="宋体" w:hAnsi="宋体" w:eastAsia="宋体" w:cs="仿宋"/>
          <w:sz w:val="28"/>
          <w:szCs w:val="28"/>
        </w:rPr>
        <w:t>：本单位与国土资源局土地有偿办公室合署办公，实行一套人马，两块牌子。</w:t>
      </w:r>
      <w:r>
        <w:rPr>
          <w:rFonts w:ascii="宋体" w:hAnsi="宋体" w:eastAsia="宋体" w:cs="仿宋" w:hint="eastAsia"/>
          <w:sz w:val="28"/>
          <w:szCs w:val="28"/>
        </w:rPr>
        <w:t>三公经费</w:t>
      </w:r>
      <w:r>
        <w:rPr>
          <w:rFonts w:ascii="宋体" w:hAnsi="宋体" w:eastAsia="宋体" w:cs="仿宋"/>
          <w:sz w:val="28"/>
          <w:szCs w:val="28"/>
        </w:rPr>
        <w:t>经费在国土资源局核算，本年未发生三公经费。</w:t>
      </w:r>
      <w:r>
        <w:rPr>
          <w:rFonts w:ascii="宋体" w:hAnsi="宋体" w:eastAsia="宋体" w:cs="仿宋"/>
          <w:sz w:val="28"/>
          <w:szCs w:val="28"/>
        </w:rPr>
      </w:r>
    </w:p>
    <w:p>
      <w:pPr>
        <w:ind w:firstLine="567"/>
        <w:spacing w:line="380" w:lineRule="exact"/>
        <w:rPr>
          <w:rFonts w:ascii="宋体" w:hAnsi="宋体" w:eastAsia="宋体" w:cs="仿宋"/>
          <w:sz w:val="28"/>
          <w:szCs w:val="28"/>
        </w:rPr>
      </w:pPr>
      <w:r>
        <w:rPr>
          <w:rFonts w:ascii="黑体" w:hAnsi="黑体" w:eastAsia="黑体" w:cs="黑体" w:hint="eastAsia"/>
          <w:sz w:val="28"/>
          <w:szCs w:val="28"/>
        </w:rPr>
        <w:t>七</w:t>
      </w:r>
      <w:r>
        <w:rPr>
          <w:rFonts w:ascii="黑体" w:hAnsi="黑体" w:eastAsia="黑体" w:cs="黑体"/>
          <w:sz w:val="28"/>
          <w:szCs w:val="28"/>
        </w:rPr>
        <w:t>.名词解释</w:t>
      </w:r>
      <w:r>
        <w:rPr>
          <w:rFonts w:ascii="宋体" w:hAnsi="宋体" w:eastAsia="宋体" w:cs="仿宋"/>
          <w:sz w:val="28"/>
          <w:szCs w:val="28"/>
        </w:rPr>
        <w:t>：</w:t>
      </w:r>
      <w:r>
        <w:rPr>
          <w:rFonts w:ascii="宋体" w:hAnsi="宋体" w:eastAsia="宋体" w:cs="仿宋"/>
          <w:sz w:val="28"/>
          <w:szCs w:val="28"/>
        </w:rPr>
      </w:r>
    </w:p>
    <w:p>
      <w:pPr>
        <w:ind w:firstLine="567"/>
        <w:spacing w:line="380" w:lineRule="exact"/>
        <w:rPr>
          <w:rFonts w:ascii="宋体" w:hAnsi="宋体" w:eastAsia="宋体" w:cs="仿宋"/>
          <w:sz w:val="28"/>
          <w:szCs w:val="28"/>
        </w:rPr>
      </w:pPr>
      <w:r>
        <w:rPr>
          <w:rFonts w:ascii="宋体" w:hAnsi="宋体" w:eastAsia="宋体" w:cs="宋体" w:hint="eastAsia"/>
          <w:b/>
          <w:sz w:val="28"/>
          <w:szCs w:val="28"/>
        </w:rPr>
        <w:t>1.公共财政</w:t>
      </w:r>
      <w:r>
        <w:rPr>
          <w:rFonts w:ascii="宋体" w:hAnsi="宋体" w:eastAsia="宋体" w:cs="仿宋" w:hint="eastAsia"/>
          <w:sz w:val="28"/>
          <w:szCs w:val="28"/>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r>
        <w:rPr>
          <w:rFonts w:ascii="宋体" w:hAnsi="宋体" w:eastAsia="宋体" w:cs="仿宋"/>
          <w:sz w:val="28"/>
          <w:szCs w:val="28"/>
        </w:rPr>
      </w:r>
    </w:p>
    <w:p>
      <w:pPr>
        <w:ind w:firstLine="567"/>
        <w:spacing w:line="380" w:lineRule="exact"/>
        <w:jc w:val="left"/>
        <w:rPr>
          <w:rFonts w:ascii="宋体" w:hAnsi="宋体" w:eastAsia="宋体" w:cs="仿宋"/>
          <w:sz w:val="28"/>
          <w:szCs w:val="28"/>
        </w:rPr>
      </w:pPr>
      <w:r>
        <w:rPr>
          <w:rFonts w:ascii="宋体" w:hAnsi="宋体" w:eastAsia="宋体" w:cs="仿宋" w:hint="eastAsia"/>
          <w:b/>
          <w:sz w:val="28"/>
          <w:szCs w:val="28"/>
        </w:rPr>
        <w:t>2.一般公共预算</w:t>
      </w:r>
      <w:r>
        <w:rPr>
          <w:rFonts w:ascii="宋体" w:hAnsi="宋体" w:eastAsia="宋体" w:cs="仿宋" w:hint="eastAsia"/>
          <w:sz w:val="28"/>
          <w:szCs w:val="28"/>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r>
        <w:rPr>
          <w:rFonts w:ascii="宋体" w:hAnsi="宋体" w:eastAsia="宋体" w:cs="仿宋"/>
          <w:sz w:val="28"/>
          <w:szCs w:val="28"/>
        </w:rPr>
      </w:r>
    </w:p>
    <w:p>
      <w:pPr>
        <w:ind w:firstLine="567"/>
        <w:spacing w:line="380" w:lineRule="exact"/>
        <w:jc w:val="left"/>
        <w:rPr>
          <w:rFonts w:ascii="宋体" w:hAnsi="宋体" w:eastAsia="宋体" w:cs="仿宋"/>
          <w:sz w:val="28"/>
          <w:szCs w:val="28"/>
        </w:rPr>
      </w:pPr>
      <w:r>
        <w:rPr>
          <w:rFonts w:ascii="宋体" w:hAnsi="宋体" w:eastAsia="宋体" w:cs="仿宋" w:hint="eastAsia"/>
          <w:b/>
          <w:sz w:val="28"/>
          <w:szCs w:val="28"/>
        </w:rPr>
        <w:t>3.部门预算</w:t>
      </w:r>
      <w:r>
        <w:rPr>
          <w:rFonts w:ascii="宋体" w:hAnsi="宋体" w:eastAsia="宋体" w:cs="仿宋" w:hint="eastAsia"/>
          <w:sz w:val="28"/>
          <w:szCs w:val="28"/>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r>
        <w:rPr>
          <w:rFonts w:ascii="宋体" w:hAnsi="宋体" w:eastAsia="宋体" w:cs="仿宋"/>
          <w:sz w:val="28"/>
          <w:szCs w:val="28"/>
        </w:rPr>
      </w:r>
    </w:p>
    <w:p>
      <w:pPr>
        <w:ind w:firstLine="567"/>
        <w:spacing w:line="380" w:lineRule="exact"/>
        <w:jc w:val="left"/>
        <w:rPr>
          <w:rFonts w:ascii="宋体" w:hAnsi="宋体" w:eastAsia="宋体" w:cs="仿宋" w:hint="eastAsia"/>
          <w:sz w:val="28"/>
          <w:szCs w:val="28"/>
        </w:rPr>
      </w:pPr>
      <w:r>
        <w:rPr>
          <w:rFonts w:ascii="宋体" w:hAnsi="宋体" w:eastAsia="宋体" w:cs="仿宋" w:hint="eastAsia"/>
          <w:b/>
          <w:sz w:val="28"/>
          <w:szCs w:val="28"/>
        </w:rPr>
        <w:t>4.“三公”经费，</w:t>
      </w:r>
      <w:r>
        <w:rPr>
          <w:rFonts w:ascii="宋体" w:hAnsi="宋体" w:eastAsia="宋体" w:cs="仿宋" w:hint="eastAsia"/>
          <w:sz w:val="28"/>
          <w:szCs w:val="28"/>
        </w:rPr>
        <w:t>指政府部门人员因公出国（境）经费、公务车购置及运行费、公务招待费产生的消费。</w:t>
      </w:r>
    </w:p>
    <w:p>
      <w:pPr>
        <w:ind w:firstLine="567"/>
        <w:spacing w:line="380" w:lineRule="exact"/>
        <w:jc w:val="center"/>
        <w:rPr>
          <w:rFonts w:ascii="宋体" w:hAnsi="宋体" w:eastAsia="宋体" w:cs="仿宋"/>
          <w:b/>
          <w:sz w:val="28"/>
          <w:szCs w:val="28"/>
        </w:rPr>
      </w:pPr>
      <w:r>
        <w:rPr>
          <w:rFonts w:ascii="宋体" w:hAnsi="宋体" w:eastAsia="宋体" w:cs="仿宋"/>
          <w:b/>
          <w:sz w:val="28"/>
          <w:szCs w:val="28"/>
        </w:rPr>
      </w:r>
    </w:p>
    <w:p>
      <w:pPr>
        <w:ind w:firstLine="567"/>
        <w:spacing w:line="380" w:lineRule="exact"/>
        <w:jc w:val="center"/>
        <w:rPr>
          <w:rFonts w:ascii="宋体" w:hAnsi="宋体" w:eastAsia="宋体" w:cs="宋体" w:hint="eastAsia"/>
          <w:b/>
          <w:sz w:val="28"/>
          <w:szCs w:val="28"/>
        </w:rPr>
      </w:pPr>
      <w:r>
        <w:rPr>
          <w:rFonts w:ascii="宋体" w:hAnsi="宋体" w:eastAsia="宋体" w:cs="宋体" w:hint="eastAsia"/>
          <w:b/>
          <w:sz w:val="28"/>
          <w:szCs w:val="28"/>
        </w:rPr>
      </w:r>
    </w:p>
    <w:p>
      <w:pPr>
        <w:ind w:firstLine="567"/>
        <w:spacing w:line="380" w:lineRule="exact"/>
        <w:jc w:val="center"/>
        <w:rPr>
          <w:rFonts w:ascii="宋体" w:hAnsi="宋体" w:eastAsia="宋体" w:cs="宋体" w:hint="eastAsia"/>
          <w:b/>
          <w:sz w:val="28"/>
          <w:szCs w:val="28"/>
        </w:rPr>
      </w:pPr>
      <w:r>
        <w:rPr>
          <w:rFonts w:ascii="宋体" w:hAnsi="宋体" w:eastAsia="宋体" w:cs="宋体" w:hint="eastAsia"/>
          <w:b/>
          <w:sz w:val="28"/>
          <w:szCs w:val="28"/>
        </w:rPr>
      </w:r>
    </w:p>
    <w:p>
      <w:pPr>
        <w:ind w:firstLine="567"/>
        <w:spacing w:line="400" w:lineRule="exact"/>
        <w:rPr>
          <w:rFonts w:ascii="宋体" w:hAnsi="宋体" w:eastAsia="宋体" w:cs="仿宋"/>
          <w:sz w:val="28"/>
          <w:szCs w:val="28"/>
        </w:rPr>
      </w:pPr>
      <w:r>
        <w:rPr>
          <w:rFonts w:ascii="宋体" w:hAnsi="宋体" w:eastAsia="宋体" w:cs="仿宋"/>
          <w:sz w:val="28"/>
          <w:szCs w:val="28"/>
        </w:rPr>
      </w:r>
    </w:p>
    <w:p>
      <w:pPr>
        <w:ind w:firstLine="567"/>
        <w:spacing w:line="400" w:lineRule="exact"/>
        <w:rPr>
          <w:rFonts w:ascii="宋体" w:hAnsi="宋体" w:eastAsia="宋体" w:cs="仿宋"/>
          <w:sz w:val="28"/>
          <w:szCs w:val="28"/>
        </w:rPr>
      </w:pPr>
      <w:r>
        <w:rPr>
          <w:rFonts w:ascii="宋体" w:hAnsi="宋体" w:eastAsia="宋体" w:cs="仿宋"/>
          <w:sz w:val="28"/>
          <w:szCs w:val="28"/>
        </w:rPr>
      </w:r>
    </w:p>
    <w:p>
      <w:pPr>
        <w:ind w:firstLine="567"/>
        <w:spacing w:line="400" w:lineRule="exact"/>
        <w:rPr>
          <w:rFonts w:ascii="宋体" w:hAnsi="宋体" w:eastAsia="宋体" w:cs="仿宋"/>
          <w:sz w:val="28"/>
          <w:szCs w:val="28"/>
        </w:rPr>
      </w:pPr>
      <w:r>
        <w:rPr>
          <w:rFonts w:ascii="宋体" w:hAnsi="宋体" w:eastAsia="宋体" w:cs="仿宋"/>
          <w:sz w:val="28"/>
          <w:szCs w:val="28"/>
        </w:rPr>
      </w:r>
    </w:p>
    <w:p>
      <w:pPr>
        <w:ind w:firstLine="360"/>
        <w:spacing w:line="400" w:lineRule="exact"/>
        <w:rPr>
          <w:sz w:val="24"/>
          <w:szCs w:val="24"/>
        </w:rPr>
      </w:pPr>
      <w:r>
        <w:rPr>
          <w:sz w:val="24"/>
          <w:szCs w:val="24"/>
        </w:rPr>
      </w:r>
    </w:p>
    <w:p>
      <w:pPr>
        <w:ind w:firstLine="360"/>
        <w:spacing w:line="400" w:lineRule="exact"/>
        <w:rPr>
          <w:sz w:val="24"/>
          <w:szCs w:val="24"/>
        </w:rPr>
      </w:pPr>
      <w:r>
        <w:rPr>
          <w:sz w:val="24"/>
          <w:szCs w:val="24"/>
        </w:rPr>
      </w:r>
    </w:p>
    <w:p>
      <w:pPr>
        <w:ind w:firstLine="360"/>
        <w:spacing w:line="400" w:lineRule="exact"/>
        <w:rPr>
          <w:sz w:val="24"/>
          <w:szCs w:val="24"/>
        </w:rPr>
      </w:pPr>
      <w:r>
        <w:rPr>
          <w:sz w:val="24"/>
          <w:szCs w:val="24"/>
        </w:rPr>
      </w:r>
    </w:p>
    <w:p>
      <w:pPr>
        <w:ind w:firstLine="360"/>
        <w:spacing w:line="400" w:lineRule="exact"/>
        <w:rPr>
          <w:sz w:val="24"/>
          <w:szCs w:val="24"/>
        </w:rPr>
      </w:pPr>
      <w:r>
        <w:rPr>
          <w:sz w:val="24"/>
          <w:szCs w:val="24"/>
        </w:rPr>
      </w:r>
    </w:p>
    <w:p>
      <w:pPr>
        <w:ind w:firstLine="360"/>
        <w:spacing w:line="400" w:lineRule="exact"/>
        <w:rPr>
          <w:sz w:val="24"/>
          <w:szCs w:val="24"/>
        </w:rPr>
      </w:pPr>
      <w:r>
        <w:rPr>
          <w:sz w:val="24"/>
          <w:szCs w:val="24"/>
        </w:rPr>
      </w:r>
    </w:p>
    <w:p>
      <w:pPr>
        <w:ind w:firstLine="360"/>
        <w:spacing w:line="400" w:lineRule="exact"/>
        <w:rPr>
          <w:sz w:val="24"/>
          <w:szCs w:val="24"/>
        </w:rPr>
      </w:pPr>
      <w:r>
        <w:rPr>
          <w:sz w:val="24"/>
          <w:szCs w:val="24"/>
        </w:rPr>
      </w:r>
    </w:p>
    <w:p>
      <w:pPr>
        <w:ind w:firstLine="360"/>
        <w:spacing w:line="400" w:lineRule="exact"/>
        <w:rPr>
          <w:sz w:val="24"/>
          <w:szCs w:val="24"/>
        </w:rPr>
      </w:pPr>
      <w:r>
        <w:rPr>
          <w:sz w:val="24"/>
          <w:szCs w:val="24"/>
        </w:rPr>
      </w:r>
    </w:p>
    <w:p>
      <w:pPr>
        <w:ind w:firstLine="360"/>
        <w:spacing w:line="380" w:lineRule="exact"/>
        <w:rPr>
          <w:sz w:val="24"/>
          <w:szCs w:val="24"/>
        </w:rPr>
      </w:pPr>
      <w:r>
        <w:rPr>
          <w:sz w:val="24"/>
          <w:szCs w:val="24"/>
        </w:rPr>
      </w:r>
    </w:p>
    <w:p>
      <w:pPr>
        <w:ind w:firstLine="360"/>
        <w:spacing w:line="360" w:lineRule="auto"/>
        <w:rPr>
          <w:sz w:val="24"/>
          <w:szCs w:val="24"/>
        </w:rPr>
      </w:pPr>
      <w:r>
        <w:rPr>
          <w:sz w:val="24"/>
          <w:szCs w:val="24"/>
        </w:rPr>
      </w:r>
    </w:p>
    <w:p>
      <w:pPr>
        <w:ind w:firstLine="360"/>
        <w:spacing w:line="400" w:lineRule="exact"/>
        <w:rPr>
          <w:sz w:val="24"/>
          <w:szCs w:val="24"/>
        </w:rPr>
      </w:pPr>
      <w:r>
        <w:rPr>
          <w:sz w:val="24"/>
          <w:szCs w:val="24"/>
        </w:rPr>
      </w:r>
    </w:p>
    <w:p>
      <w:pPr>
        <w:ind w:firstLine="360"/>
        <w:spacing w:line="360" w:lineRule="auto"/>
        <w:rPr>
          <w:sz w:val="24"/>
          <w:szCs w:val="24"/>
        </w:rPr>
      </w:pPr>
      <w:r>
        <w:rPr>
          <w:sz w:val="24"/>
          <w:szCs w:val="24"/>
        </w:rPr>
      </w:r>
    </w:p>
    <w:p>
      <w:pPr>
        <w:ind w:firstLine="360"/>
        <w:spacing w:line="360" w:lineRule="auto"/>
        <w:rPr>
          <w:sz w:val="24"/>
          <w:szCs w:val="24"/>
        </w:rPr>
      </w:pPr>
      <w:r>
        <w:rPr>
          <w:sz w:val="24"/>
          <w:szCs w:val="24"/>
        </w:rPr>
      </w:r>
    </w:p>
    <w:p>
      <w:pPr>
        <w:ind w:firstLine="360"/>
        <w:spacing w:line="360" w:lineRule="auto"/>
        <w:rPr>
          <w:sz w:val="24"/>
          <w:szCs w:val="24"/>
        </w:rPr>
      </w:pPr>
      <w:r>
        <w:rPr>
          <w:sz w:val="24"/>
          <w:szCs w:val="24"/>
        </w:rPr>
      </w:r>
    </w:p>
    <w:p>
      <w:pPr>
        <w:ind w:firstLine="360"/>
        <w:spacing w:line="360" w:lineRule="auto"/>
        <w:rPr>
          <w:sz w:val="24"/>
          <w:szCs w:val="24"/>
        </w:rPr>
      </w:pPr>
      <w:r>
        <w:rPr>
          <w:sz w:val="24"/>
          <w:szCs w:val="24"/>
        </w:rPr>
      </w:r>
    </w:p>
    <w:sectPr>
      <w:footnotePr>
        <w:pos w:val="pageBottom"/>
        <w:numFmt w:val="decimal"/>
        <w:numStart w:val="1"/>
        <w:numRestart w:val="continuous"/>
      </w:footnotePr>
      <w:endnotePr>
        <w:pos w:val="docEnd"/>
        <w:numFmt w:val="decimal"/>
        <w:numStart w:val="1"/>
        <w:numRestart w:val="continuous"/>
      </w:endnotePr>
      <w:type w:val="nextPage"/>
      <w:pgSz w:h="16838" w:w="11906"/>
      <w:pgMar w:left="1800" w:top="1440" w:right="1800" w:bottom="1440"/>
      <w:paperSrc w:first="0" w:other="0"/>
      <w:tmSection w:h="-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default"/>
  </w:font>
  <w:font w:name="SimSun">
    <w:panose1 w:val="02010600030101010101"/>
    <w:charset w:val="00"/>
    <w:family w:val="auto"/>
    <w:pitch w:val="default"/>
  </w:font>
  <w:font w:name="Arial">
    <w:panose1 w:val="020B0604020202020204"/>
    <w:charset w:val="00"/>
    <w:family w:val="swiss"/>
    <w:pitch w:val="default"/>
  </w:font>
  <w:font w:name="Calibri">
    <w:panose1 w:val="020F0502020204030204"/>
    <w:charset w:val="00"/>
    <w:family w:val="swiss"/>
    <w:pitch w:val="default"/>
  </w:font>
  <w:font w:name="宋体">
    <w:panose1 w:val="02010600030101010101"/>
    <w:charset w:val="86"/>
    <w:family w:val="auto"/>
    <w:pitch w:val="default"/>
  </w:font>
  <w:font w:name="仿宋">
    <w:panose1 w:val="02010609060101010101"/>
    <w:charset w:val="86"/>
    <w:family w:val="modern"/>
    <w:pitch w:val="default"/>
  </w:font>
  <w:font w:name="仿宋_GB2312">
    <w:panose1 w:val="02010609030101010101"/>
    <w:charset w:val="86"/>
    <w:family w:val="modern"/>
    <w:pitch w:val="default"/>
  </w:font>
  <w:font w:name="黑体">
    <w:panose1 w:val="02010609060101010101"/>
    <w:charset w:val="86"/>
    <w:family w:val="modern"/>
    <w:pitch w:val="default"/>
  </w:font>
  <w:font w:name="Cambria">
    <w:panose1 w:val="02040503050406030204"/>
    <w:charset w:val="00"/>
    <w:family w:val="roman"/>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view w:val="print"/>
  <w:defaultTabStop w:val="420"/>
  <w:autoHyphenation w:val="0"/>
  <w:doNotShadeFormData w:val="0"/>
  <w:captions>
    <w:caption w:name="表格" w:pos="below" w:numFmt="decimal"/>
    <w:caption w:name="图解" w:pos="below" w:numFmt="decimal"/>
    <w:caption w:name="图片" w:pos="below" w:numFmt="decimal"/>
  </w:captions>
  <w:drawingGridHorizontalSpacing w:val="105"/>
  <w:drawingGridVerticalSpacing w:val="156"/>
  <w:revisionView w:comments="1" w:markup="1" w:insDel="1" w:formatting="1"/>
  <w:footnotePr>
    <w:pos w:val="pageBottom"/>
    <w:numFmt w:val="decimal"/>
    <w:numStart w:val="1"/>
    <w:numRestart w:val="continuous"/>
  </w:footnotePr>
  <w:endnotePr>
    <w:pos w:val="docEnd"/>
    <w:numFmt w:val="decimal"/>
    <w:numStart w:val="1"/>
    <w:numRestart w:val="continuous"/>
  </w:endnotePr>
  <w:compat>
    <w:doNotExpandShiftReturn w:val="1"/>
  </w:compat>
  <w:shapeDefaults>
    <o:shapedefaults v:ext="edit" spidmax="1026"/>
    <o:shapelayout v:ext="edit">
      <o:rules v:ext="edit"/>
    </o:shapelayout>
  </w:shapeDefaults>
  <w:tmPrefOne w:val="17"/>
  <w:tmPrefTwo w:val="1"/>
  <w:tmFmtPref w:val="55066091"/>
  <w:tmCommentsPr>
    <w:tmCommentsPlace w:val="0"/>
    <w:tmCommentsWidth w:val="3119"/>
    <w:tmCommentsColor w:val="-1"/>
  </w:tmCommentsPr>
  <w:tmReviewPr>
    <w:tmReviewEnabled w:val="0"/>
    <w:tmReviewShow w:val="1"/>
    <w:tmReviewPrint w:val="0"/>
    <w:tmRevisionNum w:val="10"/>
    <w:tmReviewMarkIns w:val="4"/>
    <w:tmReviewColorIns w:val="-1"/>
    <w:tmReviewMarkDel w:val="6"/>
    <w:tmReviewColorDel w:val="-1"/>
    <w:tmReviewMarkFmt w:val="1"/>
    <w:tmReviewColorFmt w:val="-1"/>
    <w:tmReviewMarkLn w:val="1"/>
    <w:tmReviewColorLn w:val="0"/>
    <w:tmReviewToolTip w:val="1"/>
  </w:tmReviewPr>
  <w:tmLastPos>
    <w:tmLastPosPage w:val="1"/>
    <w:tmLastPosSelect w:val="0"/>
    <w:tmLastPosFrameIdx w:val="0"/>
    <w:tmLastPosCaret>
      <w:tmLastPosPgfIdx w:val="18"/>
      <w:tmLastPosIdx w:val="67"/>
    </w:tmLastPosCaret>
    <w:tmLastPosAnchor>
      <w:tmLastPosPgfIdx w:val="0"/>
      <w:tmLastPosIdx w:val="0"/>
    </w:tmLastPosAnchor>
    <w:tmLastPosTblRect w:left="0" w:top="0" w:right="0" w:bottom="0"/>
    <w:tmAppRevision w:date="1512460110" w:val="694"/>
  </w:tmLastPo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Times New Roman"/>
        <w:kern w:val="1"/>
        <w:sz w:val="21"/>
        <w:szCs w:val="22"/>
        <w:lang w:val="en-us" w:eastAsia="zh-cn" w:bidi="ar-sa"/>
      </w:rPr>
    </w:rPrDefault>
    <w:pPrDefault>
      <w:pPr>
        <w:spacing/>
        <w:jc w:val="both"/>
        <w:widowControl w:val="0"/>
        <w:pBdr>
          <w:top w:val="none" w:sz="0" w:space="0" w:color="000000"/>
          <w:left w:val="none" w:sz="0" w:space="0" w:color="000000"/>
          <w:bottom w:val="none" w:sz="0" w:space="0" w:color="000000"/>
          <w:right w:val="none" w:sz="0" w:space="0" w:color="000000"/>
          <w:between w:val="none" w:sz="0" w:space="0" w:color="000000"/>
        </w:pBdr>
        <w:shd w:val="no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atentStyles>
  <w:style w:type="paragraph" w:styleId="" w:default="1">
    <w:name w:val="Normal"/>
    <w:qFormat/>
  </w:style>
  <w:style w:type="paragraph" w:styleId="">
    <w:name w:val="Header"/>
    <w:qFormat/>
    <w:pPr>
      <w:spacing/>
      <w:jc w:val="center"/>
      <w:tabs>
        <w:tab w:val="center" w:pos="4153" w:leader="none"/>
        <w:tab w:val="right" w:pos="8306" w:leader="none"/>
      </w:tabs>
      <w:pBdr>
        <w:top w:val="none" w:sz="0" w:space="3" w:color="000000"/>
        <w:left w:val="none" w:sz="0" w:space="3" w:color="000000"/>
        <w:bottom w:val="single" w:sz="6" w:space="1" w:color="000000"/>
        <w:right w:val="none" w:sz="0" w:space="3" w:color="000000"/>
        <w:between w:val="none" w:sz="0" w:space="0" w:color="000000"/>
      </w:pBdr>
      <w:shd w:val="none"/>
    </w:pPr>
    <w:rPr>
      <w:sz w:val="18"/>
      <w:szCs w:val="18"/>
    </w:rPr>
  </w:style>
  <w:style w:type="paragraph" w:styleId="">
    <w:name w:val="Footer"/>
    <w:qFormat/>
    <w:pPr>
      <w:spacing/>
      <w:jc w:val="left"/>
      <w:tabs>
        <w:tab w:val="center" w:pos="4153" w:leader="none"/>
        <w:tab w:val="right" w:pos="8306" w:leader="none"/>
      </w:tabs>
      <w:pBdr>
        <w:top w:val="none" w:sz="0" w:space="3" w:color="000000"/>
        <w:left w:val="none" w:sz="0" w:space="3" w:color="000000"/>
        <w:bottom w:val="none" w:sz="0" w:space="3" w:color="000000"/>
        <w:right w:val="none" w:sz="0" w:space="3" w:color="000000"/>
        <w:between w:val="none" w:sz="0" w:space="0" w:color="000000"/>
      </w:pBdr>
      <w:shd w:val="none"/>
    </w:pPr>
    <w:rPr>
      <w:sz w:val="18"/>
      <w:szCs w:val="18"/>
    </w:rPr>
  </w:style>
  <w:style w:type="character" w:styleId="" w:default="1">
    <w:name w:val="Default Paragraph Font"/>
  </w:style>
  <w:style w:type="character" w:styleId="Char" w:customStyle="1">
    <w:name w:val="页眉 Char"/>
    <w:rPr>
      <w:sz w:val="18"/>
      <w:szCs w:val="18"/>
    </w:rPr>
  </w:style>
  <w:style w:type="character" w:styleId="Char" w:customStyle="1">
    <w:name w:val="页脚 Char"/>
    <w:rPr>
      <w:sz w:val="18"/>
      <w:szCs w:val="18"/>
    </w:rPr>
  </w:style>
  <w:style w:type="character" w:styleId="">
    <w:name w:val="Hyperlink"/>
    <w:rPr>
      <w:color w:val="0000ff"/>
      <w:u w:color="auto"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docDefaults>
    <w:rPrDefault>
      <w:rPr>
        <w:rFonts w:ascii="Calibri" w:hAnsi="Calibri" w:eastAsia="Calibri" w:cs="Times New Roman"/>
        <w:kern w:val="1"/>
        <w:sz w:val="21"/>
        <w:szCs w:val="22"/>
        <w:lang w:val="en-us" w:eastAsia="zh-cn" w:bidi="ar-sa"/>
      </w:rPr>
    </w:rPrDefault>
    <w:pPrDefault>
      <w:pPr>
        <w:spacing/>
        <w:jc w:val="both"/>
        <w:widowControl w:val="0"/>
        <w:pBdr>
          <w:top w:val="none" w:sz="0" w:space="0" w:color="000000"/>
          <w:left w:val="none" w:sz="0" w:space="0" w:color="000000"/>
          <w:bottom w:val="none" w:sz="0" w:space="0" w:color="000000"/>
          <w:right w:val="none" w:sz="0" w:space="0" w:color="000000"/>
          <w:between w:val="none" w:sz="0" w:space="0" w:color="000000"/>
        </w:pBdr>
        <w:shd w:val="no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atentStyles>
  <w:style w:type="paragraph" w:styleId="" w:default="1">
    <w:name w:val="Normal"/>
    <w:qFormat/>
  </w:style>
  <w:style w:type="paragraph" w:styleId="">
    <w:name w:val="Header"/>
    <w:qFormat/>
    <w:pPr>
      <w:spacing/>
      <w:jc w:val="center"/>
      <w:tabs>
        <w:tab w:val="center" w:pos="4153" w:leader="none"/>
        <w:tab w:val="right" w:pos="8306" w:leader="none"/>
      </w:tabs>
      <w:pBdr>
        <w:top w:val="none" w:sz="0" w:space="3" w:color="000000"/>
        <w:left w:val="none" w:sz="0" w:space="3" w:color="000000"/>
        <w:bottom w:val="single" w:sz="6" w:space="1" w:color="000000"/>
        <w:right w:val="none" w:sz="0" w:space="3" w:color="000000"/>
        <w:between w:val="none" w:sz="0" w:space="0" w:color="000000"/>
      </w:pBdr>
      <w:shd w:val="none"/>
    </w:pPr>
    <w:rPr>
      <w:sz w:val="18"/>
      <w:szCs w:val="18"/>
    </w:rPr>
  </w:style>
  <w:style w:type="paragraph" w:styleId="">
    <w:name w:val="Footer"/>
    <w:qFormat/>
    <w:pPr>
      <w:spacing/>
      <w:jc w:val="left"/>
      <w:tabs>
        <w:tab w:val="center" w:pos="4153" w:leader="none"/>
        <w:tab w:val="right" w:pos="8306" w:leader="none"/>
      </w:tabs>
      <w:pBdr>
        <w:top w:val="none" w:sz="0" w:space="3" w:color="000000"/>
        <w:left w:val="none" w:sz="0" w:space="3" w:color="000000"/>
        <w:bottom w:val="none" w:sz="0" w:space="3" w:color="000000"/>
        <w:right w:val="none" w:sz="0" w:space="3" w:color="000000"/>
        <w:between w:val="none" w:sz="0" w:space="0" w:color="000000"/>
      </w:pBdr>
      <w:shd w:val="none"/>
    </w:pPr>
    <w:rPr>
      <w:sz w:val="18"/>
      <w:szCs w:val="18"/>
    </w:rPr>
  </w:style>
  <w:style w:type="character" w:styleId="" w:default="1">
    <w:name w:val="Default Paragraph Font"/>
  </w:style>
  <w:style w:type="character" w:styleId="Char" w:customStyle="1">
    <w:name w:val="页眉 Char"/>
    <w:rPr>
      <w:sz w:val="18"/>
      <w:szCs w:val="18"/>
    </w:rPr>
  </w:style>
  <w:style w:type="character" w:styleId="Char" w:customStyle="1">
    <w:name w:val="页脚 Char"/>
    <w:rPr>
      <w:sz w:val="18"/>
      <w:szCs w:val="18"/>
    </w:rPr>
  </w:style>
  <w:style w:type="character" w:styleId="">
    <w:name w:val="Hyperlink"/>
    <w:rPr>
      <w:color w:val="0000ff"/>
      <w:u w:color="auto"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styles" Target="styles.xml"/><Relationship Id="rId6"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TextMaker 2012 rev.694</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
  <cp:revision>10</cp:revision>
  <cp:lastPrinted>2017-12-05T15:20:07Z</cp:lastPrinted>
  <dcterms:created xsi:type="dcterms:W3CDTF">2016-01-06T07:08:00Z</dcterms:created>
  <dcterms:modified xsi:type="dcterms:W3CDTF">2017-12-05T15:48:30Z</dcterms:modified>
</cp:coreProperties>
</file>