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乌鲁木齐县国土资源局2016年部门决算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情况说明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3" w:firstLineChars="200"/>
        <w:jc w:val="left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3" w:firstLineChars="200"/>
        <w:jc w:val="left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  <w:t>一、单位基本情况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(一)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lang w:eastAsia="zh-CN"/>
        </w:rPr>
        <w:t>主要职能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1.贯彻执行国家有关国土资源的调控政策、措施和法律、法规，承担保护与合理利用土地资源、矿产资源的责任。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2.承担规范国土资源管理秩序的责任。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3.承担优化配置国土资源的责任。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4.负责规范国土资源权属管理。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5.承担全县耕地保护的责任，确保规划确定的耕地保有量和基本农田面积不减少。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6.承担及时准确提供全县土地利用各种数据的责任。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7.承担节约集约利用土地资源的责任。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8.承担县内土地收购储备和开发整理的责任。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9.承担规范国土资源市场秩序的责任。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10.负责全县征地拆迁补偿安置工作的管理。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11.负责全县矿产资源开发和储备管理。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12.承担地质环境保护的责任，组织、协调、指导和监督地质灾害防治工作。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13.负责全县测绘工作的统一监督管理。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14.依法征收土地、矿产资源收益，规范、监督资金使用。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15.担县政府公布的有关行政审批事项。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95"/>
        <w:jc w:val="left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  <w:t>16.承办县政府交办的其他事项。</w:t>
      </w:r>
    </w:p>
    <w:p>
      <w:pPr>
        <w:snapToGrid w:val="0"/>
        <w:spacing w:line="660" w:lineRule="exact"/>
        <w:ind w:firstLine="640" w:firstLineChars="200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lang w:eastAsia="zh-CN"/>
        </w:rPr>
        <w:t>（二）机构人员情况（含车辆情况）</w:t>
      </w:r>
    </w:p>
    <w:p>
      <w:pPr>
        <w:snapToGrid w:val="0"/>
        <w:spacing w:line="660" w:lineRule="exact"/>
        <w:ind w:firstLine="640" w:firstLineChars="200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乌鲁木齐县国土资源局是行政单位,内设5个科室，下属单位有4个国土资源所。目前财政供养人数为5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人（其中在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编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3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人，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聘用临时工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20人），财政供养车辆为6辆。</w:t>
      </w:r>
    </w:p>
    <w:p>
      <w:pPr>
        <w:snapToGrid w:val="0"/>
        <w:spacing w:line="6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二、部门决算单位构成</w:t>
      </w:r>
    </w:p>
    <w:p>
      <w:pPr>
        <w:snapToGrid w:val="0"/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从决算单位构成看，乌鲁木齐县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国土资源局</w:t>
      </w:r>
      <w:r>
        <w:rPr>
          <w:rFonts w:hint="eastAsia" w:ascii="仿宋" w:hAnsi="仿宋" w:eastAsia="仿宋" w:cs="仿宋"/>
          <w:sz w:val="32"/>
          <w:szCs w:val="32"/>
        </w:rPr>
        <w:t>部门决算只有本级决算。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3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eastAsia="zh-CN"/>
        </w:rPr>
        <w:t>三、决算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lang w:val="en-US" w:eastAsia="zh-CN"/>
        </w:rPr>
        <w:t>情况</w:t>
      </w:r>
    </w:p>
    <w:p>
      <w:pPr>
        <w:numPr>
          <w:numId w:val="0"/>
        </w:num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（一）上年结余14330770.3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6元。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其中：基本支出结余794603.55元。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项目支出结余13536166.81元。</w:t>
      </w:r>
    </w:p>
    <w:p>
      <w:pPr>
        <w:numPr>
          <w:numId w:val="0"/>
        </w:num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（二）本年收入37421753.38元（同比增加68.83%）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其中：财政拨款收入35423907.82元。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其他收入1997845.56元。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说明：2015年收入22,165,936.92元，其中财政拨款收入3,564,000.00元，其他收入992,735.04元。2016年财政拨款收入上升的主要原因是，年内追加二次纪要安排西山万泰阳光城塌陷灾害治理500万，追加上年结转农村集体土地确权登记发证费用212.1万元等大额项目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（三）本年实际支出30409511.47元（同比增加66.53%）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其中：基本支出7099907.72元。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项目支出23309603.75元。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说明：2015年支出18,260,378.82元，其中基本支出7,583,123.32元，项目支出10,677,255.50元。2016年财政拨款支出上升的主要原因是，年内大额项目支出多，主要为基本农田整理项目。</w:t>
      </w:r>
    </w:p>
    <w:p>
      <w:pPr>
        <w:numPr>
          <w:numId w:val="0"/>
        </w:num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（四）年末结余21343012.27元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其中：财政拨款结转——专项19270844.34元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财政拨款结余2072167.93元。</w:t>
      </w:r>
    </w:p>
    <w:p>
      <w:pPr>
        <w:snapToGrid w:val="0"/>
        <w:spacing w:line="360" w:lineRule="auto"/>
        <w:rPr>
          <w:rFonts w:hint="eastAsia" w:ascii="仿宋" w:hAnsi="仿宋" w:eastAsia="仿宋" w:cs="仿宋"/>
          <w:b/>
          <w:bCs w:val="0"/>
          <w:sz w:val="30"/>
          <w:szCs w:val="32"/>
        </w:rPr>
      </w:pPr>
      <w:r>
        <w:rPr>
          <w:rFonts w:hint="eastAsia" w:ascii="仿宋" w:hAnsi="仿宋" w:eastAsia="仿宋" w:cs="仿宋"/>
          <w:b/>
          <w:bCs w:val="0"/>
          <w:sz w:val="30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sz w:val="30"/>
          <w:szCs w:val="32"/>
        </w:rPr>
        <w:t>五</w:t>
      </w:r>
      <w:r>
        <w:rPr>
          <w:rFonts w:hint="eastAsia" w:ascii="仿宋" w:hAnsi="仿宋" w:eastAsia="仿宋" w:cs="仿宋"/>
          <w:b/>
          <w:bCs w:val="0"/>
          <w:sz w:val="30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 w:val="0"/>
          <w:sz w:val="30"/>
          <w:szCs w:val="32"/>
        </w:rPr>
        <w:t>部门“三公”经费、会议费和培训费支出情况及增减变化原因说明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30"/>
          <w:szCs w:val="32"/>
        </w:rPr>
      </w:pPr>
      <w:r>
        <w:rPr>
          <w:rFonts w:hint="eastAsia" w:eastAsia="黑体" w:cs="Times New Roman"/>
          <w:bCs/>
          <w:sz w:val="30"/>
          <w:szCs w:val="32"/>
        </w:rPr>
        <w:t xml:space="preserve">    </w:t>
      </w:r>
      <w:r>
        <w:rPr>
          <w:rFonts w:hint="eastAsia" w:ascii="仿宋" w:hAnsi="仿宋" w:eastAsia="仿宋" w:cs="仿宋"/>
          <w:bCs/>
          <w:sz w:val="30"/>
          <w:szCs w:val="32"/>
        </w:rPr>
        <w:t xml:space="preserve"> 2016年“三公”经费支出情况：因公出国（境）费0元，（我单位2016年没有因公出国（境）团组数及人数）。没有购置公务用车，公务用车运行维护费</w:t>
      </w:r>
      <w:r>
        <w:rPr>
          <w:rFonts w:hint="eastAsia" w:ascii="仿宋" w:hAnsi="仿宋" w:eastAsia="仿宋" w:cs="仿宋"/>
          <w:bCs/>
          <w:sz w:val="30"/>
          <w:szCs w:val="32"/>
          <w:lang w:val="en-US" w:eastAsia="zh-CN"/>
        </w:rPr>
        <w:t>21.26</w:t>
      </w:r>
      <w:r>
        <w:rPr>
          <w:rFonts w:hint="eastAsia" w:ascii="仿宋" w:hAnsi="仿宋" w:eastAsia="仿宋" w:cs="仿宋"/>
          <w:bCs/>
          <w:sz w:val="30"/>
          <w:szCs w:val="32"/>
        </w:rPr>
        <w:t>万元，公务接待费</w:t>
      </w:r>
      <w:r>
        <w:rPr>
          <w:rFonts w:hint="eastAsia" w:ascii="仿宋" w:hAnsi="仿宋" w:eastAsia="仿宋" w:cs="仿宋"/>
          <w:bCs/>
          <w:sz w:val="30"/>
          <w:szCs w:val="32"/>
          <w:lang w:val="en-US" w:eastAsia="zh-CN"/>
        </w:rPr>
        <w:t>0.17</w:t>
      </w:r>
      <w:r>
        <w:rPr>
          <w:rFonts w:hint="eastAsia" w:ascii="仿宋" w:hAnsi="仿宋" w:eastAsia="仿宋" w:cs="仿宋"/>
          <w:bCs/>
          <w:sz w:val="30"/>
          <w:szCs w:val="32"/>
        </w:rPr>
        <w:t>万元；会议费支出0</w:t>
      </w:r>
      <w:r>
        <w:rPr>
          <w:rFonts w:hint="eastAsia" w:ascii="仿宋" w:hAnsi="仿宋" w:eastAsia="仿宋" w:cs="仿宋"/>
          <w:bCs/>
          <w:sz w:val="30"/>
          <w:szCs w:val="32"/>
          <w:lang w:val="en-US" w:eastAsia="zh-CN"/>
        </w:rPr>
        <w:t>.14</w:t>
      </w:r>
      <w:r>
        <w:rPr>
          <w:rFonts w:hint="eastAsia" w:ascii="仿宋" w:hAnsi="仿宋" w:eastAsia="仿宋" w:cs="仿宋"/>
          <w:bCs/>
          <w:sz w:val="30"/>
          <w:szCs w:val="32"/>
        </w:rPr>
        <w:t>元；培训费支出1.</w:t>
      </w:r>
      <w:r>
        <w:rPr>
          <w:rFonts w:hint="eastAsia" w:ascii="仿宋" w:hAnsi="仿宋" w:eastAsia="仿宋" w:cs="仿宋"/>
          <w:bCs/>
          <w:sz w:val="30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bCs/>
          <w:sz w:val="30"/>
          <w:szCs w:val="32"/>
        </w:rPr>
        <w:t>万元。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30"/>
          <w:szCs w:val="32"/>
        </w:rPr>
      </w:pPr>
      <w:r>
        <w:rPr>
          <w:rFonts w:hint="eastAsia" w:ascii="仿宋" w:hAnsi="仿宋" w:eastAsia="仿宋" w:cs="仿宋"/>
          <w:bCs/>
          <w:sz w:val="30"/>
          <w:szCs w:val="32"/>
        </w:rPr>
        <w:t xml:space="preserve">     2016年我局“三公”经费总支出</w:t>
      </w:r>
      <w:r>
        <w:rPr>
          <w:rFonts w:hint="eastAsia" w:ascii="仿宋" w:hAnsi="仿宋" w:eastAsia="仿宋" w:cs="仿宋"/>
          <w:bCs/>
          <w:sz w:val="30"/>
          <w:szCs w:val="32"/>
          <w:lang w:val="en-US" w:eastAsia="zh-CN"/>
        </w:rPr>
        <w:t>22.68</w:t>
      </w:r>
      <w:r>
        <w:rPr>
          <w:rFonts w:hint="eastAsia" w:ascii="仿宋" w:hAnsi="仿宋" w:eastAsia="仿宋" w:cs="仿宋"/>
          <w:bCs/>
          <w:sz w:val="30"/>
          <w:szCs w:val="32"/>
        </w:rPr>
        <w:t>万元，2015年总支出</w:t>
      </w:r>
      <w:r>
        <w:rPr>
          <w:rFonts w:hint="eastAsia" w:ascii="仿宋" w:hAnsi="仿宋" w:eastAsia="仿宋" w:cs="仿宋"/>
          <w:bCs/>
          <w:sz w:val="30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bCs/>
          <w:sz w:val="30"/>
          <w:szCs w:val="32"/>
        </w:rPr>
        <w:t>.92万元，同比减</w:t>
      </w:r>
      <w:r>
        <w:rPr>
          <w:rFonts w:hint="eastAsia" w:ascii="仿宋" w:hAnsi="仿宋" w:eastAsia="仿宋" w:cs="仿宋"/>
          <w:bCs/>
          <w:sz w:val="30"/>
          <w:szCs w:val="32"/>
          <w:lang w:eastAsia="zh-CN"/>
        </w:rPr>
        <w:t>少</w:t>
      </w:r>
      <w:r>
        <w:rPr>
          <w:rFonts w:hint="eastAsia" w:ascii="仿宋" w:hAnsi="仿宋" w:eastAsia="仿宋" w:cs="仿宋"/>
          <w:bCs/>
          <w:sz w:val="30"/>
          <w:szCs w:val="32"/>
          <w:lang w:val="en-US" w:eastAsia="zh-CN"/>
        </w:rPr>
        <w:t>5.47</w:t>
      </w:r>
      <w:r>
        <w:rPr>
          <w:rFonts w:hint="eastAsia" w:ascii="仿宋" w:hAnsi="仿宋" w:eastAsia="仿宋" w:cs="仿宋"/>
          <w:bCs/>
          <w:sz w:val="30"/>
          <w:szCs w:val="32"/>
        </w:rPr>
        <w:t>%，原因为：我局积极响应财政要求，追年压缩“三公”经费的支出。</w:t>
      </w:r>
    </w:p>
    <w:p>
      <w:pPr>
        <w:snapToGrid w:val="0"/>
        <w:spacing w:line="360" w:lineRule="auto"/>
        <w:rPr>
          <w:rFonts w:hint="eastAsia" w:ascii="仿宋" w:hAnsi="仿宋" w:eastAsia="仿宋" w:cs="仿宋"/>
          <w:b/>
          <w:bCs w:val="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  <w:lang w:eastAsia="zh-CN"/>
        </w:rPr>
        <w:t>（六）</w:t>
      </w:r>
      <w:r>
        <w:rPr>
          <w:rFonts w:hint="eastAsia" w:ascii="仿宋" w:hAnsi="仿宋" w:eastAsia="仿宋" w:cs="仿宋"/>
          <w:b/>
          <w:bCs w:val="0"/>
          <w:sz w:val="30"/>
          <w:szCs w:val="30"/>
        </w:rPr>
        <w:t>机关运行经费支出情况说明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 xml:space="preserve">     2016年行政机关运行经费共计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420844.1</w:t>
      </w:r>
      <w:r>
        <w:rPr>
          <w:rFonts w:hint="eastAsia" w:ascii="仿宋" w:hAnsi="仿宋" w:eastAsia="仿宋" w:cs="仿宋"/>
          <w:bCs/>
          <w:sz w:val="30"/>
          <w:szCs w:val="30"/>
        </w:rPr>
        <w:t>元，其中：办公设备购置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2835</w:t>
      </w:r>
      <w:r>
        <w:rPr>
          <w:rFonts w:hint="eastAsia" w:ascii="仿宋" w:hAnsi="仿宋" w:eastAsia="仿宋" w:cs="仿宋"/>
          <w:bCs/>
          <w:sz w:val="30"/>
          <w:szCs w:val="30"/>
        </w:rPr>
        <w:t>元；办公费4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225.5</w:t>
      </w:r>
      <w:r>
        <w:rPr>
          <w:rFonts w:hint="eastAsia" w:ascii="仿宋" w:hAnsi="仿宋" w:eastAsia="仿宋" w:cs="仿宋"/>
          <w:bCs/>
          <w:sz w:val="30"/>
          <w:szCs w:val="30"/>
        </w:rPr>
        <w:t>元；手续费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430</w:t>
      </w:r>
      <w:r>
        <w:rPr>
          <w:rFonts w:hint="eastAsia" w:ascii="仿宋" w:hAnsi="仿宋" w:eastAsia="仿宋" w:cs="仿宋"/>
          <w:bCs/>
          <w:sz w:val="30"/>
          <w:szCs w:val="30"/>
        </w:rPr>
        <w:t>元；电费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5625</w:t>
      </w:r>
      <w:r>
        <w:rPr>
          <w:rFonts w:hint="eastAsia" w:ascii="仿宋" w:hAnsi="仿宋" w:eastAsia="仿宋" w:cs="仿宋"/>
          <w:bCs/>
          <w:sz w:val="30"/>
          <w:szCs w:val="30"/>
        </w:rPr>
        <w:t>元；邮电费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31046.5</w:t>
      </w:r>
      <w:r>
        <w:rPr>
          <w:rFonts w:hint="eastAsia" w:ascii="仿宋" w:hAnsi="仿宋" w:eastAsia="仿宋" w:cs="仿宋"/>
          <w:bCs/>
          <w:sz w:val="30"/>
          <w:szCs w:val="30"/>
        </w:rPr>
        <w:t>元；取暖费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56865</w:t>
      </w:r>
      <w:r>
        <w:rPr>
          <w:rFonts w:hint="eastAsia" w:ascii="仿宋" w:hAnsi="仿宋" w:eastAsia="仿宋" w:cs="仿宋"/>
          <w:bCs/>
          <w:sz w:val="30"/>
          <w:szCs w:val="30"/>
        </w:rPr>
        <w:t>元；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差旅费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30546.5元；</w:t>
      </w:r>
      <w:r>
        <w:rPr>
          <w:rFonts w:hint="eastAsia" w:ascii="仿宋" w:hAnsi="仿宋" w:eastAsia="仿宋" w:cs="仿宋"/>
          <w:bCs/>
          <w:sz w:val="30"/>
          <w:szCs w:val="30"/>
        </w:rPr>
        <w:t>培训费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11050</w:t>
      </w:r>
      <w:r>
        <w:rPr>
          <w:rFonts w:hint="eastAsia" w:ascii="仿宋" w:hAnsi="仿宋" w:eastAsia="仿宋" w:cs="仿宋"/>
          <w:bCs/>
          <w:sz w:val="30"/>
          <w:szCs w:val="30"/>
        </w:rPr>
        <w:t>元；工会经费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34000</w:t>
      </w:r>
      <w:r>
        <w:rPr>
          <w:rFonts w:hint="eastAsia" w:ascii="仿宋" w:hAnsi="仿宋" w:eastAsia="仿宋" w:cs="仿宋"/>
          <w:bCs/>
          <w:sz w:val="30"/>
          <w:szCs w:val="30"/>
        </w:rPr>
        <w:t>元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bCs/>
          <w:sz w:val="30"/>
          <w:szCs w:val="30"/>
        </w:rPr>
        <w:t>公务用车运行维护费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212575.8</w:t>
      </w:r>
      <w:r>
        <w:rPr>
          <w:rFonts w:hint="eastAsia" w:ascii="仿宋" w:hAnsi="仿宋" w:eastAsia="仿宋" w:cs="仿宋"/>
          <w:bCs/>
          <w:sz w:val="30"/>
          <w:szCs w:val="30"/>
        </w:rPr>
        <w:t>元；其他交通费用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365</w:t>
      </w:r>
      <w:r>
        <w:rPr>
          <w:rFonts w:hint="eastAsia" w:ascii="仿宋" w:hAnsi="仿宋" w:eastAsia="仿宋" w:cs="仿宋"/>
          <w:bCs/>
          <w:sz w:val="30"/>
          <w:szCs w:val="30"/>
        </w:rPr>
        <w:t>元；其他商品和服务支出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31280.8</w:t>
      </w:r>
      <w:r>
        <w:rPr>
          <w:rFonts w:hint="eastAsia" w:ascii="仿宋" w:hAnsi="仿宋" w:eastAsia="仿宋" w:cs="仿宋"/>
          <w:bCs/>
          <w:sz w:val="30"/>
          <w:szCs w:val="30"/>
        </w:rPr>
        <w:t>元。</w:t>
      </w:r>
    </w:p>
    <w:p>
      <w:pPr>
        <w:snapToGrid w:val="0"/>
        <w:spacing w:line="36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（七）政府采购执行情况说明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2016年我局政府采购预算总额176900元，实际采购金额为172664元，执行率为97.6%。</w:t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专业性较强的名词解释</w:t>
      </w:r>
    </w:p>
    <w:p>
      <w:pPr>
        <w:numPr>
          <w:ilvl w:val="0"/>
          <w:numId w:val="2"/>
        </w:numPr>
        <w:jc w:val="left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国土资源事务：反映政府用于国土资源、海洋、测绘、地震、气象等公益服务事业方面的支出。</w:t>
      </w:r>
    </w:p>
    <w:p>
      <w:pPr>
        <w:numPr>
          <w:ilvl w:val="0"/>
          <w:numId w:val="2"/>
        </w:numPr>
        <w:jc w:val="left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矿产资源专项收入安排的支出：反映根据《财政部 国土资源部关于矿产资源专项收入统筹安排使用的通知》规定用矿产资源专项收入安排的支出。</w:t>
      </w:r>
    </w:p>
    <w:p>
      <w:pPr>
        <w:numPr>
          <w:numId w:val="0"/>
        </w:numPr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三、结语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为规范和加强乌鲁木齐县行政事业单位财政拨款结余资金（特别是专项结余资金）的管理，提高财政资金使用效益，我局将严格按照《关于加强乌鲁木齐市财政结余结转资金管理的意见》（乌财预【2014】38号）文件要求，做好结余资金的管理工作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乌鲁木齐县国土资源局</w:t>
      </w:r>
    </w:p>
    <w:p>
      <w:pPr>
        <w:snapToGrid w:val="0"/>
        <w:spacing w:line="360" w:lineRule="auto"/>
      </w:pPr>
      <w:r>
        <w:rPr>
          <w:rFonts w:hint="eastAsia" w:eastAsia="黑体" w:cs="Times New Roman"/>
          <w:bCs/>
          <w:sz w:val="30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7C4C3"/>
    <w:multiLevelType w:val="singleLevel"/>
    <w:tmpl w:val="5A17C4C3"/>
    <w:lvl w:ilvl="0" w:tentative="0">
      <w:start w:val="8"/>
      <w:numFmt w:val="chineseCounting"/>
      <w:suff w:val="nothing"/>
      <w:lvlText w:val="（%1）"/>
      <w:lvlJc w:val="left"/>
    </w:lvl>
  </w:abstractNum>
  <w:abstractNum w:abstractNumId="1">
    <w:nsid w:val="5A17C4E9"/>
    <w:multiLevelType w:val="singleLevel"/>
    <w:tmpl w:val="5A17C4E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D6753"/>
    <w:rsid w:val="00E9621A"/>
    <w:rsid w:val="0EEC341D"/>
    <w:rsid w:val="11DC172D"/>
    <w:rsid w:val="12663CD5"/>
    <w:rsid w:val="1A6524A5"/>
    <w:rsid w:val="1CE27B2C"/>
    <w:rsid w:val="1DE4482A"/>
    <w:rsid w:val="1E892E62"/>
    <w:rsid w:val="245B3B11"/>
    <w:rsid w:val="27CB4129"/>
    <w:rsid w:val="2C733709"/>
    <w:rsid w:val="2F414E37"/>
    <w:rsid w:val="484B2CFE"/>
    <w:rsid w:val="49D129CD"/>
    <w:rsid w:val="4DAE3221"/>
    <w:rsid w:val="56792D4E"/>
    <w:rsid w:val="58FC1D6E"/>
    <w:rsid w:val="64D353F6"/>
    <w:rsid w:val="65AF4278"/>
    <w:rsid w:val="670F5ED8"/>
    <w:rsid w:val="685F5358"/>
    <w:rsid w:val="72C92365"/>
    <w:rsid w:val="79AD67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2017-11-24T04:25:00Z</dcterms:created>
  <dc:creator>Administrator</dc:creator>
  <cp:lastModifiedBy>Administrator</cp:lastModifiedBy>
  <cp:lastPrinted>2017-11-24T07:03:26Z</cp:lastPrinted>
  <dcterms:modified xsi:type="dcterms:W3CDTF">2017-11-24T07:06:16Z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