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A7A" w:rsidRPr="00EA3A7A" w:rsidRDefault="00F625C3" w:rsidP="00EA3A7A">
      <w:pPr>
        <w:tabs>
          <w:tab w:val="left" w:pos="9923"/>
        </w:tabs>
        <w:snapToGrid w:val="0"/>
        <w:jc w:val="center"/>
        <w:rPr>
          <w:rFonts w:ascii="黑体" w:eastAsia="黑体" w:hAnsi="黑体" w:cs="Times New Roman"/>
          <w:color w:val="000000"/>
          <w:sz w:val="24"/>
          <w:szCs w:val="24"/>
        </w:rPr>
      </w:pPr>
      <w:bookmarkStart w:id="0" w:name="部门决算填报说明（部门用）"/>
      <w:r>
        <w:rPr>
          <w:rFonts w:ascii="黑体" w:eastAsia="黑体" w:hAnsi="黑体" w:cs="黑体" w:hint="eastAsia"/>
          <w:color w:val="000000"/>
          <w:sz w:val="24"/>
          <w:szCs w:val="24"/>
        </w:rPr>
        <w:t>乌鲁木齐县</w:t>
      </w:r>
      <w:r w:rsidR="006F6785">
        <w:rPr>
          <w:rFonts w:ascii="黑体" w:eastAsia="黑体" w:hAnsi="黑体" w:cs="黑体" w:hint="eastAsia"/>
          <w:color w:val="000000"/>
          <w:sz w:val="24"/>
          <w:szCs w:val="24"/>
        </w:rPr>
        <w:t>水西</w:t>
      </w:r>
      <w:r w:rsidR="00061BFC">
        <w:rPr>
          <w:rFonts w:ascii="黑体" w:eastAsia="黑体" w:hAnsi="黑体" w:cs="黑体" w:hint="eastAsia"/>
          <w:color w:val="000000"/>
          <w:sz w:val="24"/>
          <w:szCs w:val="24"/>
        </w:rPr>
        <w:t>沟中学</w:t>
      </w:r>
      <w:r w:rsidR="00EA3A7A" w:rsidRPr="00EA3A7A">
        <w:rPr>
          <w:rFonts w:ascii="黑体" w:eastAsia="黑体" w:hAnsi="黑体" w:cs="黑体" w:hint="eastAsia"/>
          <w:color w:val="000000"/>
          <w:sz w:val="24"/>
          <w:szCs w:val="24"/>
        </w:rPr>
        <w:t>部门决算填报说明</w:t>
      </w:r>
      <w:r w:rsidR="00EA3A7A" w:rsidRPr="00EA3A7A">
        <w:rPr>
          <w:rFonts w:ascii="黑体" w:eastAsia="黑体" w:hAnsi="黑体" w:cs="Times New Roman" w:hint="eastAsia"/>
          <w:color w:val="000000"/>
          <w:sz w:val="24"/>
          <w:szCs w:val="24"/>
        </w:rPr>
        <w:t>（部门用）</w:t>
      </w:r>
      <w:r w:rsidR="00DC18D5">
        <w:rPr>
          <w:rFonts w:ascii="黑体" w:eastAsia="黑体" w:hAnsi="黑体" w:cs="Times New Roman" w:hint="eastAsia"/>
          <w:color w:val="000000"/>
          <w:sz w:val="24"/>
          <w:szCs w:val="24"/>
        </w:rPr>
        <w:t xml:space="preserve"> </w:t>
      </w:r>
    </w:p>
    <w:bookmarkEnd w:id="0"/>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480"/>
        <w:rPr>
          <w:rFonts w:ascii="黑体" w:eastAsia="黑体" w:hAnsi="黑体" w:cs="Times New Roman"/>
          <w:color w:val="000000"/>
          <w:sz w:val="24"/>
          <w:szCs w:val="24"/>
        </w:rPr>
      </w:pPr>
      <w:r w:rsidRPr="00EA3A7A">
        <w:rPr>
          <w:rFonts w:ascii="黑体" w:eastAsia="黑体" w:hAnsi="黑体" w:cs="黑体" w:hint="eastAsia"/>
          <w:color w:val="000000"/>
          <w:sz w:val="24"/>
          <w:szCs w:val="24"/>
        </w:rPr>
        <w:t>一、决算汇编基本情况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（一）部门机构情况说明</w:t>
      </w:r>
    </w:p>
    <w:p w:rsidR="00EA3A7A" w:rsidRPr="00EA3A7A" w:rsidRDefault="00F625C3" w:rsidP="00EA3A7A">
      <w:pPr>
        <w:snapToGrid w:val="0"/>
        <w:ind w:firstLine="480"/>
        <w:rPr>
          <w:rFonts w:ascii="仿宋" w:eastAsia="仿宋" w:hAnsi="仿宋" w:cs="Times New Roman"/>
          <w:color w:val="000000"/>
          <w:sz w:val="24"/>
          <w:szCs w:val="24"/>
        </w:rPr>
      </w:pPr>
      <w:r>
        <w:rPr>
          <w:rFonts w:ascii="宋体" w:eastAsia="宋体" w:hAnsi="宋体" w:cs="宋体" w:hint="eastAsia"/>
          <w:color w:val="000000"/>
          <w:sz w:val="24"/>
          <w:szCs w:val="24"/>
          <w:u w:val="single"/>
        </w:rPr>
        <w:t>201</w:t>
      </w:r>
      <w:r w:rsidR="00555D4C">
        <w:rPr>
          <w:rFonts w:ascii="宋体" w:eastAsia="宋体" w:hAnsi="宋体" w:cs="宋体" w:hint="eastAsia"/>
          <w:color w:val="000000"/>
          <w:sz w:val="24"/>
          <w:szCs w:val="24"/>
          <w:u w:val="single"/>
        </w:rPr>
        <w:t>6</w:t>
      </w:r>
      <w:r w:rsidR="00EA3A7A" w:rsidRPr="00EA3A7A">
        <w:rPr>
          <w:rFonts w:ascii="宋体" w:eastAsia="宋体" w:hAnsi="宋体" w:cs="宋体" w:hint="eastAsia"/>
          <w:color w:val="000000"/>
          <w:sz w:val="24"/>
          <w:szCs w:val="24"/>
          <w:u w:val="single"/>
        </w:rPr>
        <w:t> </w:t>
      </w:r>
      <w:r w:rsidR="00EA3A7A" w:rsidRPr="00EA3A7A">
        <w:rPr>
          <w:rFonts w:ascii="仿宋" w:eastAsia="仿宋" w:hAnsi="仿宋" w:cs="仿宋" w:hint="eastAsia"/>
          <w:color w:val="000000"/>
          <w:sz w:val="24"/>
          <w:szCs w:val="24"/>
        </w:rPr>
        <w:t>年度，纳入本部门决算汇编范围的独立核算单位共</w:t>
      </w:r>
      <w:r w:rsidR="00EA3A7A" w:rsidRPr="00EA3A7A">
        <w:rPr>
          <w:rFonts w:ascii="宋体" w:eastAsia="宋体" w:hAnsi="宋体" w:cs="宋体" w:hint="eastAsia"/>
          <w:color w:val="000000"/>
          <w:sz w:val="24"/>
          <w:szCs w:val="24"/>
          <w:u w:val="single"/>
        </w:rPr>
        <w:t>  </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个，比上年增减</w:t>
      </w:r>
      <w:r w:rsidR="00EA3A7A" w:rsidRPr="00EA3A7A">
        <w:rPr>
          <w:rFonts w:ascii="宋体" w:eastAsia="宋体" w:hAnsi="宋体" w:cs="宋体" w:hint="eastAsia"/>
          <w:color w:val="000000"/>
          <w:sz w:val="24"/>
          <w:szCs w:val="24"/>
          <w:u w:val="single"/>
        </w:rPr>
        <w:t>  </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个，分类说明如下：</w:t>
      </w:r>
    </w:p>
    <w:tbl>
      <w:tblPr>
        <w:tblW w:w="5000" w:type="pct"/>
        <w:tblCellMar>
          <w:left w:w="0" w:type="dxa"/>
          <w:right w:w="0" w:type="dxa"/>
        </w:tblCellMar>
        <w:tblLook w:val="04A0"/>
      </w:tblPr>
      <w:tblGrid>
        <w:gridCol w:w="4867"/>
        <w:gridCol w:w="1718"/>
        <w:gridCol w:w="1576"/>
        <w:gridCol w:w="6013"/>
      </w:tblGrid>
      <w:tr w:rsidR="00EA3A7A" w:rsidRPr="00EA3A7A" w:rsidTr="00EA3A7A">
        <w:trPr>
          <w:trHeight w:val="70"/>
        </w:trPr>
        <w:tc>
          <w:tcPr>
            <w:tcW w:w="171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项目</w:t>
            </w:r>
          </w:p>
        </w:tc>
        <w:tc>
          <w:tcPr>
            <w:tcW w:w="60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数量</w:t>
            </w:r>
          </w:p>
        </w:tc>
        <w:tc>
          <w:tcPr>
            <w:tcW w:w="55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比上年增减</w:t>
            </w:r>
          </w:p>
        </w:tc>
        <w:tc>
          <w:tcPr>
            <w:tcW w:w="212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变动原因说明</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合</w:t>
            </w: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计</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一、按单位基本性质</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行政单位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事业单位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其他</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二、按执行会计制度</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行政单位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ind w:firstLineChars="200" w:firstLine="480"/>
              <w:rPr>
                <w:rFonts w:ascii="仿宋" w:eastAsia="仿宋" w:hAnsi="仿宋" w:cs="Times New Roman"/>
                <w:sz w:val="24"/>
                <w:szCs w:val="24"/>
              </w:rPr>
            </w:pPr>
            <w:r w:rsidRPr="00EA3A7A">
              <w:rPr>
                <w:rFonts w:ascii="仿宋" w:eastAsia="仿宋" w:hAnsi="仿宋" w:cs="仿宋_GB2312" w:hint="eastAsia"/>
                <w:color w:val="000000"/>
                <w:sz w:val="24"/>
                <w:szCs w:val="24"/>
              </w:rPr>
              <w:t>事业单位（含行业）</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民间非营利组织</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企业</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三、按单位预算级次</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一级预算单位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二级预算单位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三级预算单位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bl>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（二）部门录入户数说明</w:t>
      </w:r>
    </w:p>
    <w:p w:rsidR="00EA3A7A" w:rsidRPr="00EA3A7A" w:rsidRDefault="00F625C3" w:rsidP="00EA3A7A">
      <w:pPr>
        <w:snapToGrid w:val="0"/>
        <w:ind w:firstLine="480"/>
        <w:rPr>
          <w:rFonts w:ascii="仿宋" w:eastAsia="仿宋" w:hAnsi="仿宋" w:cs="Times New Roman"/>
          <w:color w:val="000000"/>
          <w:sz w:val="24"/>
          <w:szCs w:val="24"/>
        </w:rPr>
      </w:pPr>
      <w:r>
        <w:rPr>
          <w:rFonts w:ascii="宋体" w:eastAsia="宋体" w:hAnsi="宋体" w:cs="宋体" w:hint="eastAsia"/>
          <w:color w:val="000000"/>
          <w:sz w:val="24"/>
          <w:szCs w:val="24"/>
          <w:u w:val="single"/>
        </w:rPr>
        <w:t>201</w:t>
      </w:r>
      <w:r w:rsidR="00555D4C">
        <w:rPr>
          <w:rFonts w:ascii="宋体" w:eastAsia="宋体" w:hAnsi="宋体" w:cs="宋体" w:hint="eastAsia"/>
          <w:color w:val="000000"/>
          <w:sz w:val="24"/>
          <w:szCs w:val="24"/>
          <w:u w:val="single"/>
        </w:rPr>
        <w:t>6</w:t>
      </w:r>
      <w:r w:rsidR="00EA3A7A" w:rsidRPr="00EA3A7A">
        <w:rPr>
          <w:rFonts w:ascii="仿宋" w:eastAsia="仿宋" w:hAnsi="仿宋" w:cs="仿宋" w:hint="eastAsia"/>
          <w:color w:val="000000"/>
          <w:sz w:val="24"/>
          <w:szCs w:val="24"/>
        </w:rPr>
        <w:t>年度，本部门决算汇编户数共</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个，比上年增减</w:t>
      </w:r>
      <w:r w:rsidR="00EA3A7A" w:rsidRPr="00EA3A7A">
        <w:rPr>
          <w:rFonts w:ascii="宋体" w:eastAsia="宋体" w:hAnsi="宋体" w:cs="宋体" w:hint="eastAsia"/>
          <w:color w:val="000000"/>
          <w:sz w:val="24"/>
          <w:szCs w:val="24"/>
          <w:u w:val="single"/>
        </w:rPr>
        <w:t> </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个，分类说明如下：</w:t>
      </w:r>
    </w:p>
    <w:tbl>
      <w:tblPr>
        <w:tblW w:w="5000" w:type="pct"/>
        <w:tblCellMar>
          <w:left w:w="0" w:type="dxa"/>
          <w:right w:w="0" w:type="dxa"/>
        </w:tblCellMar>
        <w:tblLook w:val="04A0"/>
      </w:tblPr>
      <w:tblGrid>
        <w:gridCol w:w="5904"/>
        <w:gridCol w:w="1775"/>
        <w:gridCol w:w="1477"/>
        <w:gridCol w:w="5018"/>
      </w:tblGrid>
      <w:tr w:rsidR="00EA3A7A" w:rsidRPr="00EA3A7A" w:rsidTr="00EA3A7A">
        <w:trPr>
          <w:trHeight w:val="60"/>
          <w:tblHeader/>
        </w:trPr>
        <w:tc>
          <w:tcPr>
            <w:tcW w:w="208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项目</w:t>
            </w:r>
          </w:p>
        </w:tc>
        <w:tc>
          <w:tcPr>
            <w:tcW w:w="626"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数量</w:t>
            </w:r>
          </w:p>
        </w:tc>
        <w:tc>
          <w:tcPr>
            <w:tcW w:w="521"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比上年增减</w:t>
            </w:r>
          </w:p>
        </w:tc>
        <w:tc>
          <w:tcPr>
            <w:tcW w:w="177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变动原因说明</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合</w:t>
            </w: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计</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一、单户表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lastRenderedPageBreak/>
              <w:t>二、行政单位汇总录入表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三、事业单位汇总录入表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四、经费自理事业单位汇总录入表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五、乡镇汇总录入表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六、其他单位汇总录入表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七、经费差额表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八、调整表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九、叠加汇总表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bl>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注：主管部门使用经费差额表代编收支及使用调整表调整收支重复汇总数的情况需另作说明，包括代编（或调整）的依据、涉及的单位和金额。</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Times New Roman"/>
          <w:color w:val="000000"/>
          <w:sz w:val="24"/>
          <w:szCs w:val="24"/>
        </w:rPr>
      </w:pPr>
      <w:r w:rsidRPr="00EA3A7A">
        <w:rPr>
          <w:rFonts w:ascii="黑体" w:eastAsia="黑体" w:hAnsi="黑体" w:cs="黑体" w:hint="eastAsia"/>
          <w:color w:val="000000"/>
          <w:sz w:val="24"/>
          <w:szCs w:val="24"/>
        </w:rPr>
        <w:t>二、基础数据核对情况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（一）与财政部门对账情况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1．财政拨款核对情况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（1）单位本年度实际收到的</w:t>
      </w:r>
      <w:r w:rsidRPr="00EA3A7A">
        <w:rPr>
          <w:rFonts w:ascii="仿宋" w:eastAsia="仿宋" w:hAnsi="仿宋" w:cs="仿宋" w:hint="eastAsia"/>
          <w:bCs/>
          <w:color w:val="000000"/>
          <w:sz w:val="24"/>
          <w:szCs w:val="24"/>
        </w:rPr>
        <w:t>一般</w:t>
      </w:r>
      <w:r w:rsidRPr="00EA3A7A">
        <w:rPr>
          <w:rFonts w:ascii="仿宋" w:eastAsia="仿宋" w:hAnsi="仿宋" w:cs="仿宋" w:hint="eastAsia"/>
          <w:color w:val="000000"/>
          <w:sz w:val="24"/>
          <w:szCs w:val="24"/>
        </w:rPr>
        <w:t>公共预算财政拨款收入</w:t>
      </w:r>
      <w:r w:rsidR="00541A1C" w:rsidRPr="00541A1C">
        <w:rPr>
          <w:rFonts w:ascii="宋体" w:eastAsia="宋体" w:hAnsi="宋体" w:cs="宋体"/>
          <w:color w:val="000000"/>
          <w:sz w:val="24"/>
          <w:szCs w:val="24"/>
          <w:u w:val="single"/>
        </w:rPr>
        <w:t>10,031,879.46</w:t>
      </w:r>
      <w:r w:rsidRPr="00EA3A7A">
        <w:rPr>
          <w:rFonts w:ascii="仿宋" w:eastAsia="仿宋" w:hAnsi="仿宋" w:cs="仿宋" w:hint="eastAsia"/>
          <w:color w:val="000000"/>
          <w:sz w:val="24"/>
          <w:szCs w:val="24"/>
        </w:rPr>
        <w:t>元，财政部门拨款对账单</w:t>
      </w:r>
      <w:r w:rsidR="00541A1C" w:rsidRPr="00541A1C">
        <w:rPr>
          <w:rFonts w:ascii="宋体" w:eastAsia="宋体" w:hAnsi="宋体" w:cs="宋体"/>
          <w:color w:val="000000"/>
          <w:sz w:val="24"/>
          <w:szCs w:val="24"/>
          <w:u w:val="single"/>
        </w:rPr>
        <w:t>10,031,879.46</w:t>
      </w:r>
      <w:r w:rsidRPr="00EA3A7A">
        <w:rPr>
          <w:rFonts w:ascii="仿宋" w:eastAsia="仿宋" w:hAnsi="仿宋" w:cs="仿宋" w:hint="eastAsia"/>
          <w:color w:val="000000"/>
          <w:sz w:val="24"/>
          <w:szCs w:val="24"/>
        </w:rPr>
        <w:t>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（2）单位本年度政府性基金预算财政拨款收入</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万元，财政部门拨款对账单</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2．财政专户管理资金核对情况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（1）单位本年度缴入财政专户</w:t>
      </w:r>
      <w:r w:rsidR="00F6443E" w:rsidRPr="00F6443E">
        <w:rPr>
          <w:rFonts w:ascii="宋体" w:eastAsia="宋体" w:hAnsi="宋体" w:cs="宋体"/>
          <w:color w:val="000000"/>
          <w:sz w:val="24"/>
          <w:szCs w:val="24"/>
          <w:u w:val="single"/>
        </w:rPr>
        <w:t>0</w:t>
      </w:r>
      <w:r w:rsidRPr="00EA3A7A">
        <w:rPr>
          <w:rFonts w:ascii="仿宋" w:eastAsia="仿宋" w:hAnsi="仿宋" w:cs="仿宋" w:hint="eastAsia"/>
          <w:color w:val="000000"/>
          <w:sz w:val="24"/>
          <w:szCs w:val="24"/>
        </w:rPr>
        <w:t>元，财政部门财政专户缴款对账单</w:t>
      </w:r>
      <w:r w:rsidR="00F6443E" w:rsidRPr="00F6443E">
        <w:rPr>
          <w:rFonts w:ascii="宋体" w:eastAsia="宋体" w:hAnsi="宋体" w:cs="宋体"/>
          <w:color w:val="000000"/>
          <w:sz w:val="24"/>
          <w:szCs w:val="24"/>
          <w:u w:val="single"/>
        </w:rPr>
        <w:t>0</w:t>
      </w:r>
      <w:r w:rsidRPr="00EA3A7A">
        <w:rPr>
          <w:rFonts w:ascii="仿宋" w:eastAsia="仿宋" w:hAnsi="仿宋" w:cs="仿宋" w:hint="eastAsia"/>
          <w:color w:val="000000"/>
          <w:sz w:val="24"/>
          <w:szCs w:val="24"/>
        </w:rPr>
        <w:t>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w:t>
      </w:r>
      <w:r w:rsidR="0019703F">
        <w:rPr>
          <w:rFonts w:ascii="仿宋" w:eastAsia="仿宋" w:hAnsi="仿宋" w:cs="仿宋" w:hint="eastAsia"/>
          <w:color w:val="000000"/>
          <w:sz w:val="24"/>
          <w:szCs w:val="24"/>
        </w:rPr>
        <w:t>（见填报说明附表）</w:t>
      </w:r>
    </w:p>
    <w:p w:rsidR="00EA3A7A" w:rsidRPr="00EA3A7A" w:rsidRDefault="00EA3A7A" w:rsidP="00EA0D83">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（2）单位本年度财政专户</w:t>
      </w:r>
      <w:r w:rsidRPr="00EA3A7A">
        <w:rPr>
          <w:rFonts w:ascii="仿宋" w:eastAsia="仿宋" w:hAnsi="仿宋" w:cs="仿宋" w:hint="eastAsia"/>
          <w:bCs/>
          <w:color w:val="000000"/>
          <w:sz w:val="24"/>
          <w:szCs w:val="24"/>
        </w:rPr>
        <w:t>管理</w:t>
      </w:r>
      <w:r w:rsidRPr="00EA3A7A">
        <w:rPr>
          <w:rFonts w:ascii="仿宋" w:eastAsia="仿宋" w:hAnsi="仿宋" w:cs="仿宋" w:hint="eastAsia"/>
          <w:color w:val="000000"/>
          <w:sz w:val="24"/>
          <w:szCs w:val="24"/>
        </w:rPr>
        <w:t>资金收入</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万元，财政部门财政专户拨款对账单</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w:t>
      </w:r>
      <w:r w:rsidR="00EA0D83">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（二）上年结转和结余核对及指标变动情况</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1．本部门全口径、</w:t>
      </w:r>
      <w:r w:rsidRPr="00EA3A7A">
        <w:rPr>
          <w:rFonts w:ascii="仿宋" w:eastAsia="仿宋" w:hAnsi="仿宋" w:cs="仿宋" w:hint="eastAsia"/>
          <w:bCs/>
          <w:color w:val="000000"/>
          <w:sz w:val="24"/>
          <w:szCs w:val="24"/>
        </w:rPr>
        <w:t>一般</w:t>
      </w:r>
      <w:r w:rsidRPr="00EA3A7A">
        <w:rPr>
          <w:rFonts w:ascii="仿宋" w:eastAsia="仿宋" w:hAnsi="仿宋" w:cs="仿宋" w:hint="eastAsia"/>
          <w:color w:val="000000"/>
          <w:sz w:val="24"/>
          <w:szCs w:val="24"/>
        </w:rPr>
        <w:t>公共预算财政拨款、政府性基金预算财政拨款和财政专户管理资金的结转和结余资金上年年末数与本年年初数不一致的情况说明（</w:t>
      </w:r>
      <w:r w:rsidR="00061BFC">
        <w:rPr>
          <w:rFonts w:ascii="仿宋" w:eastAsia="仿宋" w:hAnsi="仿宋" w:cs="仿宋" w:hint="eastAsia"/>
          <w:color w:val="000000"/>
          <w:sz w:val="24"/>
          <w:szCs w:val="24"/>
        </w:rPr>
        <w:t>见填报说明附表）</w:t>
      </w:r>
      <w:r w:rsidRPr="00EA3A7A">
        <w:rPr>
          <w:rFonts w:ascii="仿宋" w:eastAsia="仿宋" w:hAnsi="仿宋" w:cs="仿宋" w:hint="eastAsia"/>
          <w:color w:val="000000"/>
          <w:sz w:val="24"/>
          <w:szCs w:val="24"/>
        </w:rPr>
        <w:t>，包括</w:t>
      </w:r>
      <w:r w:rsidRPr="00EA3A7A">
        <w:rPr>
          <w:rFonts w:ascii="仿宋" w:eastAsia="仿宋" w:hAnsi="仿宋" w:cs="仿宋" w:hint="eastAsia"/>
          <w:bCs/>
          <w:color w:val="000000"/>
          <w:sz w:val="24"/>
          <w:szCs w:val="24"/>
        </w:rPr>
        <w:t>财政收回、审计调整、归集调入或上缴、单位内部调剂等情况</w:t>
      </w:r>
      <w:r w:rsidRPr="00EA3A7A">
        <w:rPr>
          <w:rFonts w:ascii="仿宋" w:eastAsia="仿宋" w:hAnsi="仿宋" w:cs="仿宋" w:hint="eastAsia"/>
          <w:color w:val="000000"/>
          <w:sz w:val="24"/>
          <w:szCs w:val="24"/>
        </w:rPr>
        <w:t>。</w:t>
      </w:r>
      <w:r w:rsidR="0019703F">
        <w:rPr>
          <w:rFonts w:ascii="仿宋" w:eastAsia="仿宋" w:hAnsi="仿宋" w:cs="仿宋" w:hint="eastAsia"/>
          <w:color w:val="000000"/>
          <w:sz w:val="24"/>
          <w:szCs w:val="24"/>
        </w:rPr>
        <w:t>（见填报说明附表）</w:t>
      </w:r>
    </w:p>
    <w:p w:rsidR="00EA3A7A" w:rsidRPr="00EA3A7A" w:rsidRDefault="00061BFC" w:rsidP="00EA3A7A">
      <w:pPr>
        <w:snapToGrid w:val="0"/>
        <w:ind w:firstLine="480"/>
        <w:rPr>
          <w:rFonts w:ascii="仿宋" w:eastAsia="仿宋" w:hAnsi="仿宋" w:cs="仿宋"/>
          <w:color w:val="000000"/>
          <w:sz w:val="24"/>
          <w:szCs w:val="24"/>
        </w:rPr>
      </w:pPr>
      <w:r>
        <w:rPr>
          <w:rFonts w:ascii="仿宋" w:eastAsia="仿宋" w:hAnsi="仿宋" w:cs="仿宋" w:hint="eastAsia"/>
          <w:color w:val="000000"/>
          <w:sz w:val="24"/>
          <w:szCs w:val="24"/>
        </w:rPr>
        <w:t xml:space="preserve">    </w:t>
      </w:r>
      <w:r w:rsidR="00EA3A7A" w:rsidRPr="00EA3A7A">
        <w:rPr>
          <w:rFonts w:ascii="仿宋" w:eastAsia="仿宋" w:hAnsi="仿宋" w:cs="仿宋" w:hint="eastAsia"/>
          <w:color w:val="000000"/>
          <w:sz w:val="24"/>
          <w:szCs w:val="24"/>
        </w:rPr>
        <w:t>2．本部门资产负债简表上年年末数与本年年初数不一致的情况说明（</w:t>
      </w:r>
      <w:r>
        <w:rPr>
          <w:rFonts w:ascii="仿宋" w:eastAsia="仿宋" w:hAnsi="仿宋" w:cs="仿宋" w:hint="eastAsia"/>
          <w:color w:val="000000"/>
          <w:sz w:val="24"/>
          <w:szCs w:val="24"/>
        </w:rPr>
        <w:t>填报说明</w:t>
      </w:r>
      <w:r w:rsidR="00EA3A7A" w:rsidRPr="00EA3A7A">
        <w:rPr>
          <w:rFonts w:ascii="仿宋" w:eastAsia="仿宋" w:hAnsi="仿宋" w:cs="仿宋" w:hint="eastAsia"/>
          <w:color w:val="000000"/>
          <w:sz w:val="24"/>
          <w:szCs w:val="24"/>
        </w:rPr>
        <w:t>附表）</w:t>
      </w:r>
      <w:r w:rsidR="00EA3A7A" w:rsidRPr="00EA3A7A">
        <w:rPr>
          <w:rFonts w:ascii="仿宋" w:eastAsia="仿宋" w:hAnsi="仿宋" w:cs="仿宋" w:hint="eastAsia"/>
          <w:bCs/>
          <w:color w:val="000000"/>
          <w:sz w:val="24"/>
          <w:szCs w:val="24"/>
        </w:rPr>
        <w:t>，</w:t>
      </w:r>
      <w:r w:rsidR="00EA3A7A" w:rsidRPr="00EA3A7A">
        <w:rPr>
          <w:rFonts w:ascii="仿宋" w:eastAsia="仿宋" w:hAnsi="仿宋" w:cs="仿宋" w:hint="eastAsia"/>
          <w:color w:val="000000"/>
          <w:sz w:val="24"/>
          <w:szCs w:val="24"/>
        </w:rPr>
        <w:t>3．主要指标上下年变动幅度超过20%，其中机构人员指标上下年有变动的，应具体核实并说明原因（</w:t>
      </w:r>
      <w:r w:rsidR="00EA0D83">
        <w:rPr>
          <w:rFonts w:ascii="仿宋" w:eastAsia="仿宋" w:hAnsi="仿宋" w:cs="仿宋" w:hint="eastAsia"/>
          <w:color w:val="000000"/>
          <w:sz w:val="24"/>
          <w:szCs w:val="24"/>
        </w:rPr>
        <w:t>见填报说明表</w:t>
      </w:r>
      <w:r w:rsidR="00EA3A7A" w:rsidRPr="00EA3A7A">
        <w:rPr>
          <w:rFonts w:ascii="仿宋" w:eastAsia="仿宋" w:hAnsi="仿宋" w:cs="仿宋" w:hint="eastAsia"/>
          <w:color w:val="000000"/>
          <w:sz w:val="24"/>
          <w:szCs w:val="24"/>
        </w:rPr>
        <w:t>）。</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黑体"/>
          <w:color w:val="000000"/>
          <w:sz w:val="24"/>
          <w:szCs w:val="24"/>
        </w:rPr>
      </w:pPr>
      <w:r w:rsidRPr="00EA3A7A">
        <w:rPr>
          <w:rFonts w:ascii="黑体" w:eastAsia="黑体" w:hAnsi="黑体" w:cs="黑体" w:hint="eastAsia"/>
          <w:color w:val="000000"/>
          <w:sz w:val="24"/>
          <w:szCs w:val="24"/>
        </w:rPr>
        <w:t>三、报表审核情况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（一）审核情况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（二）对报表指标、审核公式和审核模板的设置建议</w:t>
      </w:r>
      <w:r w:rsidR="00EA0D83">
        <w:rPr>
          <w:rFonts w:ascii="仿宋" w:eastAsia="仿宋" w:hAnsi="仿宋" w:cs="仿宋" w:hint="eastAsia"/>
          <w:color w:val="000000"/>
          <w:sz w:val="24"/>
          <w:szCs w:val="24"/>
        </w:rPr>
        <w:t>（</w:t>
      </w:r>
      <w:r w:rsidR="00EA0D83">
        <w:rPr>
          <w:rFonts w:ascii="仿宋" w:eastAsia="仿宋" w:hAnsi="仿宋" w:cs="仿宋" w:hint="eastAsia"/>
          <w:color w:val="000000"/>
          <w:sz w:val="24"/>
          <w:szCs w:val="24"/>
        </w:rPr>
        <w:tab/>
        <w:t>无）</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1．对部门决算报表指标设置的建议。</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2．如有不适用的审核公式和模板，请列出并说明修改意见。</w:t>
      </w:r>
      <w:r w:rsidR="00EA0D83">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3．单位自行增加的审核公式和模板，请列出并说明设置依据。</w:t>
      </w:r>
      <w:r w:rsidR="00EA0D83">
        <w:rPr>
          <w:rFonts w:ascii="仿宋" w:eastAsia="仿宋" w:hAnsi="仿宋" w:cs="仿宋" w:hint="eastAsia"/>
          <w:color w:val="000000"/>
          <w:sz w:val="24"/>
          <w:szCs w:val="24"/>
        </w:rPr>
        <w:t>（无）</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黑体"/>
          <w:color w:val="000000"/>
          <w:sz w:val="24"/>
          <w:szCs w:val="24"/>
        </w:rPr>
      </w:pPr>
      <w:r w:rsidRPr="00EA3A7A">
        <w:rPr>
          <w:rFonts w:ascii="黑体" w:eastAsia="黑体" w:hAnsi="黑体" w:cs="黑体" w:hint="eastAsia"/>
          <w:color w:val="000000"/>
          <w:sz w:val="24"/>
          <w:szCs w:val="24"/>
        </w:rPr>
        <w:t>四、决算数据其他需要说明的情况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1．“收入决算表”中</w:t>
      </w:r>
      <w:r w:rsidRPr="00EA3A7A">
        <w:rPr>
          <w:rFonts w:ascii="仿宋" w:eastAsia="仿宋" w:hAnsi="仿宋" w:cs="仿宋" w:hint="eastAsia"/>
          <w:color w:val="000000"/>
          <w:spacing w:val="6"/>
          <w:sz w:val="24"/>
          <w:szCs w:val="24"/>
        </w:rPr>
        <w:t>其他收入的具体构成情况，</w:t>
      </w:r>
      <w:r w:rsidRPr="00EA3A7A">
        <w:rPr>
          <w:rFonts w:ascii="仿宋" w:eastAsia="仿宋" w:hAnsi="仿宋" w:cs="仿宋" w:hint="eastAsia"/>
          <w:color w:val="000000"/>
          <w:sz w:val="24"/>
          <w:szCs w:val="24"/>
        </w:rPr>
        <w:t>说明单位从本级财政部门以外的同级单位取得的经费、从非本级财政部门取得的经费、未纳入财政专户管理的投资收益、利息收入、捐赠收入等收入情况（</w:t>
      </w:r>
      <w:r w:rsidR="00EA0D83">
        <w:rPr>
          <w:rFonts w:ascii="仿宋" w:eastAsia="仿宋" w:hAnsi="仿宋" w:cs="仿宋" w:hint="eastAsia"/>
          <w:color w:val="000000"/>
          <w:sz w:val="24"/>
          <w:szCs w:val="24"/>
        </w:rPr>
        <w:t>见填报说明</w:t>
      </w:r>
      <w:r w:rsidR="008F13B7">
        <w:rPr>
          <w:rFonts w:ascii="仿宋" w:eastAsia="仿宋" w:hAnsi="仿宋" w:cs="仿宋" w:hint="eastAsia"/>
          <w:color w:val="000000"/>
          <w:sz w:val="24"/>
          <w:szCs w:val="24"/>
        </w:rPr>
        <w:t>附表</w:t>
      </w:r>
      <w:r w:rsidRPr="00EA3A7A">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2．年末结转和结余为负数的原因说明，包括单位基本支出结转、项目支出结转和结余、事业基金结余和专用基金结余为负数的情况。</w:t>
      </w:r>
      <w:r w:rsidR="00EA0D83">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3．“支出决算明细表”中，部门转拨附属单位或者非本级预算单位的经费支出，应具体说明支出经济分类科目、去向和金额。（如“商品和服务支出－其他商品和服务支出”，拨给……单位用于……事务，……万元）</w:t>
      </w:r>
      <w:r w:rsidRPr="00EA3A7A">
        <w:rPr>
          <w:rFonts w:ascii="仿宋" w:eastAsia="仿宋" w:hAnsi="仿宋" w:cs="仿宋" w:hint="eastAsia"/>
          <w:bCs/>
          <w:color w:val="000000"/>
          <w:sz w:val="24"/>
          <w:szCs w:val="24"/>
        </w:rPr>
        <w:t>。</w:t>
      </w:r>
      <w:r w:rsidR="00EA0D83">
        <w:rPr>
          <w:rFonts w:ascii="仿宋" w:eastAsia="仿宋" w:hAnsi="仿宋" w:cs="仿宋" w:hint="eastAsia"/>
          <w:bCs/>
          <w:color w:val="000000"/>
          <w:sz w:val="24"/>
          <w:szCs w:val="24"/>
        </w:rPr>
        <w:t>（无）</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4．“支出</w:t>
      </w:r>
      <w:r w:rsidRPr="00EA3A7A">
        <w:rPr>
          <w:rFonts w:ascii="仿宋" w:eastAsia="仿宋" w:hAnsi="仿宋" w:cs="仿宋" w:hint="eastAsia"/>
          <w:bCs/>
          <w:color w:val="000000"/>
          <w:sz w:val="24"/>
          <w:szCs w:val="24"/>
        </w:rPr>
        <w:t>决算</w:t>
      </w:r>
      <w:r w:rsidRPr="00EA3A7A">
        <w:rPr>
          <w:rFonts w:ascii="仿宋" w:eastAsia="仿宋" w:hAnsi="仿宋" w:cs="仿宋" w:hint="eastAsia"/>
          <w:color w:val="000000"/>
          <w:sz w:val="24"/>
          <w:szCs w:val="24"/>
        </w:rPr>
        <w:t>明细表”中“其他工资福利支出”的具体构成，如</w:t>
      </w:r>
      <w:r w:rsidRPr="00EA3A7A">
        <w:rPr>
          <w:rFonts w:ascii="仿宋" w:eastAsia="仿宋" w:hAnsi="仿宋" w:cs="仿宋" w:hint="eastAsia"/>
          <w:bCs/>
          <w:color w:val="000000"/>
          <w:sz w:val="24"/>
          <w:szCs w:val="24"/>
        </w:rPr>
        <w:t>用于</w:t>
      </w:r>
      <w:r w:rsidRPr="00EA3A7A">
        <w:rPr>
          <w:rFonts w:ascii="仿宋" w:eastAsia="仿宋" w:hAnsi="仿宋" w:cs="仿宋" w:hint="eastAsia"/>
          <w:color w:val="000000"/>
          <w:sz w:val="24"/>
          <w:szCs w:val="24"/>
        </w:rPr>
        <w:t>开支编制外长期聘用人员支出，需说明开支人数及相应的支出标准。</w:t>
      </w:r>
    </w:p>
    <w:p w:rsidR="005925B3" w:rsidRDefault="00EA0D83"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保安工资：</w:t>
      </w:r>
      <w:r w:rsidR="005862CC">
        <w:rPr>
          <w:rFonts w:ascii="仿宋" w:eastAsia="仿宋" w:hAnsi="仿宋" w:cs="Times New Roman" w:hint="eastAsia"/>
          <w:color w:val="000000"/>
          <w:sz w:val="24"/>
          <w:szCs w:val="24"/>
        </w:rPr>
        <w:t>共</w:t>
      </w:r>
      <w:r w:rsidR="00BB09BD">
        <w:rPr>
          <w:rFonts w:ascii="仿宋" w:eastAsia="仿宋" w:hAnsi="仿宋" w:cs="Times New Roman" w:hint="eastAsia"/>
          <w:color w:val="000000"/>
          <w:sz w:val="24"/>
          <w:szCs w:val="24"/>
        </w:rPr>
        <w:t>10</w:t>
      </w:r>
      <w:r w:rsidR="005862CC">
        <w:rPr>
          <w:rFonts w:ascii="仿宋" w:eastAsia="仿宋" w:hAnsi="仿宋" w:cs="Times New Roman" w:hint="eastAsia"/>
          <w:color w:val="000000"/>
          <w:sz w:val="24"/>
          <w:szCs w:val="24"/>
        </w:rPr>
        <w:t>人，月人均</w:t>
      </w:r>
      <w:r w:rsidR="00CA5D49">
        <w:rPr>
          <w:rFonts w:ascii="仿宋" w:eastAsia="仿宋" w:hAnsi="仿宋" w:cs="Times New Roman" w:hint="eastAsia"/>
          <w:color w:val="000000"/>
          <w:sz w:val="24"/>
          <w:szCs w:val="24"/>
        </w:rPr>
        <w:t>25</w:t>
      </w:r>
      <w:r w:rsidR="00BB09BD">
        <w:rPr>
          <w:rFonts w:ascii="仿宋" w:eastAsia="仿宋" w:hAnsi="仿宋" w:cs="Times New Roman" w:hint="eastAsia"/>
          <w:color w:val="000000"/>
          <w:sz w:val="24"/>
          <w:szCs w:val="24"/>
        </w:rPr>
        <w:t>00</w:t>
      </w:r>
      <w:r w:rsidR="005862CC">
        <w:rPr>
          <w:rFonts w:ascii="仿宋" w:eastAsia="仿宋" w:hAnsi="仿宋" w:cs="Times New Roman" w:hint="eastAsia"/>
          <w:color w:val="000000"/>
          <w:sz w:val="24"/>
          <w:szCs w:val="24"/>
        </w:rPr>
        <w:t>元，共计</w:t>
      </w:r>
      <w:r w:rsidR="00555D4C">
        <w:rPr>
          <w:rFonts w:ascii="仿宋" w:eastAsia="仿宋" w:hAnsi="仿宋" w:cs="Times New Roman" w:hint="eastAsia"/>
          <w:color w:val="000000"/>
          <w:sz w:val="24"/>
          <w:szCs w:val="24"/>
        </w:rPr>
        <w:t>294875.2</w:t>
      </w:r>
      <w:r>
        <w:rPr>
          <w:rFonts w:ascii="仿宋" w:eastAsia="仿宋" w:hAnsi="仿宋" w:cs="Times New Roman" w:hint="eastAsia"/>
          <w:color w:val="000000"/>
          <w:sz w:val="24"/>
          <w:szCs w:val="24"/>
        </w:rPr>
        <w:t>元</w:t>
      </w:r>
    </w:p>
    <w:p w:rsidR="00EA0D83" w:rsidRDefault="00EA0D83"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聘用教师工资：</w:t>
      </w:r>
      <w:r w:rsidR="002D04CD">
        <w:rPr>
          <w:rFonts w:ascii="仿宋" w:eastAsia="仿宋" w:hAnsi="仿宋" w:cs="Times New Roman" w:hint="eastAsia"/>
          <w:color w:val="000000"/>
          <w:sz w:val="24"/>
          <w:szCs w:val="24"/>
        </w:rPr>
        <w:t>年初11人，</w:t>
      </w:r>
      <w:r w:rsidR="00CA5D49">
        <w:rPr>
          <w:rFonts w:ascii="仿宋" w:eastAsia="仿宋" w:hAnsi="仿宋" w:cs="Times New Roman" w:hint="eastAsia"/>
          <w:color w:val="000000"/>
          <w:sz w:val="24"/>
          <w:szCs w:val="24"/>
        </w:rPr>
        <w:t>年末</w:t>
      </w:r>
      <w:r w:rsidR="005862CC">
        <w:rPr>
          <w:rFonts w:ascii="仿宋" w:eastAsia="仿宋" w:hAnsi="仿宋" w:cs="Times New Roman" w:hint="eastAsia"/>
          <w:color w:val="000000"/>
          <w:sz w:val="24"/>
          <w:szCs w:val="24"/>
        </w:rPr>
        <w:t>共</w:t>
      </w:r>
      <w:r w:rsidR="002D04CD">
        <w:rPr>
          <w:rFonts w:ascii="仿宋" w:eastAsia="仿宋" w:hAnsi="仿宋" w:cs="Times New Roman" w:hint="eastAsia"/>
          <w:color w:val="000000"/>
          <w:sz w:val="24"/>
          <w:szCs w:val="24"/>
        </w:rPr>
        <w:t>7</w:t>
      </w:r>
      <w:r w:rsidR="005862CC">
        <w:rPr>
          <w:rFonts w:ascii="仿宋" w:eastAsia="仿宋" w:hAnsi="仿宋" w:cs="Times New Roman" w:hint="eastAsia"/>
          <w:color w:val="000000"/>
          <w:sz w:val="24"/>
          <w:szCs w:val="24"/>
        </w:rPr>
        <w:t>人，月人均</w:t>
      </w:r>
      <w:r w:rsidR="00437663">
        <w:rPr>
          <w:rFonts w:ascii="仿宋" w:eastAsia="仿宋" w:hAnsi="仿宋" w:cs="Times New Roman" w:hint="eastAsia"/>
          <w:color w:val="000000"/>
          <w:sz w:val="24"/>
          <w:szCs w:val="24"/>
        </w:rPr>
        <w:t>2</w:t>
      </w:r>
      <w:r w:rsidR="002D04CD">
        <w:rPr>
          <w:rFonts w:ascii="仿宋" w:eastAsia="仿宋" w:hAnsi="仿宋" w:cs="Times New Roman" w:hint="eastAsia"/>
          <w:color w:val="000000"/>
          <w:sz w:val="24"/>
          <w:szCs w:val="24"/>
        </w:rPr>
        <w:t>328</w:t>
      </w:r>
      <w:r w:rsidR="005862CC">
        <w:rPr>
          <w:rFonts w:ascii="仿宋" w:eastAsia="仿宋" w:hAnsi="仿宋" w:cs="Times New Roman" w:hint="eastAsia"/>
          <w:color w:val="000000"/>
          <w:sz w:val="24"/>
          <w:szCs w:val="24"/>
        </w:rPr>
        <w:t>元，共计</w:t>
      </w:r>
      <w:r w:rsidR="002D04CD">
        <w:rPr>
          <w:rFonts w:ascii="仿宋" w:eastAsia="仿宋" w:hAnsi="仿宋" w:cs="Times New Roman" w:hint="eastAsia"/>
          <w:color w:val="000000"/>
          <w:sz w:val="24"/>
          <w:szCs w:val="24"/>
        </w:rPr>
        <w:t>260050.7</w:t>
      </w:r>
      <w:r>
        <w:rPr>
          <w:rFonts w:ascii="仿宋" w:eastAsia="仿宋" w:hAnsi="仿宋" w:cs="Times New Roman" w:hint="eastAsia"/>
          <w:color w:val="000000"/>
          <w:sz w:val="24"/>
          <w:szCs w:val="24"/>
        </w:rPr>
        <w:t>元</w:t>
      </w:r>
    </w:p>
    <w:p w:rsidR="00F17BDC" w:rsidRDefault="00F17BD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临时工：</w:t>
      </w:r>
      <w:r w:rsidR="002D04CD">
        <w:rPr>
          <w:rFonts w:ascii="仿宋" w:eastAsia="仿宋" w:hAnsi="仿宋" w:cs="Times New Roman" w:hint="eastAsia"/>
          <w:color w:val="000000"/>
          <w:sz w:val="24"/>
          <w:szCs w:val="24"/>
        </w:rPr>
        <w:t>2</w:t>
      </w:r>
      <w:r w:rsidR="00437663">
        <w:rPr>
          <w:rFonts w:ascii="仿宋" w:eastAsia="仿宋" w:hAnsi="仿宋" w:cs="Times New Roman" w:hint="eastAsia"/>
          <w:color w:val="000000"/>
          <w:sz w:val="24"/>
          <w:szCs w:val="24"/>
        </w:rPr>
        <w:t>个，月人均</w:t>
      </w:r>
      <w:r w:rsidR="002D04CD">
        <w:rPr>
          <w:rFonts w:ascii="仿宋" w:eastAsia="仿宋" w:hAnsi="仿宋" w:cs="Times New Roman" w:hint="eastAsia"/>
          <w:color w:val="000000"/>
          <w:sz w:val="24"/>
          <w:szCs w:val="24"/>
        </w:rPr>
        <w:t>2000</w:t>
      </w:r>
      <w:r w:rsidR="00437663">
        <w:rPr>
          <w:rFonts w:ascii="仿宋" w:eastAsia="仿宋" w:hAnsi="仿宋" w:cs="Times New Roman" w:hint="eastAsia"/>
          <w:color w:val="000000"/>
          <w:sz w:val="24"/>
          <w:szCs w:val="24"/>
        </w:rPr>
        <w:t>元，</w:t>
      </w:r>
      <w:r>
        <w:rPr>
          <w:rFonts w:ascii="仿宋" w:eastAsia="仿宋" w:hAnsi="仿宋" w:cs="Times New Roman" w:hint="eastAsia"/>
          <w:color w:val="000000"/>
          <w:sz w:val="24"/>
          <w:szCs w:val="24"/>
        </w:rPr>
        <w:t>共计</w:t>
      </w:r>
      <w:r w:rsidR="002D04CD">
        <w:rPr>
          <w:rFonts w:ascii="仿宋" w:eastAsia="仿宋" w:hAnsi="仿宋" w:cs="Times New Roman" w:hint="eastAsia"/>
          <w:color w:val="000000"/>
          <w:sz w:val="24"/>
          <w:szCs w:val="24"/>
        </w:rPr>
        <w:t>25158</w:t>
      </w:r>
      <w:r>
        <w:rPr>
          <w:rFonts w:ascii="仿宋" w:eastAsia="仿宋" w:hAnsi="仿宋" w:cs="Times New Roman" w:hint="eastAsia"/>
          <w:color w:val="000000"/>
          <w:sz w:val="24"/>
          <w:szCs w:val="24"/>
        </w:rPr>
        <w:t>元</w:t>
      </w:r>
    </w:p>
    <w:p w:rsidR="00BB09BD" w:rsidRPr="00BB09BD" w:rsidRDefault="00BB09BD"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在职基层教师补贴：</w:t>
      </w:r>
      <w:r w:rsidR="002D04CD">
        <w:rPr>
          <w:rFonts w:ascii="仿宋" w:eastAsia="仿宋" w:hAnsi="仿宋" w:cs="Times New Roman" w:hint="eastAsia"/>
          <w:color w:val="000000"/>
          <w:sz w:val="24"/>
          <w:szCs w:val="24"/>
        </w:rPr>
        <w:t>43</w:t>
      </w:r>
      <w:r>
        <w:rPr>
          <w:rFonts w:ascii="仿宋" w:eastAsia="仿宋" w:hAnsi="仿宋" w:cs="Times New Roman" w:hint="eastAsia"/>
          <w:color w:val="000000"/>
          <w:sz w:val="24"/>
          <w:szCs w:val="24"/>
        </w:rPr>
        <w:t>人，人均每月100元，共计</w:t>
      </w:r>
      <w:r w:rsidR="002D04CD">
        <w:rPr>
          <w:rFonts w:ascii="仿宋" w:eastAsia="仿宋" w:hAnsi="仿宋" w:cs="Times New Roman" w:hint="eastAsia"/>
          <w:color w:val="000000"/>
          <w:sz w:val="24"/>
          <w:szCs w:val="24"/>
        </w:rPr>
        <w:t>51600</w:t>
      </w:r>
      <w:r>
        <w:rPr>
          <w:rFonts w:ascii="仿宋" w:eastAsia="仿宋" w:hAnsi="仿宋" w:cs="Times New Roman" w:hint="eastAsia"/>
          <w:color w:val="000000"/>
          <w:sz w:val="24"/>
          <w:szCs w:val="24"/>
        </w:rPr>
        <w:t>元</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5．“项目支出决算明细表”中列支“工资福利支出”和“对个人和家庭的补助”的依据及说明。</w:t>
      </w:r>
      <w:r w:rsidR="005862CC">
        <w:rPr>
          <w:rFonts w:ascii="仿宋" w:eastAsia="仿宋" w:hAnsi="仿宋" w:cs="仿宋" w:hint="eastAsia"/>
          <w:color w:val="000000"/>
          <w:sz w:val="24"/>
          <w:szCs w:val="24"/>
        </w:rPr>
        <w:t>（</w:t>
      </w:r>
      <w:r w:rsidR="00CA5D49">
        <w:rPr>
          <w:rFonts w:ascii="仿宋" w:eastAsia="仿宋" w:hAnsi="仿宋" w:cs="仿宋" w:hint="eastAsia"/>
          <w:color w:val="000000"/>
          <w:sz w:val="24"/>
          <w:szCs w:val="24"/>
        </w:rPr>
        <w:t>见填报说明附表</w:t>
      </w:r>
      <w:r w:rsidR="005862CC">
        <w:rPr>
          <w:rFonts w:ascii="仿宋" w:eastAsia="仿宋" w:hAnsi="仿宋" w:cs="仿宋" w:hint="eastAsia"/>
          <w:color w:val="000000"/>
          <w:sz w:val="24"/>
          <w:szCs w:val="24"/>
        </w:rPr>
        <w:t>）</w:t>
      </w:r>
    </w:p>
    <w:p w:rsidR="00EA3A7A" w:rsidRPr="00EA3A7A" w:rsidRDefault="00CA5D49" w:rsidP="00EA3A7A">
      <w:pPr>
        <w:snapToGrid w:val="0"/>
        <w:ind w:firstLine="480"/>
        <w:rPr>
          <w:rFonts w:ascii="仿宋" w:eastAsia="仿宋" w:hAnsi="仿宋" w:cs="Times New Roman"/>
          <w:color w:val="000000"/>
          <w:sz w:val="24"/>
          <w:szCs w:val="24"/>
        </w:rPr>
      </w:pPr>
      <w:r>
        <w:rPr>
          <w:rFonts w:ascii="仿宋" w:eastAsia="仿宋" w:hAnsi="仿宋" w:cs="仿宋" w:hint="eastAsia"/>
          <w:color w:val="000000"/>
          <w:sz w:val="24"/>
          <w:szCs w:val="24"/>
        </w:rPr>
        <w:t xml:space="preserve">   </w:t>
      </w:r>
      <w:r w:rsidR="00EA3A7A" w:rsidRPr="00EA3A7A">
        <w:rPr>
          <w:rFonts w:ascii="仿宋" w:eastAsia="仿宋" w:hAnsi="仿宋" w:cs="仿宋" w:hint="eastAsia"/>
          <w:color w:val="000000"/>
          <w:sz w:val="24"/>
          <w:szCs w:val="24"/>
        </w:rPr>
        <w:t>6．“财政专户管理资金收入支出决算表”中除教育收费以外的资金收支情况说明（需附相关文件依据）。</w:t>
      </w:r>
      <w:r w:rsidR="005862CC">
        <w:rPr>
          <w:rFonts w:ascii="仿宋" w:eastAsia="仿宋" w:hAnsi="仿宋" w:cs="仿宋" w:hint="eastAsia"/>
          <w:color w:val="000000"/>
          <w:sz w:val="24"/>
          <w:szCs w:val="24"/>
        </w:rPr>
        <w:t>（无）</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7．“资产负债简表”中行政事业单位“应收账款”、“预付账款”、“其他应收款”、“应付账款”、“预收账款”、“其他应付款”等往来账款情况说明。</w:t>
      </w:r>
    </w:p>
    <w:p w:rsidR="00437663" w:rsidRDefault="005862C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r w:rsidR="00437663">
        <w:rPr>
          <w:rFonts w:ascii="仿宋" w:eastAsia="仿宋" w:hAnsi="仿宋" w:cs="Times New Roman" w:hint="eastAsia"/>
          <w:color w:val="000000"/>
          <w:sz w:val="24"/>
          <w:szCs w:val="24"/>
        </w:rPr>
        <w:t>其它应收款：</w:t>
      </w:r>
      <w:r w:rsidR="00283A46">
        <w:rPr>
          <w:rFonts w:ascii="仿宋" w:eastAsia="仿宋" w:hAnsi="仿宋" w:cs="Times New Roman" w:hint="eastAsia"/>
          <w:color w:val="000000"/>
          <w:sz w:val="24"/>
          <w:szCs w:val="24"/>
        </w:rPr>
        <w:t>47668.03</w:t>
      </w:r>
      <w:r w:rsidR="00437663">
        <w:rPr>
          <w:rFonts w:ascii="仿宋" w:eastAsia="仿宋" w:hAnsi="仿宋" w:cs="Times New Roman" w:hint="eastAsia"/>
          <w:color w:val="000000"/>
          <w:sz w:val="24"/>
          <w:szCs w:val="24"/>
        </w:rPr>
        <w:t>元</w:t>
      </w:r>
    </w:p>
    <w:p w:rsidR="00437663" w:rsidRDefault="00437663"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lastRenderedPageBreak/>
        <w:t xml:space="preserve">   </w:t>
      </w:r>
      <w:r w:rsidR="00283A46">
        <w:rPr>
          <w:rFonts w:ascii="仿宋" w:eastAsia="仿宋" w:hAnsi="仿宋" w:cs="Times New Roman" w:hint="eastAsia"/>
          <w:color w:val="000000"/>
          <w:sz w:val="24"/>
          <w:szCs w:val="24"/>
        </w:rPr>
        <w:t xml:space="preserve">    </w:t>
      </w:r>
      <w:r w:rsidR="00BB09BD">
        <w:rPr>
          <w:rFonts w:ascii="仿宋" w:eastAsia="仿宋" w:hAnsi="仿宋" w:cs="Times New Roman" w:hint="eastAsia"/>
          <w:color w:val="000000"/>
          <w:sz w:val="24"/>
          <w:szCs w:val="24"/>
        </w:rPr>
        <w:t>原水西沟小学：5500元</w:t>
      </w:r>
    </w:p>
    <w:p w:rsidR="00BB09BD" w:rsidRDefault="00BB09BD"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市城建局：500元</w:t>
      </w:r>
    </w:p>
    <w:p w:rsidR="00BB09BD" w:rsidRDefault="00BB09BD" w:rsidP="0057061D">
      <w:pPr>
        <w:snapToGrid w:val="0"/>
        <w:ind w:firstLineChars="400" w:firstLine="960"/>
        <w:rPr>
          <w:rFonts w:ascii="仿宋" w:eastAsia="仿宋" w:hAnsi="仿宋" w:cs="Times New Roman"/>
          <w:color w:val="000000"/>
          <w:sz w:val="24"/>
          <w:szCs w:val="24"/>
        </w:rPr>
      </w:pPr>
      <w:r>
        <w:rPr>
          <w:rFonts w:ascii="仿宋" w:eastAsia="仿宋" w:hAnsi="仿宋" w:cs="Times New Roman" w:hint="eastAsia"/>
          <w:color w:val="000000"/>
          <w:sz w:val="24"/>
          <w:szCs w:val="24"/>
        </w:rPr>
        <w:t>乌县永昌福利工贸公司：2000元</w:t>
      </w:r>
    </w:p>
    <w:p w:rsidR="00BB09BD" w:rsidRDefault="00BB09BD" w:rsidP="0057061D">
      <w:pPr>
        <w:snapToGrid w:val="0"/>
        <w:ind w:firstLineChars="400" w:firstLine="960"/>
        <w:rPr>
          <w:rFonts w:ascii="仿宋" w:eastAsia="仿宋" w:hAnsi="仿宋" w:cs="Times New Roman"/>
          <w:color w:val="000000"/>
          <w:sz w:val="24"/>
          <w:szCs w:val="24"/>
        </w:rPr>
      </w:pPr>
      <w:r>
        <w:rPr>
          <w:rFonts w:ascii="仿宋" w:eastAsia="仿宋" w:hAnsi="仿宋" w:cs="Times New Roman" w:hint="eastAsia"/>
          <w:color w:val="000000"/>
          <w:sz w:val="24"/>
          <w:szCs w:val="24"/>
        </w:rPr>
        <w:t>杨桂琴：2000元</w:t>
      </w:r>
    </w:p>
    <w:p w:rsidR="00BB09BD" w:rsidRDefault="00BB09BD" w:rsidP="0057061D">
      <w:pPr>
        <w:snapToGrid w:val="0"/>
        <w:ind w:firstLineChars="400" w:firstLine="960"/>
        <w:rPr>
          <w:rFonts w:ascii="仿宋" w:eastAsia="仿宋" w:hAnsi="仿宋" w:cs="Times New Roman"/>
          <w:color w:val="000000"/>
          <w:sz w:val="24"/>
          <w:szCs w:val="24"/>
        </w:rPr>
      </w:pPr>
      <w:r>
        <w:rPr>
          <w:rFonts w:ascii="仿宋" w:eastAsia="仿宋" w:hAnsi="仿宋" w:cs="Times New Roman" w:hint="eastAsia"/>
          <w:color w:val="000000"/>
          <w:sz w:val="24"/>
          <w:szCs w:val="24"/>
        </w:rPr>
        <w:t>预付树苗款：15000元</w:t>
      </w:r>
    </w:p>
    <w:p w:rsidR="002D04CD" w:rsidRPr="00BB09BD" w:rsidRDefault="002D04CD" w:rsidP="0057061D">
      <w:pPr>
        <w:snapToGrid w:val="0"/>
        <w:ind w:firstLineChars="400" w:firstLine="960"/>
        <w:rPr>
          <w:rFonts w:ascii="仿宋" w:eastAsia="仿宋" w:hAnsi="仿宋" w:cs="Times New Roman"/>
          <w:color w:val="000000"/>
          <w:sz w:val="24"/>
          <w:szCs w:val="24"/>
        </w:rPr>
      </w:pPr>
      <w:r>
        <w:rPr>
          <w:rFonts w:ascii="仿宋" w:eastAsia="仿宋" w:hAnsi="仿宋" w:cs="Times New Roman" w:hint="eastAsia"/>
          <w:color w:val="000000"/>
          <w:sz w:val="24"/>
          <w:szCs w:val="24"/>
        </w:rPr>
        <w:t>杨小刚-报账员预支备用金：3030.3元</w:t>
      </w:r>
    </w:p>
    <w:p w:rsidR="00437663" w:rsidRDefault="00437663"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p>
    <w:p w:rsidR="005925B3" w:rsidRDefault="005862C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其它应付款：</w:t>
      </w:r>
      <w:r w:rsidR="0057061D">
        <w:rPr>
          <w:rFonts w:ascii="仿宋" w:eastAsia="仿宋" w:hAnsi="仿宋" w:cs="Times New Roman" w:hint="eastAsia"/>
          <w:color w:val="000000"/>
          <w:sz w:val="24"/>
          <w:szCs w:val="24"/>
        </w:rPr>
        <w:t>69760.25</w:t>
      </w:r>
      <w:r>
        <w:rPr>
          <w:rFonts w:ascii="仿宋" w:eastAsia="仿宋" w:hAnsi="仿宋" w:cs="Times New Roman" w:hint="eastAsia"/>
          <w:color w:val="000000"/>
          <w:sz w:val="24"/>
          <w:szCs w:val="24"/>
        </w:rPr>
        <w:t>元，</w:t>
      </w:r>
    </w:p>
    <w:p w:rsidR="00770AAC" w:rsidRDefault="00770AA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社会保障缴费：22132.92元</w:t>
      </w:r>
    </w:p>
    <w:p w:rsidR="00BB09BD" w:rsidRDefault="00F17BD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r w:rsidR="00BB09BD">
        <w:rPr>
          <w:rFonts w:ascii="仿宋" w:eastAsia="仿宋" w:hAnsi="仿宋" w:cs="Times New Roman" w:hint="eastAsia"/>
          <w:color w:val="000000"/>
          <w:sz w:val="24"/>
          <w:szCs w:val="24"/>
        </w:rPr>
        <w:t>住房公积金：1</w:t>
      </w:r>
      <w:r w:rsidR="00283A46">
        <w:rPr>
          <w:rFonts w:ascii="仿宋" w:eastAsia="仿宋" w:hAnsi="仿宋" w:cs="Times New Roman" w:hint="eastAsia"/>
          <w:color w:val="000000"/>
          <w:sz w:val="24"/>
          <w:szCs w:val="24"/>
        </w:rPr>
        <w:t>2877.9</w:t>
      </w:r>
      <w:r w:rsidR="00BB09BD">
        <w:rPr>
          <w:rFonts w:ascii="仿宋" w:eastAsia="仿宋" w:hAnsi="仿宋" w:cs="Times New Roman" w:hint="eastAsia"/>
          <w:color w:val="000000"/>
          <w:sz w:val="24"/>
          <w:szCs w:val="24"/>
        </w:rPr>
        <w:t>元</w:t>
      </w:r>
    </w:p>
    <w:p w:rsidR="00BB09BD" w:rsidRDefault="00BB09BD"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人民教育基金：1877.28</w:t>
      </w:r>
      <w:r w:rsidR="00F17BDC">
        <w:rPr>
          <w:rFonts w:ascii="仿宋" w:eastAsia="仿宋" w:hAnsi="仿宋" w:cs="Times New Roman" w:hint="eastAsia"/>
          <w:color w:val="000000"/>
          <w:sz w:val="24"/>
          <w:szCs w:val="24"/>
        </w:rPr>
        <w:t xml:space="preserve"> </w:t>
      </w:r>
    </w:p>
    <w:p w:rsidR="005862CC" w:rsidRDefault="005862CC" w:rsidP="00BB09BD">
      <w:pPr>
        <w:snapToGrid w:val="0"/>
        <w:ind w:firstLineChars="450" w:firstLine="1080"/>
        <w:rPr>
          <w:rFonts w:ascii="仿宋" w:eastAsia="仿宋" w:hAnsi="仿宋" w:cs="Times New Roman"/>
          <w:color w:val="000000"/>
          <w:sz w:val="24"/>
          <w:szCs w:val="24"/>
        </w:rPr>
      </w:pPr>
      <w:r>
        <w:rPr>
          <w:rFonts w:ascii="仿宋" w:eastAsia="仿宋" w:hAnsi="仿宋" w:cs="Times New Roman" w:hint="eastAsia"/>
          <w:color w:val="000000"/>
          <w:sz w:val="24"/>
          <w:szCs w:val="24"/>
        </w:rPr>
        <w:t>工会经费：</w:t>
      </w:r>
      <w:r w:rsidR="00770AAC">
        <w:rPr>
          <w:rFonts w:ascii="仿宋" w:eastAsia="仿宋" w:hAnsi="仿宋" w:cs="Times New Roman" w:hint="eastAsia"/>
          <w:color w:val="000000"/>
          <w:sz w:val="24"/>
          <w:szCs w:val="24"/>
        </w:rPr>
        <w:t>14984.19</w:t>
      </w:r>
      <w:r w:rsidR="00CA5D49">
        <w:rPr>
          <w:rFonts w:ascii="仿宋" w:eastAsia="仿宋" w:hAnsi="仿宋" w:cs="Times New Roman" w:hint="eastAsia"/>
          <w:color w:val="000000"/>
          <w:sz w:val="24"/>
          <w:szCs w:val="24"/>
        </w:rPr>
        <w:t>元</w:t>
      </w:r>
    </w:p>
    <w:p w:rsidR="00CA5D49" w:rsidRDefault="005862CC" w:rsidP="00BB09BD">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r w:rsidR="00CA5D49">
        <w:rPr>
          <w:rFonts w:ascii="仿宋" w:eastAsia="仿宋" w:hAnsi="仿宋" w:cs="Times New Roman" w:hint="eastAsia"/>
          <w:color w:val="000000"/>
          <w:sz w:val="24"/>
          <w:szCs w:val="24"/>
        </w:rPr>
        <w:t>单位考勤扣款</w:t>
      </w:r>
      <w:r w:rsidR="00770AAC">
        <w:rPr>
          <w:rFonts w:ascii="仿宋" w:eastAsia="仿宋" w:hAnsi="仿宋" w:cs="Times New Roman" w:hint="eastAsia"/>
          <w:color w:val="000000"/>
          <w:sz w:val="24"/>
          <w:szCs w:val="24"/>
        </w:rPr>
        <w:t>26753.15</w:t>
      </w:r>
      <w:r w:rsidR="00CA5D49">
        <w:rPr>
          <w:rFonts w:ascii="仿宋" w:eastAsia="仿宋" w:hAnsi="仿宋" w:cs="Times New Roman" w:hint="eastAsia"/>
          <w:color w:val="000000"/>
          <w:sz w:val="24"/>
          <w:szCs w:val="24"/>
        </w:rPr>
        <w:t>元</w:t>
      </w:r>
    </w:p>
    <w:p w:rsidR="00CA5D49" w:rsidRDefault="00CA5D49" w:rsidP="00CA5D49">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r w:rsidR="00BB09BD">
        <w:rPr>
          <w:rFonts w:ascii="仿宋" w:eastAsia="仿宋" w:hAnsi="仿宋" w:cs="Times New Roman" w:hint="eastAsia"/>
          <w:color w:val="000000"/>
          <w:sz w:val="24"/>
          <w:szCs w:val="24"/>
        </w:rPr>
        <w:t>国帧资助学生款</w:t>
      </w:r>
      <w:r w:rsidR="00437663">
        <w:rPr>
          <w:rFonts w:ascii="仿宋" w:eastAsia="仿宋" w:hAnsi="仿宋" w:cs="Times New Roman" w:hint="eastAsia"/>
          <w:color w:val="000000"/>
          <w:sz w:val="24"/>
          <w:szCs w:val="24"/>
        </w:rPr>
        <w:t>：</w:t>
      </w:r>
      <w:r w:rsidR="00BB09BD">
        <w:rPr>
          <w:rFonts w:ascii="仿宋" w:eastAsia="仿宋" w:hAnsi="仿宋" w:cs="Times New Roman" w:hint="eastAsia"/>
          <w:color w:val="000000"/>
          <w:sz w:val="24"/>
          <w:szCs w:val="24"/>
        </w:rPr>
        <w:t>2000</w:t>
      </w:r>
      <w:r>
        <w:rPr>
          <w:rFonts w:ascii="仿宋" w:eastAsia="仿宋" w:hAnsi="仿宋" w:cs="Times New Roman" w:hint="eastAsia"/>
          <w:color w:val="000000"/>
          <w:sz w:val="24"/>
          <w:szCs w:val="24"/>
        </w:rPr>
        <w:t>元</w:t>
      </w:r>
    </w:p>
    <w:p w:rsidR="00E3755C" w:rsidRPr="00E3755C" w:rsidRDefault="00437663" w:rsidP="00BB09BD">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r w:rsidR="00BB09BD">
        <w:rPr>
          <w:rFonts w:ascii="仿宋" w:eastAsia="仿宋" w:hAnsi="仿宋" w:cs="Times New Roman" w:hint="eastAsia"/>
          <w:color w:val="000000"/>
          <w:sz w:val="24"/>
          <w:szCs w:val="24"/>
        </w:rPr>
        <w:t>新疆宏盛烨通信工程有限公司工程质保金：1399.22元</w:t>
      </w:r>
    </w:p>
    <w:p w:rsidR="005862CC" w:rsidRDefault="005862C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养老保险及职业年金：</w:t>
      </w:r>
      <w:r w:rsidR="00BB09BD">
        <w:rPr>
          <w:rFonts w:ascii="仿宋" w:eastAsia="仿宋" w:hAnsi="仿宋" w:cs="Times New Roman" w:hint="eastAsia"/>
          <w:color w:val="000000"/>
          <w:sz w:val="24"/>
          <w:szCs w:val="24"/>
        </w:rPr>
        <w:t>15974.51</w:t>
      </w:r>
      <w:r w:rsidR="007E06B5">
        <w:rPr>
          <w:rFonts w:ascii="仿宋" w:eastAsia="仿宋" w:hAnsi="仿宋" w:cs="Times New Roman" w:hint="eastAsia"/>
          <w:color w:val="000000"/>
          <w:sz w:val="24"/>
          <w:szCs w:val="24"/>
        </w:rPr>
        <w:t>元</w:t>
      </w:r>
    </w:p>
    <w:p w:rsidR="00BB09BD" w:rsidRPr="00EA3A7A" w:rsidRDefault="00BB09BD"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w:t>
      </w:r>
      <w:r w:rsidR="00770AAC">
        <w:rPr>
          <w:rFonts w:ascii="仿宋" w:eastAsia="仿宋" w:hAnsi="仿宋" w:cs="Times New Roman" w:hint="eastAsia"/>
          <w:color w:val="000000"/>
          <w:sz w:val="24"/>
          <w:szCs w:val="24"/>
        </w:rPr>
        <w:t>奖励性绩效工资</w:t>
      </w:r>
      <w:r>
        <w:rPr>
          <w:rFonts w:ascii="仿宋" w:eastAsia="仿宋" w:hAnsi="仿宋" w:cs="Times New Roman" w:hint="eastAsia"/>
          <w:color w:val="000000"/>
          <w:sz w:val="24"/>
          <w:szCs w:val="24"/>
        </w:rPr>
        <w:t>：</w:t>
      </w:r>
      <w:r w:rsidR="00770AAC">
        <w:rPr>
          <w:rFonts w:ascii="仿宋" w:eastAsia="仿宋" w:hAnsi="仿宋" w:cs="Times New Roman" w:hint="eastAsia"/>
          <w:color w:val="000000"/>
          <w:sz w:val="24"/>
          <w:szCs w:val="24"/>
        </w:rPr>
        <w:t>412344</w:t>
      </w:r>
      <w:r>
        <w:rPr>
          <w:rFonts w:ascii="仿宋" w:eastAsia="仿宋" w:hAnsi="仿宋" w:cs="Times New Roman" w:hint="eastAsia"/>
          <w:color w:val="000000"/>
          <w:sz w:val="24"/>
          <w:szCs w:val="24"/>
        </w:rPr>
        <w:t>元</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8．“三公”经费总额及分项金额与年初预算数、上年决算数对比变动的原因说明，以及相关的公务用车购置及保有量、因公出国（境）团组数及人数和公务接待批次及人数等情况（</w:t>
      </w:r>
      <w:r w:rsidR="005862CC">
        <w:rPr>
          <w:rFonts w:ascii="仿宋" w:eastAsia="仿宋" w:hAnsi="仿宋" w:cs="仿宋" w:hint="eastAsia"/>
          <w:color w:val="000000"/>
          <w:sz w:val="24"/>
          <w:szCs w:val="24"/>
        </w:rPr>
        <w:t>无</w:t>
      </w:r>
      <w:r w:rsidRPr="00EA3A7A">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Times New Roman"/>
          <w:bCs/>
          <w:color w:val="000000"/>
          <w:sz w:val="24"/>
          <w:szCs w:val="24"/>
        </w:rPr>
      </w:pPr>
      <w:r w:rsidRPr="00EA3A7A">
        <w:rPr>
          <w:rFonts w:ascii="仿宋" w:eastAsia="仿宋" w:hAnsi="仿宋" w:cs="仿宋" w:hint="eastAsia"/>
          <w:bCs/>
          <w:color w:val="000000"/>
          <w:sz w:val="24"/>
          <w:szCs w:val="24"/>
        </w:rPr>
        <w:t>9．行政单位、参照公务员法管理的事业单位机关运行经费支出情况，以及与上年数对比变动原因说明（</w:t>
      </w:r>
      <w:r w:rsidR="005862CC">
        <w:rPr>
          <w:rFonts w:ascii="仿宋" w:eastAsia="仿宋" w:hAnsi="仿宋" w:cs="仿宋" w:hint="eastAsia"/>
          <w:bCs/>
          <w:color w:val="000000"/>
          <w:sz w:val="24"/>
          <w:szCs w:val="24"/>
        </w:rPr>
        <w:t>无</w:t>
      </w:r>
      <w:r w:rsidRPr="00EA3A7A">
        <w:rPr>
          <w:rFonts w:ascii="仿宋" w:eastAsia="仿宋" w:hAnsi="仿宋" w:cs="仿宋" w:hint="eastAsia"/>
          <w:bCs/>
          <w:color w:val="000000"/>
          <w:sz w:val="24"/>
          <w:szCs w:val="24"/>
        </w:rPr>
        <w:t>）。</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10．政府采购支出情况，包括采购类型、采购规模和资金来源等（</w:t>
      </w:r>
      <w:r w:rsidR="005862CC">
        <w:rPr>
          <w:rFonts w:ascii="仿宋" w:eastAsia="仿宋" w:hAnsi="仿宋" w:cs="仿宋" w:hint="eastAsia"/>
          <w:bCs/>
          <w:color w:val="000000"/>
          <w:sz w:val="24"/>
          <w:szCs w:val="24"/>
        </w:rPr>
        <w:t>见填报说明附表）</w:t>
      </w:r>
      <w:r w:rsidRPr="00EA3A7A">
        <w:rPr>
          <w:rFonts w:ascii="仿宋" w:eastAsia="仿宋" w:hAnsi="仿宋" w:cs="仿宋" w:hint="eastAsia"/>
          <w:bCs/>
          <w:color w:val="000000"/>
          <w:sz w:val="24"/>
          <w:szCs w:val="24"/>
        </w:rPr>
        <w:t>。</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bCs/>
          <w:color w:val="000000"/>
          <w:sz w:val="24"/>
          <w:szCs w:val="24"/>
        </w:rPr>
        <w:t>11</w:t>
      </w:r>
      <w:r w:rsidRPr="00EA3A7A">
        <w:rPr>
          <w:rFonts w:ascii="仿宋" w:eastAsia="仿宋" w:hAnsi="仿宋" w:cs="仿宋" w:hint="eastAsia"/>
          <w:color w:val="000000"/>
          <w:sz w:val="24"/>
          <w:szCs w:val="24"/>
        </w:rPr>
        <w:t>．资产负债变动、长期投资和国有资产管理，以及对本期或者下期财务状况发生重大影响事项的说明。</w:t>
      </w:r>
      <w:r w:rsidR="005862CC">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12．中央部门和单位部分重点支出、重大投资项目资金的使用及绩效情况。</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13．中央单位外交支出及驻外机构有关情况（</w:t>
      </w:r>
      <w:r w:rsidR="005862CC">
        <w:rPr>
          <w:rFonts w:ascii="仿宋" w:eastAsia="仿宋" w:hAnsi="仿宋" w:cs="仿宋" w:hint="eastAsia"/>
          <w:bCs/>
          <w:color w:val="000000"/>
          <w:sz w:val="24"/>
          <w:szCs w:val="24"/>
        </w:rPr>
        <w:t>无</w:t>
      </w:r>
      <w:r w:rsidRPr="00EA3A7A">
        <w:rPr>
          <w:rFonts w:ascii="仿宋" w:eastAsia="仿宋" w:hAnsi="仿宋" w:cs="仿宋" w:hint="eastAsia"/>
          <w:bCs/>
          <w:color w:val="000000"/>
          <w:sz w:val="24"/>
          <w:szCs w:val="24"/>
        </w:rPr>
        <w:t>。</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bCs/>
          <w:color w:val="000000"/>
          <w:sz w:val="24"/>
          <w:szCs w:val="24"/>
        </w:rPr>
        <w:t>14．</w:t>
      </w:r>
      <w:r w:rsidRPr="00EA3A7A">
        <w:rPr>
          <w:rFonts w:ascii="仿宋" w:eastAsia="仿宋" w:hAnsi="仿宋" w:cs="仿宋" w:hint="eastAsia"/>
          <w:color w:val="000000"/>
          <w:sz w:val="24"/>
          <w:szCs w:val="24"/>
        </w:rPr>
        <w:t>其他需要说明的问题。</w:t>
      </w:r>
    </w:p>
    <w:p w:rsidR="00EA3A7A" w:rsidRPr="00EA3A7A" w:rsidRDefault="00D91EE1" w:rsidP="00EA3A7A">
      <w:pPr>
        <w:widowControl/>
        <w:snapToGrid w:val="0"/>
        <w:jc w:val="right"/>
        <w:rPr>
          <w:rFonts w:ascii="黑体" w:eastAsia="黑体" w:hAnsi="黑体" w:cs="Times New Roman"/>
          <w:color w:val="000000"/>
          <w:kern w:val="0"/>
          <w:sz w:val="24"/>
          <w:szCs w:val="24"/>
        </w:rPr>
      </w:pPr>
      <w:hyperlink r:id="rId6" w:anchor="返回03" w:history="1"/>
    </w:p>
    <w:sectPr w:rsidR="00EA3A7A" w:rsidRPr="00EA3A7A" w:rsidSect="00B2591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436" w:rsidRDefault="00165436" w:rsidP="00EA3A7A">
      <w:r>
        <w:separator/>
      </w:r>
    </w:p>
  </w:endnote>
  <w:endnote w:type="continuationSeparator" w:id="1">
    <w:p w:rsidR="00165436" w:rsidRDefault="00165436" w:rsidP="00EA3A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436" w:rsidRDefault="00165436" w:rsidP="00EA3A7A">
      <w:r>
        <w:separator/>
      </w:r>
    </w:p>
  </w:footnote>
  <w:footnote w:type="continuationSeparator" w:id="1">
    <w:p w:rsidR="00165436" w:rsidRDefault="00165436" w:rsidP="00EA3A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3A7A"/>
    <w:rsid w:val="0000022F"/>
    <w:rsid w:val="00050A0C"/>
    <w:rsid w:val="00056861"/>
    <w:rsid w:val="00061BFC"/>
    <w:rsid w:val="000D2572"/>
    <w:rsid w:val="000F1B37"/>
    <w:rsid w:val="00165436"/>
    <w:rsid w:val="0019703F"/>
    <w:rsid w:val="001B2DEA"/>
    <w:rsid w:val="00210E57"/>
    <w:rsid w:val="00224E69"/>
    <w:rsid w:val="00241760"/>
    <w:rsid w:val="00283A46"/>
    <w:rsid w:val="002D04CD"/>
    <w:rsid w:val="00437663"/>
    <w:rsid w:val="00465136"/>
    <w:rsid w:val="00466AC5"/>
    <w:rsid w:val="00541A1C"/>
    <w:rsid w:val="00555D4C"/>
    <w:rsid w:val="0057061D"/>
    <w:rsid w:val="005862CC"/>
    <w:rsid w:val="005925B3"/>
    <w:rsid w:val="005B70D0"/>
    <w:rsid w:val="006816FE"/>
    <w:rsid w:val="006F6785"/>
    <w:rsid w:val="00770AAC"/>
    <w:rsid w:val="007E06B5"/>
    <w:rsid w:val="008244E8"/>
    <w:rsid w:val="008F06B5"/>
    <w:rsid w:val="008F13B7"/>
    <w:rsid w:val="009F7298"/>
    <w:rsid w:val="00A005B7"/>
    <w:rsid w:val="00A83FF7"/>
    <w:rsid w:val="00A9558E"/>
    <w:rsid w:val="00B2591A"/>
    <w:rsid w:val="00BB09BD"/>
    <w:rsid w:val="00BC71EB"/>
    <w:rsid w:val="00C217D3"/>
    <w:rsid w:val="00C865F4"/>
    <w:rsid w:val="00CA5D49"/>
    <w:rsid w:val="00D0146B"/>
    <w:rsid w:val="00D91EE1"/>
    <w:rsid w:val="00DC18D5"/>
    <w:rsid w:val="00DF69B6"/>
    <w:rsid w:val="00E3755C"/>
    <w:rsid w:val="00E86112"/>
    <w:rsid w:val="00EA0D83"/>
    <w:rsid w:val="00EA1615"/>
    <w:rsid w:val="00EA3A7A"/>
    <w:rsid w:val="00ED6421"/>
    <w:rsid w:val="00F17BDC"/>
    <w:rsid w:val="00F35114"/>
    <w:rsid w:val="00F625C3"/>
    <w:rsid w:val="00F644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0D0"/>
    <w:pPr>
      <w:widowControl w:val="0"/>
      <w:jc w:val="both"/>
    </w:pPr>
  </w:style>
  <w:style w:type="paragraph" w:styleId="1">
    <w:name w:val="heading 1"/>
    <w:basedOn w:val="a"/>
    <w:next w:val="a"/>
    <w:link w:val="1Char"/>
    <w:uiPriority w:val="9"/>
    <w:qFormat/>
    <w:rsid w:val="00EA3A7A"/>
    <w:pPr>
      <w:keepNext/>
      <w:keepLines/>
      <w:spacing w:before="340" w:after="330" w:line="576" w:lineRule="auto"/>
      <w:outlineLvl w:val="0"/>
    </w:pPr>
    <w:rPr>
      <w:rFonts w:ascii="Calibri" w:eastAsia="宋体" w:hAnsi="Calibri" w:cs="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3A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3A7A"/>
    <w:rPr>
      <w:sz w:val="18"/>
      <w:szCs w:val="18"/>
    </w:rPr>
  </w:style>
  <w:style w:type="paragraph" w:styleId="a4">
    <w:name w:val="footer"/>
    <w:basedOn w:val="a"/>
    <w:link w:val="Char0"/>
    <w:uiPriority w:val="99"/>
    <w:semiHidden/>
    <w:unhideWhenUsed/>
    <w:rsid w:val="00EA3A7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3A7A"/>
    <w:rPr>
      <w:sz w:val="18"/>
      <w:szCs w:val="18"/>
    </w:rPr>
  </w:style>
  <w:style w:type="character" w:customStyle="1" w:styleId="1Char">
    <w:name w:val="标题 1 Char"/>
    <w:basedOn w:val="a0"/>
    <w:link w:val="1"/>
    <w:uiPriority w:val="9"/>
    <w:rsid w:val="00EA3A7A"/>
    <w:rPr>
      <w:rFonts w:ascii="Calibri" w:eastAsia="宋体" w:hAnsi="Calibri" w:cs="宋体"/>
      <w:b/>
      <w:bCs/>
      <w:kern w:val="44"/>
      <w:sz w:val="44"/>
      <w:szCs w:val="44"/>
    </w:rPr>
  </w:style>
  <w:style w:type="character" w:styleId="a5">
    <w:name w:val="Hyperlink"/>
    <w:uiPriority w:val="99"/>
    <w:semiHidden/>
    <w:unhideWhenUsed/>
    <w:rsid w:val="00EA3A7A"/>
    <w:rPr>
      <w:color w:val="0000FF"/>
      <w:u w:val="single"/>
    </w:rPr>
  </w:style>
  <w:style w:type="character" w:styleId="a6">
    <w:name w:val="FollowedHyperlink"/>
    <w:basedOn w:val="a0"/>
    <w:uiPriority w:val="99"/>
    <w:semiHidden/>
    <w:unhideWhenUsed/>
    <w:rsid w:val="00EA3A7A"/>
    <w:rPr>
      <w:color w:val="800080" w:themeColor="followedHyperlink"/>
      <w:u w:val="single"/>
    </w:rPr>
  </w:style>
  <w:style w:type="paragraph" w:styleId="a7">
    <w:name w:val="Document Map"/>
    <w:basedOn w:val="a"/>
    <w:link w:val="Char1"/>
    <w:uiPriority w:val="99"/>
    <w:semiHidden/>
    <w:unhideWhenUsed/>
    <w:rsid w:val="00EA3A7A"/>
    <w:pPr>
      <w:shd w:val="clear" w:color="auto" w:fill="000080"/>
    </w:pPr>
    <w:rPr>
      <w:rFonts w:ascii="Times New Roman" w:eastAsia="宋体" w:hAnsi="Times New Roman" w:cs="Times New Roman"/>
      <w:szCs w:val="24"/>
    </w:rPr>
  </w:style>
  <w:style w:type="character" w:customStyle="1" w:styleId="Char1">
    <w:name w:val="文档结构图 Char"/>
    <w:basedOn w:val="a0"/>
    <w:link w:val="a7"/>
    <w:uiPriority w:val="99"/>
    <w:semiHidden/>
    <w:rsid w:val="00EA3A7A"/>
    <w:rPr>
      <w:rFonts w:ascii="Times New Roman" w:eastAsia="宋体" w:hAnsi="Times New Roman" w:cs="Times New Roman"/>
      <w:szCs w:val="24"/>
      <w:shd w:val="clear" w:color="auto" w:fill="000080"/>
    </w:rPr>
  </w:style>
  <w:style w:type="paragraph" w:styleId="a8">
    <w:name w:val="Balloon Text"/>
    <w:basedOn w:val="a"/>
    <w:link w:val="Char2"/>
    <w:uiPriority w:val="99"/>
    <w:semiHidden/>
    <w:unhideWhenUsed/>
    <w:rsid w:val="00EA3A7A"/>
    <w:rPr>
      <w:rFonts w:ascii="Calibri" w:eastAsia="宋体" w:hAnsi="Calibri" w:cs="Calibri"/>
      <w:sz w:val="18"/>
      <w:szCs w:val="18"/>
    </w:rPr>
  </w:style>
  <w:style w:type="character" w:customStyle="1" w:styleId="Char2">
    <w:name w:val="批注框文本 Char"/>
    <w:basedOn w:val="a0"/>
    <w:link w:val="a8"/>
    <w:uiPriority w:val="99"/>
    <w:semiHidden/>
    <w:rsid w:val="00EA3A7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divs>
    <w:div w:id="65326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RepTasks2015\2015&#24180;&#24230;&#37096;&#38376;&#20915;&#31639;&#25253;&#34920;.TSK\PARA\2015&#24180;&#24230;&#37096;&#38376;&#20915;&#31639;&#25253;&#34920;.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394</Words>
  <Characters>2249</Characters>
  <Application>Microsoft Office Word</Application>
  <DocSecurity>0</DocSecurity>
  <Lines>18</Lines>
  <Paragraphs>5</Paragraphs>
  <ScaleCrop>false</ScaleCrop>
  <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11</cp:revision>
  <dcterms:created xsi:type="dcterms:W3CDTF">2016-01-11T05:04:00Z</dcterms:created>
  <dcterms:modified xsi:type="dcterms:W3CDTF">2017-06-15T06:10:00Z</dcterms:modified>
</cp:coreProperties>
</file>