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93" w:rsidRPr="00690993" w:rsidRDefault="00690993" w:rsidP="00690993">
      <w:pPr>
        <w:snapToGrid w:val="0"/>
        <w:jc w:val="center"/>
        <w:rPr>
          <w:rFonts w:ascii="黑体" w:eastAsia="黑体" w:hAnsi="黑体" w:cs="Times New Roman"/>
          <w:sz w:val="24"/>
          <w:szCs w:val="24"/>
        </w:rPr>
      </w:pPr>
      <w:bookmarkStart w:id="0" w:name="部门决算分析报告撰写提纲（部门用）"/>
      <w:r w:rsidRPr="00690993">
        <w:rPr>
          <w:rFonts w:ascii="黑体" w:eastAsia="黑体" w:hAnsi="黑体" w:cs="Times New Roman" w:hint="eastAsia"/>
          <w:sz w:val="24"/>
          <w:szCs w:val="24"/>
        </w:rPr>
        <w:t>部门决算分析报告撰写提纲（部门用）</w:t>
      </w:r>
    </w:p>
    <w:bookmarkEnd w:id="0"/>
    <w:p w:rsidR="00690993" w:rsidRPr="00690993" w:rsidRDefault="00690993" w:rsidP="00690993">
      <w:pPr>
        <w:snapToGrid w:val="0"/>
        <w:ind w:firstLineChars="200" w:firstLine="480"/>
        <w:rPr>
          <w:rFonts w:ascii="仿宋" w:eastAsia="仿宋" w:hAnsi="仿宋" w:cs="Times New Roman"/>
          <w:sz w:val="24"/>
          <w:szCs w:val="24"/>
        </w:rPr>
      </w:pPr>
    </w:p>
    <w:p w:rsidR="00690993" w:rsidRPr="00265C0A" w:rsidRDefault="00690993" w:rsidP="00265C0A">
      <w:pPr>
        <w:snapToGrid w:val="0"/>
        <w:spacing w:line="660" w:lineRule="exact"/>
        <w:ind w:firstLineChars="200" w:firstLine="643"/>
        <w:rPr>
          <w:rFonts w:ascii="仿宋_GB2312" w:eastAsia="仿宋_GB2312" w:hAnsi="黑体" w:cs="Times New Roman"/>
          <w:b/>
          <w:sz w:val="32"/>
          <w:szCs w:val="32"/>
        </w:rPr>
      </w:pPr>
      <w:bookmarkStart w:id="1" w:name="一、部门（单位）情况"/>
      <w:r w:rsidRPr="00265C0A">
        <w:rPr>
          <w:rFonts w:ascii="仿宋_GB2312" w:eastAsia="仿宋_GB2312" w:hAnsi="黑体" w:cs="Times New Roman" w:hint="eastAsia"/>
          <w:b/>
          <w:sz w:val="32"/>
          <w:szCs w:val="32"/>
        </w:rPr>
        <w:t>一、部门（单位）情况</w:t>
      </w:r>
    </w:p>
    <w:bookmarkEnd w:id="1"/>
    <w:p w:rsidR="00192725" w:rsidRPr="00E42D38" w:rsidRDefault="00690993" w:rsidP="00192725">
      <w:pPr>
        <w:spacing w:line="560" w:lineRule="exact"/>
        <w:ind w:firstLineChars="196" w:firstLine="627"/>
        <w:rPr>
          <w:rFonts w:ascii="仿宋_GB2312" w:eastAsia="仿宋_GB2312" w:hAnsi="宋体"/>
          <w:sz w:val="30"/>
          <w:szCs w:val="30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（一）基本情况</w:t>
      </w:r>
      <w:r w:rsidR="00192725" w:rsidRPr="00E42D38">
        <w:rPr>
          <w:rFonts w:ascii="仿宋_GB2312" w:eastAsia="仿宋_GB2312" w:hAnsi="宋体" w:hint="eastAsia"/>
          <w:sz w:val="30"/>
          <w:szCs w:val="30"/>
        </w:rPr>
        <w:t>甘沟乡位于乌鲁木齐市南郊，距离乌鲁木齐市中心约50公里,东邻永丰乡，南接萨尔达坂乡、畜牧厅南山种羊场，北与104团、萨尔达坂乡接壤，西与昌吉市隔河相望，与自治区南山林场毗邻。全乡交通便利，国道216线直通白杨沟景区，省道110线贯穿全乡。全乡总面积524平方千米，乡辖8个行政村，总人口6586人，由哈萨克族、汉族、回族、塔塔尔族、维吾尔族等7个民族组成，其中哈萨克族占全乡总人口的85％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1．主要职能。</w:t>
      </w:r>
    </w:p>
    <w:p w:rsidR="00192725" w:rsidRPr="00AE46D3" w:rsidRDefault="00690993" w:rsidP="00192725">
      <w:pPr>
        <w:pStyle w:val="p0"/>
        <w:spacing w:after="0" w:line="540" w:lineRule="exact"/>
        <w:ind w:firstLine="630"/>
        <w:rPr>
          <w:rFonts w:ascii="华文仿宋" w:eastAsia="华文仿宋" w:hAnsi="华文仿宋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2．机构情况，包括当年变动情况及原因。</w:t>
      </w:r>
      <w:r w:rsidR="00192725" w:rsidRPr="00E42D38">
        <w:rPr>
          <w:rFonts w:ascii="仿宋_GB2312" w:eastAsia="仿宋_GB2312" w:hAnsi="宋体" w:hint="eastAsia"/>
          <w:sz w:val="30"/>
          <w:szCs w:val="30"/>
        </w:rPr>
        <w:t>甘沟乡</w:t>
      </w:r>
      <w:r w:rsidR="00192725">
        <w:rPr>
          <w:rFonts w:ascii="华文仿宋" w:eastAsia="华文仿宋" w:hAnsi="华文仿宋" w:hint="eastAsia"/>
          <w:sz w:val="32"/>
          <w:szCs w:val="32"/>
        </w:rPr>
        <w:t>人民政府人员情况：1、政府机关公务员在编在岗实有18人，离休1人、退休8人。2、财政所参照公务员管理的在编在岗实有2人，退休1人。3、计划生育公务员在编在岗实有2人，退休1人。4文化站事业在编在岗实有4人。5、广播站事业在编在岗2人。6、农经站事业在编在岗实有3人，。7、农技站事业在编在岗实有7人,退休3人。8、林管站事业在编在岗实有1人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3．人员情况，包括当年变动情况及原因。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（二）当年取得的主要事业成效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概述部门（单位）工作开展情况及主要事业成效。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3"/>
        <w:rPr>
          <w:rFonts w:ascii="仿宋_GB2312" w:eastAsia="仿宋_GB2312" w:hAnsi="黑体" w:cs="Times New Roman"/>
          <w:b/>
          <w:sz w:val="32"/>
          <w:szCs w:val="32"/>
        </w:rPr>
      </w:pPr>
      <w:bookmarkStart w:id="2" w:name="二、收入支出预算执行情况分析"/>
      <w:r w:rsidRPr="00265C0A">
        <w:rPr>
          <w:rFonts w:ascii="仿宋_GB2312" w:eastAsia="仿宋_GB2312" w:hAnsi="黑体" w:cs="Times New Roman" w:hint="eastAsia"/>
          <w:b/>
          <w:sz w:val="32"/>
          <w:szCs w:val="32"/>
        </w:rPr>
        <w:lastRenderedPageBreak/>
        <w:t>二、收入支出预算执行情况分析</w:t>
      </w:r>
    </w:p>
    <w:bookmarkEnd w:id="2"/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（一）收入支出预算安排情况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包括部门（单位）收入、支出年初预算安排情况，与上年对比情况及增减变动原因，年度执行中调整情况，调整原因说明。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（二）收入支出预算执行情况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当年收入支出预算执行基本情况，与上年度对比情况，包括增减绝对值与幅度，增减变动主要原因(可用柱形图或折线图)。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1．收入支出与预算对比分析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（1）预、决算差异情况，可分收入支出功能科目、分单位、分收入支出具体项目逐项对比（可列表）。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（2）差异原因分析。差异较大的应分析到具体收入支出功能科目和具体单位。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2．收入支出结构分析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（1）各项收入占总收入的比重，各项支出占总支出的比重（可分别制作饼状图）。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（2）收入支出按部门所属单位分布情况（可列表）。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3．重点经济分类支出执行情况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（1）“三公”经费支出情况：可进行上下年对比、预决算对比，人均支出情况分析（可做表、柱图、折线图）。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lastRenderedPageBreak/>
        <w:t>（2）会议费支出情况：可进行上下年对比、预决算对比，人均支出情况分析（可做表、柱图、折线图）。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（3）其他对部门（单位）影响较大的支出情况。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（4）重点经济分类支出中存在的问题及改进措施。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（三）年末结转和结余情况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1．分资金来源、资金性质结余结转情况，特别是项目经费结余情况。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2．分单位结余结转情况。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3．结余结转规模较大的原因分析。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（四）当年预算执行中存在问题、原因及改进措施</w:t>
      </w:r>
    </w:p>
    <w:p w:rsidR="00265C0A" w:rsidRPr="00265C0A" w:rsidRDefault="00265C0A" w:rsidP="00265C0A">
      <w:pPr>
        <w:snapToGrid w:val="0"/>
        <w:spacing w:line="660" w:lineRule="exact"/>
        <w:ind w:firstLineChars="200" w:firstLine="643"/>
        <w:rPr>
          <w:rFonts w:ascii="仿宋_GB2312" w:eastAsia="仿宋_GB2312" w:hAnsi="黑体" w:cs="Times New Roman"/>
          <w:b/>
          <w:sz w:val="32"/>
          <w:szCs w:val="32"/>
        </w:rPr>
      </w:pPr>
      <w:bookmarkStart w:id="3" w:name="三、资产负债情况分析"/>
      <w:r w:rsidRPr="00265C0A">
        <w:rPr>
          <w:rFonts w:ascii="仿宋_GB2312" w:eastAsia="仿宋_GB2312" w:hAnsi="黑体" w:cs="Times New Roman" w:hint="eastAsia"/>
          <w:b/>
          <w:sz w:val="32"/>
          <w:szCs w:val="32"/>
        </w:rPr>
        <w:t>三、资产负债情况分析</w:t>
      </w:r>
    </w:p>
    <w:bookmarkEnd w:id="3"/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年末部门（单位）资产、负债基本情况，与上年度对比情况，包括增减绝对值与幅度，增减变动主要原因(可用柱形图或折线图)。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（一）资产负债结构情况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对资产负债具体构成进行分析，可从占比、上下年变动等方面进行分析（可用饼图、柱图或折线图），重点说明主要资产、负债基本情况、变动情况及原因。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（二）资产负债对比分析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计算资产负债率，可进行连续年度的对比，分析部门资产负债管理中存在的问题，加强资产效益管理，避免潜在的</w:t>
      </w:r>
      <w:r w:rsidRPr="00265C0A">
        <w:rPr>
          <w:rFonts w:ascii="仿宋_GB2312" w:eastAsia="仿宋_GB2312" w:hAnsi="仿宋" w:cs="Times New Roman" w:hint="eastAsia"/>
          <w:sz w:val="32"/>
          <w:szCs w:val="32"/>
        </w:rPr>
        <w:lastRenderedPageBreak/>
        <w:t>资产负债风险。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3"/>
        <w:rPr>
          <w:rFonts w:ascii="仿宋_GB2312" w:eastAsia="仿宋_GB2312" w:hAnsi="黑体" w:cs="Times New Roman"/>
          <w:b/>
          <w:sz w:val="32"/>
          <w:szCs w:val="32"/>
        </w:rPr>
      </w:pPr>
      <w:bookmarkStart w:id="4" w:name="四、本年度部门决算等财务工作开展情况"/>
      <w:r w:rsidRPr="00265C0A">
        <w:rPr>
          <w:rFonts w:ascii="仿宋_GB2312" w:eastAsia="仿宋_GB2312" w:hAnsi="黑体" w:cs="Times New Roman" w:hint="eastAsia"/>
          <w:b/>
          <w:sz w:val="32"/>
          <w:szCs w:val="32"/>
        </w:rPr>
        <w:t>四、本年度部门决算等财务工作开展情况</w:t>
      </w:r>
    </w:p>
    <w:bookmarkEnd w:id="4"/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（一）本部门（单位）财务管理、决算组织、编报、审核情况。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（二）本部门（单位）决算公开工作、主管部门对所属单位按规定批复决算工作开展情况。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（三）对部门（单位）决算管理及报表设计的意见建议。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（四）对加强部门决算数据分析利用工作的建议。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注：收入支出预算执行情况分析可参考部门决算分析评价表（见软件查询模板）及行政事业单位财务分析指标（附后）。</w:t>
      </w:r>
    </w:p>
    <w:p w:rsidR="00690993" w:rsidRPr="00265C0A" w:rsidRDefault="00FD73F3" w:rsidP="00265C0A">
      <w:pPr>
        <w:widowControl/>
        <w:snapToGrid w:val="0"/>
        <w:spacing w:line="660" w:lineRule="exact"/>
        <w:jc w:val="right"/>
        <w:rPr>
          <w:rFonts w:ascii="仿宋_GB2312" w:eastAsia="仿宋_GB2312" w:hAnsi="黑体" w:cs="Times New Roman"/>
          <w:color w:val="000000"/>
          <w:kern w:val="0"/>
          <w:sz w:val="32"/>
          <w:szCs w:val="32"/>
        </w:rPr>
      </w:pPr>
      <w:hyperlink r:id="rId6" w:anchor="返回05" w:history="1"/>
    </w:p>
    <w:p w:rsidR="00690993" w:rsidRPr="00265C0A" w:rsidRDefault="00690993" w:rsidP="00265C0A">
      <w:pPr>
        <w:snapToGrid w:val="0"/>
        <w:spacing w:line="660" w:lineRule="exact"/>
        <w:ind w:firstLineChars="200" w:firstLine="640"/>
        <w:jc w:val="left"/>
        <w:rPr>
          <w:rFonts w:ascii="仿宋_GB2312" w:eastAsia="仿宋_GB2312" w:hAnsi="黑体" w:cs="Times New Roman"/>
          <w:sz w:val="32"/>
          <w:szCs w:val="32"/>
        </w:rPr>
      </w:pPr>
      <w:bookmarkStart w:id="5" w:name="行政事业单位财务分析指标"/>
      <w:r w:rsidRPr="00265C0A">
        <w:rPr>
          <w:rFonts w:ascii="仿宋_GB2312" w:eastAsia="仿宋_GB2312" w:hAnsi="黑体" w:cs="Times New Roman" w:hint="eastAsia"/>
          <w:sz w:val="32"/>
          <w:szCs w:val="32"/>
        </w:rPr>
        <w:t>附：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jc w:val="center"/>
        <w:rPr>
          <w:rFonts w:ascii="仿宋_GB2312" w:eastAsia="仿宋_GB2312" w:hAnsi="黑体" w:cs="Times New Roman"/>
          <w:sz w:val="32"/>
          <w:szCs w:val="32"/>
        </w:rPr>
      </w:pPr>
      <w:r w:rsidRPr="00265C0A">
        <w:rPr>
          <w:rFonts w:ascii="仿宋_GB2312" w:eastAsia="仿宋_GB2312" w:hAnsi="黑体" w:cs="Times New Roman" w:hint="eastAsia"/>
          <w:sz w:val="32"/>
          <w:szCs w:val="32"/>
        </w:rPr>
        <w:t>行政事业单位财务分析指标</w:t>
      </w:r>
    </w:p>
    <w:bookmarkEnd w:id="5"/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bookmarkStart w:id="6" w:name="一、行政单位财务分析指标"/>
      <w:r w:rsidRPr="00265C0A">
        <w:rPr>
          <w:rFonts w:ascii="仿宋_GB2312" w:eastAsia="仿宋_GB2312" w:hAnsi="黑体" w:cs="Times New Roman" w:hint="eastAsia"/>
          <w:sz w:val="32"/>
          <w:szCs w:val="32"/>
        </w:rPr>
        <w:t>一、行政单位财务分析指标</w:t>
      </w:r>
    </w:p>
    <w:bookmarkEnd w:id="6"/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1.支出增长率，衡量行政单位支出的增长水平。计算公式为：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支出增长率＝(本期支出总额÷上期支出总额-1)×100%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2.当年预算支出完成率，衡量行政单位当年支出总预算</w:t>
      </w:r>
      <w:r w:rsidRPr="00265C0A">
        <w:rPr>
          <w:rFonts w:ascii="仿宋_GB2312" w:eastAsia="仿宋_GB2312" w:hAnsi="仿宋" w:cs="Times New Roman" w:hint="eastAsia"/>
          <w:sz w:val="32"/>
          <w:szCs w:val="32"/>
        </w:rPr>
        <w:lastRenderedPageBreak/>
        <w:t>及分项预算完成的程度。计算公式为：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当年预算支出完成率＝年终执行数÷（年初预算数±年中预算调整数）×100%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年终执行数不含上年结转和结余支出数。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3.人均开支，衡量行政单位人均年消耗经费水平。计算公式为：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人均开支＝本期支出数÷本期平均在职人员数×100%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4.项目支出占总支出的比率，衡量行政单位的支出结构。计算公式为：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项目支出比率=本期项目支出数÷本期支出总数×100%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5.人员支出、公用支出占总支出的比率，衡量行政单位的支出结构。计算公式为：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人员支出比率=本期人员支出数÷本期支出总数×100%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公用支出比率=本期公用支出数÷本期支出总数×100%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6.人均办公使用面积，衡量行政单位办公用房配备情况。计算公式为：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人均办公使用面积=本期末单位办公用房使用面积÷本期末在职人员数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7.人车比例，衡量行政单位公务用车配备情况。计算公式为：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人车比例=本期末在职人员数÷本期末公务用车实有</w:t>
      </w:r>
      <w:r w:rsidRPr="00265C0A">
        <w:rPr>
          <w:rFonts w:ascii="仿宋_GB2312" w:eastAsia="仿宋_GB2312" w:hAnsi="仿宋" w:cs="Times New Roman" w:hint="eastAsia"/>
          <w:sz w:val="32"/>
          <w:szCs w:val="32"/>
        </w:rPr>
        <w:lastRenderedPageBreak/>
        <w:t>数:1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黑体" w:cs="Times New Roman"/>
          <w:sz w:val="32"/>
          <w:szCs w:val="32"/>
        </w:rPr>
      </w:pPr>
      <w:bookmarkStart w:id="7" w:name="二、事业单位财务分析指标"/>
      <w:r w:rsidRPr="00265C0A">
        <w:rPr>
          <w:rFonts w:ascii="仿宋_GB2312" w:eastAsia="仿宋_GB2312" w:hAnsi="黑体" w:cs="Times New Roman" w:hint="eastAsia"/>
          <w:sz w:val="32"/>
          <w:szCs w:val="32"/>
        </w:rPr>
        <w:t>二、事业单位财务分析指标</w:t>
      </w:r>
    </w:p>
    <w:bookmarkEnd w:id="7"/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1.预算收入和支出完成率，衡量事业单位收入和支出总预算及分项预算完成的程度。计算公式为：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预算收入完成率＝年终执行数÷（年初预算数±年中预算调整数）×100%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年终执行数不含上年结转和结余收入数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预算支出完成率＝年终执行数÷（年初预算数±年中预算调整数）×100%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年终执行数不含上年结转和结余支出数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2.人员支出、公用支出占事业支出的比率，衡量事业单位事业支出结构。计算公式为：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人员支出比率＝人员支出÷事业支出×100%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公用支出比率＝公用支出÷事业支出×100%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3.人均基本支出，衡量事业单位按照实际在编人数平均的基本支出水平。计算公式为：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人均基本支出＝（基本支出-离退休人员支出）÷实际在编人数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4.资产负债率，衡量事业单位利用债权人提供资金开展业务活动的能力，以及反映债权人提供资金的安全保障程度。</w:t>
      </w:r>
      <w:r w:rsidRPr="00265C0A">
        <w:rPr>
          <w:rFonts w:ascii="仿宋_GB2312" w:eastAsia="仿宋_GB2312" w:hAnsi="仿宋" w:cs="Times New Roman" w:hint="eastAsia"/>
          <w:sz w:val="32"/>
          <w:szCs w:val="32"/>
        </w:rPr>
        <w:lastRenderedPageBreak/>
        <w:t>计算公式为：</w:t>
      </w:r>
    </w:p>
    <w:p w:rsidR="00690993" w:rsidRPr="00265C0A" w:rsidRDefault="00690993" w:rsidP="00265C0A">
      <w:pPr>
        <w:snapToGrid w:val="0"/>
        <w:spacing w:line="6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资产负债率＝负债总额÷资产总额×100%</w:t>
      </w:r>
    </w:p>
    <w:p w:rsidR="00690993" w:rsidRPr="00690993" w:rsidRDefault="00690993" w:rsidP="00265C0A">
      <w:pPr>
        <w:snapToGrid w:val="0"/>
        <w:spacing w:line="660" w:lineRule="exact"/>
        <w:ind w:firstLineChars="200" w:firstLine="640"/>
        <w:rPr>
          <w:rFonts w:ascii="仿宋" w:eastAsia="仿宋" w:hAnsi="仿宋" w:cs="Times New Roman"/>
          <w:sz w:val="24"/>
          <w:szCs w:val="24"/>
        </w:rPr>
      </w:pPr>
      <w:r w:rsidRPr="00265C0A">
        <w:rPr>
          <w:rFonts w:ascii="仿宋_GB2312" w:eastAsia="仿宋_GB2312" w:hAnsi="仿宋" w:cs="Times New Roman" w:hint="eastAsia"/>
          <w:sz w:val="32"/>
          <w:szCs w:val="32"/>
        </w:rPr>
        <w:t>此外，行业事业单位还可根据相关财务规则规定对有关财务指标进行分析。</w:t>
      </w:r>
    </w:p>
    <w:p w:rsidR="00884537" w:rsidRPr="00690993" w:rsidRDefault="00884537"/>
    <w:sectPr w:rsidR="00884537" w:rsidRPr="00690993" w:rsidSect="005D2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211" w:rsidRDefault="00202211" w:rsidP="00690993">
      <w:r>
        <w:separator/>
      </w:r>
    </w:p>
  </w:endnote>
  <w:endnote w:type="continuationSeparator" w:id="1">
    <w:p w:rsidR="00202211" w:rsidRDefault="00202211" w:rsidP="00690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211" w:rsidRDefault="00202211" w:rsidP="00690993">
      <w:r>
        <w:separator/>
      </w:r>
    </w:p>
  </w:footnote>
  <w:footnote w:type="continuationSeparator" w:id="1">
    <w:p w:rsidR="00202211" w:rsidRDefault="00202211" w:rsidP="006909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993"/>
    <w:rsid w:val="000950A4"/>
    <w:rsid w:val="00192725"/>
    <w:rsid w:val="00202211"/>
    <w:rsid w:val="00265C0A"/>
    <w:rsid w:val="00492F5D"/>
    <w:rsid w:val="005D2265"/>
    <w:rsid w:val="00690993"/>
    <w:rsid w:val="006F520A"/>
    <w:rsid w:val="00884537"/>
    <w:rsid w:val="00B32CAA"/>
    <w:rsid w:val="00D2310A"/>
    <w:rsid w:val="00FD1DB0"/>
    <w:rsid w:val="00FD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0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09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0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0993"/>
    <w:rPr>
      <w:sz w:val="18"/>
      <w:szCs w:val="18"/>
    </w:rPr>
  </w:style>
  <w:style w:type="character" w:styleId="a5">
    <w:name w:val="Hyperlink"/>
    <w:uiPriority w:val="99"/>
    <w:semiHidden/>
    <w:unhideWhenUsed/>
    <w:rsid w:val="00690993"/>
    <w:rPr>
      <w:color w:val="0000FF"/>
      <w:u w:val="single"/>
    </w:rPr>
  </w:style>
  <w:style w:type="paragraph" w:customStyle="1" w:styleId="p0">
    <w:name w:val="p0"/>
    <w:basedOn w:val="a"/>
    <w:rsid w:val="00192725"/>
    <w:pPr>
      <w:widowControl/>
      <w:snapToGrid w:val="0"/>
      <w:spacing w:after="200"/>
      <w:jc w:val="left"/>
    </w:pPr>
    <w:rPr>
      <w:rFonts w:ascii="Tahoma" w:eastAsia="宋体" w:hAnsi="Tahoma" w:cs="Tahoma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1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RepTasks2015\2015&#24180;&#24230;&#37096;&#38376;&#20915;&#31639;&#25253;&#34920;.TSK\PARA\2015&#24180;&#24230;&#37096;&#38376;&#20915;&#31639;&#25253;&#34920;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2</cp:revision>
  <dcterms:created xsi:type="dcterms:W3CDTF">2016-08-04T03:34:00Z</dcterms:created>
  <dcterms:modified xsi:type="dcterms:W3CDTF">2016-08-04T03:34:00Z</dcterms:modified>
</cp:coreProperties>
</file>