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A" w:rsidRPr="00EA3A7A" w:rsidRDefault="00EA3A7A" w:rsidP="00EA3A7A">
      <w:pPr>
        <w:tabs>
          <w:tab w:val="left" w:pos="9923"/>
        </w:tabs>
        <w:snapToGrid w:val="0"/>
        <w:jc w:val="center"/>
        <w:rPr>
          <w:rFonts w:ascii="黑体" w:eastAsia="黑体" w:hAnsi="黑体" w:cs="Times New Roman"/>
          <w:color w:val="000000"/>
          <w:sz w:val="24"/>
          <w:szCs w:val="24"/>
        </w:rPr>
      </w:pPr>
      <w:bookmarkStart w:id="0" w:name="部门决算填报说明（部门用）"/>
      <w:r w:rsidRPr="00EA3A7A">
        <w:rPr>
          <w:rFonts w:ascii="黑体" w:eastAsia="黑体" w:hAnsi="黑体" w:cs="黑体" w:hint="eastAsia"/>
          <w:color w:val="000000"/>
          <w:sz w:val="24"/>
          <w:szCs w:val="24"/>
        </w:rPr>
        <w:t>部门决算填报说明</w:t>
      </w:r>
      <w:r w:rsidRPr="00EA3A7A">
        <w:rPr>
          <w:rFonts w:ascii="黑体" w:eastAsia="黑体" w:hAnsi="黑体" w:cs="Times New Roman" w:hint="eastAsia"/>
          <w:color w:val="000000"/>
          <w:sz w:val="24"/>
          <w:szCs w:val="24"/>
        </w:rPr>
        <w:t>（部门用）</w:t>
      </w:r>
    </w:p>
    <w:bookmarkEnd w:id="0"/>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一、决算汇编基本情况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（一）部门机构情况说明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宋体" w:eastAsia="宋体" w:hAnsi="宋体" w:cs="宋体" w:hint="eastAsia"/>
          <w:color w:val="000000"/>
          <w:sz w:val="24"/>
          <w:szCs w:val="24"/>
          <w:u w:val="single"/>
        </w:rPr>
        <w:t> </w:t>
      </w:r>
      <w:r w:rsidR="002465F6">
        <w:rPr>
          <w:rFonts w:ascii="宋体" w:eastAsia="宋体" w:hAnsi="宋体" w:cs="宋体" w:hint="eastAsia"/>
          <w:color w:val="000000"/>
          <w:sz w:val="24"/>
          <w:szCs w:val="24"/>
          <w:u w:val="single"/>
        </w:rPr>
        <w:t>2015</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年度，纳入本部门决算汇编范围的独立核算单位共</w:t>
      </w:r>
      <w:r w:rsidRPr="00EA3A7A">
        <w:rPr>
          <w:rFonts w:ascii="宋体" w:eastAsia="宋体" w:hAnsi="宋体" w:cs="宋体" w:hint="eastAsia"/>
          <w:color w:val="000000"/>
          <w:sz w:val="24"/>
          <w:szCs w:val="24"/>
          <w:u w:val="single"/>
        </w:rPr>
        <w:t>  </w:t>
      </w:r>
      <w:r w:rsidR="002465F6">
        <w:rPr>
          <w:rFonts w:ascii="宋体" w:eastAsia="宋体" w:hAnsi="宋体" w:cs="宋体" w:hint="eastAsia"/>
          <w:color w:val="000000"/>
          <w:sz w:val="24"/>
          <w:szCs w:val="24"/>
          <w:u w:val="single"/>
        </w:rPr>
        <w:t>2</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个，比上年增减</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4867"/>
        <w:gridCol w:w="1718"/>
        <w:gridCol w:w="1576"/>
        <w:gridCol w:w="6013"/>
      </w:tblGrid>
      <w:tr w:rsidR="00EA3A7A" w:rsidRPr="00EA3A7A" w:rsidTr="00EA3A7A">
        <w:trPr>
          <w:trHeight w:val="70"/>
        </w:trPr>
        <w:tc>
          <w:tcPr>
            <w:tcW w:w="17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0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21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一、按单位基本性质</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事业单位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其他</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二、按执行会计制度</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2465F6" w:rsidP="00EA3A7A">
            <w:pPr>
              <w:rPr>
                <w:rFonts w:ascii="仿宋" w:eastAsia="仿宋" w:hAnsi="仿宋" w:cs="Times New Roman"/>
                <w:sz w:val="24"/>
                <w:szCs w:val="24"/>
              </w:rPr>
            </w:pPr>
            <w:r>
              <w:rPr>
                <w:rFonts w:ascii="仿宋" w:eastAsia="仿宋" w:hAnsi="仿宋" w:cs="仿宋_GB2312" w:hint="eastAsia"/>
                <w:color w:val="000000"/>
                <w:sz w:val="24"/>
                <w:szCs w:val="24"/>
              </w:rPr>
              <w:t>1</w:t>
            </w:r>
            <w:r w:rsidR="00EA3A7A"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ind w:firstLineChars="200" w:firstLine="480"/>
              <w:rPr>
                <w:rFonts w:ascii="仿宋" w:eastAsia="仿宋" w:hAnsi="仿宋" w:cs="Times New Roman"/>
                <w:sz w:val="24"/>
                <w:szCs w:val="24"/>
              </w:rPr>
            </w:pPr>
            <w:r w:rsidRPr="00EA3A7A">
              <w:rPr>
                <w:rFonts w:ascii="仿宋" w:eastAsia="仿宋" w:hAnsi="仿宋" w:cs="仿宋_GB2312" w:hint="eastAsia"/>
                <w:color w:val="000000"/>
                <w:sz w:val="24"/>
                <w:szCs w:val="24"/>
              </w:rPr>
              <w:t>事业单位（含行业）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2465F6" w:rsidP="00EA3A7A">
            <w:pPr>
              <w:rPr>
                <w:rFonts w:ascii="仿宋" w:eastAsia="仿宋" w:hAnsi="仿宋" w:cs="Times New Roman"/>
                <w:sz w:val="24"/>
                <w:szCs w:val="24"/>
              </w:rPr>
            </w:pPr>
            <w:r>
              <w:rPr>
                <w:rFonts w:ascii="仿宋" w:eastAsia="仿宋" w:hAnsi="仿宋" w:cs="仿宋_GB2312" w:hint="eastAsia"/>
                <w:color w:val="000000"/>
                <w:sz w:val="24"/>
                <w:szCs w:val="24"/>
              </w:rPr>
              <w:t>1</w:t>
            </w:r>
            <w:r w:rsidR="00EA3A7A"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民间非营利组织</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企业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三、按单位预算级次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一级预算单位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二级预算单位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三级预算单位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2</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（二）部门录入户数说明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宋体" w:eastAsia="宋体" w:hAnsi="宋体" w:cs="宋体" w:hint="eastAsia"/>
          <w:color w:val="000000"/>
          <w:sz w:val="24"/>
          <w:szCs w:val="24"/>
          <w:u w:val="single"/>
        </w:rPr>
        <w:t>  </w:t>
      </w:r>
      <w:r w:rsidR="002465F6">
        <w:rPr>
          <w:rFonts w:ascii="宋体" w:eastAsia="宋体" w:hAnsi="宋体" w:cs="宋体" w:hint="eastAsia"/>
          <w:color w:val="000000"/>
          <w:sz w:val="24"/>
          <w:szCs w:val="24"/>
          <w:u w:val="single"/>
        </w:rPr>
        <w:t>2015</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年度，本部门决算汇编户数共</w:t>
      </w:r>
      <w:r w:rsidRPr="00EA3A7A">
        <w:rPr>
          <w:rFonts w:ascii="宋体" w:eastAsia="宋体" w:hAnsi="宋体" w:cs="宋体" w:hint="eastAsia"/>
          <w:color w:val="000000"/>
          <w:sz w:val="24"/>
          <w:szCs w:val="24"/>
          <w:u w:val="single"/>
        </w:rPr>
        <w:t>  </w:t>
      </w:r>
      <w:r w:rsidR="002465F6">
        <w:rPr>
          <w:rFonts w:ascii="宋体" w:eastAsia="宋体" w:hAnsi="宋体" w:cs="宋体" w:hint="eastAsia"/>
          <w:color w:val="000000"/>
          <w:sz w:val="24"/>
          <w:szCs w:val="24"/>
          <w:u w:val="single"/>
        </w:rPr>
        <w:t>2</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个，比上年增减</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5904"/>
        <w:gridCol w:w="1775"/>
        <w:gridCol w:w="1477"/>
        <w:gridCol w:w="5018"/>
      </w:tblGrid>
      <w:tr w:rsidR="00EA3A7A" w:rsidRPr="00EA3A7A" w:rsidTr="00EA3A7A">
        <w:trPr>
          <w:trHeight w:val="60"/>
          <w:tblHeader/>
        </w:trPr>
        <w:tc>
          <w:tcPr>
            <w:tcW w:w="208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2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2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177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一、单户表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2</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lastRenderedPageBreak/>
              <w:t>二、行政单位汇总录入表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1</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r w:rsidR="002465F6">
              <w:rPr>
                <w:rFonts w:ascii="仿宋" w:eastAsia="仿宋" w:hAnsi="仿宋" w:cs="仿宋_GB2312" w:hint="eastAsia"/>
                <w:color w:val="000000"/>
                <w:sz w:val="24"/>
                <w:szCs w:val="24"/>
              </w:rPr>
              <w:t>1</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四、经费自理事业单位汇总录入表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五、乡镇汇总录入表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六、其他单位汇总录入表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七、经费差额表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八、调整表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九、叠加汇总表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注：主管部门使用经费差额表代编收支及使用调整表调整收支重复汇总数的情况需另作说明，包括代编（或调整）的依据、涉及的单位和金额。</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二、基础数据核对情况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（一）与财政部门对账情况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1．财政拨款核对情况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（1）单位本年度实际收到的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公共预算财政拨款收入</w:t>
      </w:r>
      <w:r w:rsidRPr="00EA3A7A">
        <w:rPr>
          <w:rFonts w:ascii="宋体" w:eastAsia="宋体" w:hAnsi="宋体" w:cs="宋体" w:hint="eastAsia"/>
          <w:color w:val="000000"/>
          <w:sz w:val="24"/>
          <w:szCs w:val="24"/>
          <w:u w:val="single"/>
        </w:rPr>
        <w:t>   </w:t>
      </w:r>
      <w:r w:rsidR="002465F6">
        <w:rPr>
          <w:rFonts w:ascii="宋体" w:eastAsia="宋体" w:hAnsi="宋体" w:cs="宋体" w:hint="eastAsia"/>
          <w:color w:val="000000"/>
          <w:sz w:val="24"/>
          <w:szCs w:val="24"/>
          <w:u w:val="single"/>
        </w:rPr>
        <w:t>3245.71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万元，财政部门拨款对账单</w:t>
      </w:r>
      <w:r w:rsidR="00CE0E77" w:rsidRPr="00EA3A7A">
        <w:rPr>
          <w:rFonts w:ascii="宋体" w:eastAsia="宋体" w:hAnsi="宋体" w:cs="宋体" w:hint="eastAsia"/>
          <w:color w:val="000000"/>
          <w:sz w:val="24"/>
          <w:szCs w:val="24"/>
          <w:u w:val="single"/>
        </w:rPr>
        <w:t> </w:t>
      </w:r>
      <w:r w:rsidR="00CE0E77">
        <w:rPr>
          <w:rFonts w:ascii="宋体" w:eastAsia="宋体" w:hAnsi="宋体" w:cs="宋体" w:hint="eastAsia"/>
          <w:color w:val="000000"/>
          <w:sz w:val="24"/>
          <w:szCs w:val="24"/>
          <w:u w:val="single"/>
        </w:rPr>
        <w:t>3245.71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（2）单位本年度政府性基金预算财政拨款收入</w:t>
      </w:r>
      <w:r w:rsidRPr="00EA3A7A">
        <w:rPr>
          <w:rFonts w:ascii="宋体" w:eastAsia="宋体" w:hAnsi="宋体" w:cs="宋体" w:hint="eastAsia"/>
          <w:color w:val="000000"/>
          <w:sz w:val="24"/>
          <w:szCs w:val="24"/>
          <w:u w:val="single"/>
        </w:rPr>
        <w:t>  </w:t>
      </w:r>
      <w:r w:rsidR="00CE0E77">
        <w:rPr>
          <w:rFonts w:ascii="宋体" w:eastAsia="宋体" w:hAnsi="宋体" w:cs="宋体" w:hint="eastAsia"/>
          <w:color w:val="000000"/>
          <w:sz w:val="24"/>
          <w:szCs w:val="24"/>
          <w:u w:val="single"/>
        </w:rPr>
        <w:t>280.61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万元，财政部门拨款对账单</w:t>
      </w:r>
      <w:r w:rsidRPr="00EA3A7A">
        <w:rPr>
          <w:rFonts w:ascii="宋体" w:eastAsia="宋体" w:hAnsi="宋体" w:cs="宋体" w:hint="eastAsia"/>
          <w:color w:val="000000"/>
          <w:sz w:val="24"/>
          <w:szCs w:val="24"/>
          <w:u w:val="single"/>
        </w:rPr>
        <w:t>  </w:t>
      </w:r>
      <w:r w:rsidR="00CE0E77">
        <w:rPr>
          <w:rFonts w:ascii="宋体" w:eastAsia="宋体" w:hAnsi="宋体" w:cs="宋体" w:hint="eastAsia"/>
          <w:color w:val="000000"/>
          <w:sz w:val="24"/>
          <w:szCs w:val="24"/>
          <w:u w:val="single"/>
        </w:rPr>
        <w:t>280.61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2．财政专户管理资金核对情况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（1）单位本年度缴入财政专户</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万元，财政部门财政专户缴款对账单</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（2）单位本年度财政专户</w:t>
      </w:r>
      <w:r w:rsidRPr="00EA3A7A">
        <w:rPr>
          <w:rFonts w:ascii="仿宋" w:eastAsia="仿宋" w:hAnsi="仿宋" w:cs="仿宋" w:hint="eastAsia"/>
          <w:bCs/>
          <w:color w:val="000000"/>
          <w:sz w:val="24"/>
          <w:szCs w:val="24"/>
        </w:rPr>
        <w:t>管理</w:t>
      </w:r>
      <w:r w:rsidRPr="00EA3A7A">
        <w:rPr>
          <w:rFonts w:ascii="仿宋" w:eastAsia="仿宋" w:hAnsi="仿宋" w:cs="仿宋" w:hint="eastAsia"/>
          <w:color w:val="000000"/>
          <w:sz w:val="24"/>
          <w:szCs w:val="24"/>
        </w:rPr>
        <w:t>资金收入</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万元，财政部门财政专户拨款对账单</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3．其他需要说明的情况</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（二）上年结转和结余核对及指标变动情况</w:t>
      </w:r>
    </w:p>
    <w:p w:rsidR="00CE0E77" w:rsidRPr="00EA3A7A" w:rsidRDefault="00CE0E77" w:rsidP="00EA3A7A">
      <w:pPr>
        <w:snapToGrid w:val="0"/>
        <w:ind w:firstLine="480"/>
        <w:rPr>
          <w:rFonts w:ascii="仿宋" w:eastAsia="仿宋" w:hAnsi="仿宋" w:cs="仿宋"/>
          <w:color w:val="000000"/>
          <w:sz w:val="24"/>
          <w:szCs w:val="24"/>
        </w:rPr>
      </w:pP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1．本部门全口径、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公共预算财政拨款、政府性基金预算财政拨款和财政专户管理资金的结转和结余资金上年年末数与本年年初数不一致的情况说明（附表</w:t>
      </w:r>
      <w:r w:rsidRPr="00EA3A7A">
        <w:rPr>
          <w:rFonts w:ascii="仿宋" w:eastAsia="仿宋" w:hAnsi="仿宋" w:cs="仿宋" w:hint="eastAsia"/>
          <w:bCs/>
          <w:color w:val="000000"/>
          <w:sz w:val="24"/>
          <w:szCs w:val="24"/>
        </w:rPr>
        <w:t>1</w:t>
      </w:r>
      <w:r w:rsidRPr="00EA3A7A">
        <w:rPr>
          <w:rFonts w:ascii="仿宋" w:eastAsia="仿宋" w:hAnsi="仿宋" w:cs="仿宋" w:hint="eastAsia"/>
          <w:color w:val="000000"/>
          <w:sz w:val="24"/>
          <w:szCs w:val="24"/>
        </w:rPr>
        <w:t>），包括</w:t>
      </w:r>
      <w:r w:rsidRPr="00EA3A7A">
        <w:rPr>
          <w:rFonts w:ascii="仿宋" w:eastAsia="仿宋" w:hAnsi="仿宋" w:cs="仿宋" w:hint="eastAsia"/>
          <w:bCs/>
          <w:color w:val="000000"/>
          <w:sz w:val="24"/>
          <w:szCs w:val="24"/>
        </w:rPr>
        <w:t>财政收回、审计调整、归集调入或上缴、单位内部调剂等情况</w:t>
      </w:r>
      <w:r w:rsidRPr="00EA3A7A">
        <w:rPr>
          <w:rFonts w:ascii="仿宋" w:eastAsia="仿宋" w:hAnsi="仿宋" w:cs="仿宋" w:hint="eastAsia"/>
          <w:color w:val="000000"/>
          <w:sz w:val="24"/>
          <w:szCs w:val="24"/>
        </w:rPr>
        <w:t>。</w:t>
      </w:r>
    </w:p>
    <w:p w:rsidR="00CE0E77" w:rsidRPr="0034731E" w:rsidRDefault="00CE0E77" w:rsidP="00EA3A7A">
      <w:pPr>
        <w:snapToGrid w:val="0"/>
        <w:ind w:firstLine="480"/>
        <w:rPr>
          <w:rFonts w:ascii="仿宋" w:eastAsia="仿宋" w:hAnsi="仿宋" w:cs="仿宋"/>
          <w:b/>
          <w:color w:val="000000"/>
          <w:sz w:val="24"/>
          <w:szCs w:val="24"/>
        </w:rPr>
      </w:pPr>
      <w:r w:rsidRPr="0034731E">
        <w:rPr>
          <w:rFonts w:ascii="仿宋" w:eastAsia="仿宋" w:hAnsi="仿宋" w:cs="仿宋" w:hint="eastAsia"/>
          <w:b/>
          <w:color w:val="000000"/>
          <w:sz w:val="24"/>
          <w:szCs w:val="24"/>
        </w:rPr>
        <w:t>财政收回 ：</w:t>
      </w:r>
      <w:r w:rsidR="005E6372">
        <w:rPr>
          <w:rFonts w:ascii="仿宋" w:eastAsia="仿宋" w:hAnsi="仿宋" w:cs="仿宋" w:hint="eastAsia"/>
          <w:b/>
          <w:color w:val="000000"/>
          <w:sz w:val="24"/>
          <w:szCs w:val="24"/>
        </w:rPr>
        <w:t>根据县财发91号，</w:t>
      </w:r>
      <w:r w:rsidRPr="0034731E">
        <w:rPr>
          <w:rFonts w:ascii="仿宋" w:eastAsia="仿宋" w:hAnsi="仿宋" w:cs="仿宋" w:hint="eastAsia"/>
          <w:b/>
          <w:color w:val="000000"/>
          <w:sz w:val="24"/>
          <w:szCs w:val="24"/>
        </w:rPr>
        <w:t>2200503 款300元 2100702款20000元</w:t>
      </w:r>
    </w:p>
    <w:p w:rsidR="00CE0E77" w:rsidRPr="0034731E" w:rsidRDefault="00CE0E77" w:rsidP="00EA3A7A">
      <w:pPr>
        <w:snapToGrid w:val="0"/>
        <w:ind w:firstLine="480"/>
        <w:rPr>
          <w:rFonts w:ascii="仿宋" w:eastAsia="仿宋" w:hAnsi="仿宋" w:cs="Times New Roman"/>
          <w:b/>
          <w:color w:val="000000"/>
          <w:sz w:val="24"/>
          <w:szCs w:val="24"/>
        </w:rPr>
      </w:pPr>
      <w:r w:rsidRPr="0034731E">
        <w:rPr>
          <w:rFonts w:ascii="仿宋" w:eastAsia="仿宋" w:hAnsi="仿宋" w:cs="仿宋" w:hint="eastAsia"/>
          <w:b/>
          <w:color w:val="000000"/>
          <w:sz w:val="24"/>
          <w:szCs w:val="24"/>
        </w:rPr>
        <w:t>内部调整：2130299款154000元2100701款</w:t>
      </w:r>
      <w:r w:rsidRPr="0034731E">
        <w:rPr>
          <w:rFonts w:ascii="仿宋" w:eastAsia="仿宋" w:hAnsi="仿宋" w:cs="仿宋"/>
          <w:b/>
          <w:color w:val="000000"/>
          <w:sz w:val="24"/>
          <w:szCs w:val="24"/>
        </w:rPr>
        <w:t>49,896.14元调入</w:t>
      </w:r>
      <w:r w:rsidRPr="0034731E">
        <w:rPr>
          <w:rFonts w:ascii="仿宋" w:eastAsia="仿宋" w:hAnsi="仿宋" w:cs="仿宋" w:hint="eastAsia"/>
          <w:b/>
          <w:color w:val="000000"/>
          <w:sz w:val="24"/>
          <w:szCs w:val="24"/>
        </w:rPr>
        <w:t>2100716款</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2．本部门资产负债简表上年年末数与本年年初数不一致的情况说明（附表</w:t>
      </w:r>
      <w:r w:rsidRPr="00EA3A7A">
        <w:rPr>
          <w:rFonts w:ascii="仿宋" w:eastAsia="仿宋" w:hAnsi="仿宋" w:cs="仿宋" w:hint="eastAsia"/>
          <w:bCs/>
          <w:color w:val="000000"/>
          <w:sz w:val="24"/>
          <w:szCs w:val="24"/>
        </w:rPr>
        <w:t>2</w:t>
      </w:r>
      <w:r w:rsidRPr="00EA3A7A">
        <w:rPr>
          <w:rFonts w:ascii="仿宋" w:eastAsia="仿宋" w:hAnsi="仿宋" w:cs="仿宋" w:hint="eastAsia"/>
          <w:color w:val="000000"/>
          <w:sz w:val="24"/>
          <w:szCs w:val="24"/>
        </w:rPr>
        <w:t>）</w:t>
      </w:r>
      <w:r w:rsidRPr="00EA3A7A">
        <w:rPr>
          <w:rFonts w:ascii="仿宋" w:eastAsia="仿宋" w:hAnsi="仿宋" w:cs="仿宋" w:hint="eastAsia"/>
          <w:bCs/>
          <w:color w:val="000000"/>
          <w:sz w:val="24"/>
          <w:szCs w:val="24"/>
        </w:rPr>
        <w:t>，重点说明</w:t>
      </w:r>
      <w:r w:rsidRPr="00EA3A7A">
        <w:rPr>
          <w:rFonts w:ascii="仿宋" w:eastAsia="仿宋" w:hAnsi="仿宋" w:cs="仿宋" w:hint="eastAsia"/>
          <w:color w:val="000000"/>
          <w:sz w:val="24"/>
          <w:szCs w:val="24"/>
        </w:rPr>
        <w:t>本部门所属事业单位事业基金、专用基金上年年末数与本年年初数不一致的情况。</w:t>
      </w:r>
    </w:p>
    <w:p w:rsidR="00CE0E77" w:rsidRPr="0034731E" w:rsidRDefault="00CE0E77" w:rsidP="00EA3A7A">
      <w:pPr>
        <w:snapToGrid w:val="0"/>
        <w:ind w:firstLine="480"/>
        <w:rPr>
          <w:rFonts w:ascii="仿宋" w:eastAsia="仿宋" w:hAnsi="仿宋" w:cs="仿宋"/>
          <w:b/>
          <w:color w:val="000000"/>
          <w:sz w:val="24"/>
          <w:szCs w:val="24"/>
        </w:rPr>
      </w:pPr>
      <w:r w:rsidRPr="0034731E">
        <w:rPr>
          <w:rFonts w:ascii="仿宋" w:eastAsia="仿宋" w:hAnsi="仿宋" w:cs="仿宋" w:hint="eastAsia"/>
          <w:b/>
          <w:color w:val="000000"/>
          <w:sz w:val="24"/>
          <w:szCs w:val="24"/>
        </w:rPr>
        <w:t>结余和银行存款及应收款有变动：</w:t>
      </w:r>
    </w:p>
    <w:p w:rsidR="00CE0E77" w:rsidRPr="0034731E" w:rsidRDefault="00CE0E77" w:rsidP="00CE0E77">
      <w:pPr>
        <w:snapToGrid w:val="0"/>
        <w:ind w:firstLine="480"/>
        <w:rPr>
          <w:rFonts w:ascii="仿宋" w:eastAsia="仿宋" w:hAnsi="仿宋" w:cs="仿宋"/>
          <w:b/>
          <w:color w:val="000000"/>
          <w:sz w:val="24"/>
          <w:szCs w:val="24"/>
        </w:rPr>
      </w:pPr>
      <w:r w:rsidRPr="0034731E">
        <w:rPr>
          <w:rFonts w:ascii="仿宋" w:eastAsia="仿宋" w:hAnsi="仿宋" w:cs="仿宋" w:hint="eastAsia"/>
          <w:b/>
          <w:color w:val="000000"/>
          <w:sz w:val="24"/>
          <w:szCs w:val="24"/>
        </w:rPr>
        <w:t>财政收回 ：</w:t>
      </w:r>
      <w:r w:rsidR="005E6372">
        <w:rPr>
          <w:rFonts w:ascii="仿宋" w:eastAsia="仿宋" w:hAnsi="仿宋" w:cs="仿宋" w:hint="eastAsia"/>
          <w:b/>
          <w:color w:val="000000"/>
          <w:sz w:val="24"/>
          <w:szCs w:val="24"/>
        </w:rPr>
        <w:t>根据县财发91号</w:t>
      </w:r>
      <w:r w:rsidRPr="0034731E">
        <w:rPr>
          <w:rFonts w:ascii="仿宋" w:eastAsia="仿宋" w:hAnsi="仿宋" w:cs="仿宋" w:hint="eastAsia"/>
          <w:b/>
          <w:color w:val="000000"/>
          <w:sz w:val="24"/>
          <w:szCs w:val="24"/>
        </w:rPr>
        <w:t>2200503 款300元 2100702款20000元</w:t>
      </w:r>
    </w:p>
    <w:p w:rsidR="00CE0E77" w:rsidRPr="0034731E" w:rsidRDefault="00CE0E77" w:rsidP="00CE0E77">
      <w:pPr>
        <w:snapToGrid w:val="0"/>
        <w:ind w:firstLine="480"/>
        <w:rPr>
          <w:rFonts w:ascii="仿宋" w:eastAsia="仿宋" w:hAnsi="仿宋" w:cs="Times New Roman"/>
          <w:b/>
          <w:color w:val="000000"/>
          <w:sz w:val="24"/>
          <w:szCs w:val="24"/>
        </w:rPr>
      </w:pPr>
      <w:r w:rsidRPr="0034731E">
        <w:rPr>
          <w:rFonts w:ascii="仿宋" w:eastAsia="仿宋" w:hAnsi="仿宋" w:cs="仿宋" w:hint="eastAsia"/>
          <w:b/>
          <w:color w:val="000000"/>
          <w:sz w:val="24"/>
          <w:szCs w:val="24"/>
        </w:rPr>
        <w:t>内部调整：2130299款154000元2100701款</w:t>
      </w:r>
      <w:r w:rsidRPr="0034731E">
        <w:rPr>
          <w:rFonts w:ascii="仿宋" w:eastAsia="仿宋" w:hAnsi="仿宋" w:cs="仿宋"/>
          <w:b/>
          <w:color w:val="000000"/>
          <w:sz w:val="24"/>
          <w:szCs w:val="24"/>
        </w:rPr>
        <w:t>49,896.14元调入</w:t>
      </w:r>
      <w:r w:rsidRPr="0034731E">
        <w:rPr>
          <w:rFonts w:ascii="仿宋" w:eastAsia="仿宋" w:hAnsi="仿宋" w:cs="仿宋" w:hint="eastAsia"/>
          <w:b/>
          <w:color w:val="000000"/>
          <w:sz w:val="24"/>
          <w:szCs w:val="24"/>
        </w:rPr>
        <w:t>2100716款</w:t>
      </w:r>
    </w:p>
    <w:p w:rsidR="00CE0E77" w:rsidRPr="00CE0E77" w:rsidRDefault="00CE0E77" w:rsidP="00EA3A7A">
      <w:pPr>
        <w:snapToGrid w:val="0"/>
        <w:ind w:firstLine="480"/>
        <w:rPr>
          <w:rFonts w:ascii="仿宋" w:eastAsia="仿宋" w:hAnsi="仿宋" w:cs="Times New Roman"/>
          <w:color w:val="000000"/>
          <w:sz w:val="24"/>
          <w:szCs w:val="24"/>
        </w:rPr>
      </w:pP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3．主要指标上下年变动幅度超过20%，其中机构人员指标上下年有变动的，应具体核实并说明原因（附表</w:t>
      </w:r>
      <w:r w:rsidRPr="00EA3A7A">
        <w:rPr>
          <w:rFonts w:ascii="仿宋" w:eastAsia="仿宋" w:hAnsi="仿宋" w:cs="仿宋" w:hint="eastAsia"/>
          <w:bCs/>
          <w:color w:val="000000"/>
          <w:sz w:val="24"/>
          <w:szCs w:val="24"/>
        </w:rPr>
        <w:t>3</w:t>
      </w:r>
      <w:r w:rsidRPr="00EA3A7A">
        <w:rPr>
          <w:rFonts w:ascii="仿宋" w:eastAsia="仿宋" w:hAnsi="仿宋" w:cs="仿宋" w:hint="eastAsia"/>
          <w:color w:val="000000"/>
          <w:sz w:val="24"/>
          <w:szCs w:val="24"/>
        </w:rPr>
        <w:t>）。</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三、报表审核情况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（一）审核情况</w:t>
      </w:r>
    </w:p>
    <w:tbl>
      <w:tblPr>
        <w:tblW w:w="5000" w:type="pct"/>
        <w:tblCellMar>
          <w:left w:w="0" w:type="dxa"/>
          <w:right w:w="0" w:type="dxa"/>
        </w:tblCellMar>
        <w:tblLook w:val="04A0"/>
      </w:tblPr>
      <w:tblGrid>
        <w:gridCol w:w="3036"/>
        <w:gridCol w:w="2092"/>
        <w:gridCol w:w="2971"/>
        <w:gridCol w:w="6075"/>
      </w:tblGrid>
      <w:tr w:rsidR="00EA3A7A" w:rsidRPr="00EA3A7A" w:rsidTr="00EA3A7A">
        <w:trPr>
          <w:trHeight w:val="60"/>
        </w:trPr>
        <w:tc>
          <w:tcPr>
            <w:tcW w:w="107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审核项目</w:t>
            </w:r>
          </w:p>
        </w:tc>
        <w:tc>
          <w:tcPr>
            <w:tcW w:w="738"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数量</w:t>
            </w:r>
          </w:p>
        </w:tc>
        <w:tc>
          <w:tcPr>
            <w:tcW w:w="1048"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提示内容</w:t>
            </w:r>
          </w:p>
        </w:tc>
        <w:tc>
          <w:tcPr>
            <w:tcW w:w="2143"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单位说明</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一、审核公式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1．表间公式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A0-XXX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A0-XXX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2．表内公式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lastRenderedPageBreak/>
              <w:t>二、审核模板</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1</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XX个单位</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2</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XX个单位</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bl>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（二）对报表指标、审核公式和审核模板的设置建议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1．对部门决算报表指标设置的建议。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2．如有不适用的审核公式和模板，请列出并说明修改意见。</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3．单位自行增加的审核公式和模板，请列出并说明设置依据。</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四、决算数据其他需要说明的情况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1．“收入决算表”中</w:t>
      </w:r>
      <w:r w:rsidRPr="00EA3A7A">
        <w:rPr>
          <w:rFonts w:ascii="仿宋" w:eastAsia="仿宋" w:hAnsi="仿宋" w:cs="仿宋" w:hint="eastAsia"/>
          <w:color w:val="000000"/>
          <w:spacing w:val="6"/>
          <w:sz w:val="24"/>
          <w:szCs w:val="24"/>
        </w:rPr>
        <w:t>其他收入的具体构成情况，</w:t>
      </w:r>
      <w:r w:rsidRPr="00EA3A7A">
        <w:rPr>
          <w:rFonts w:ascii="仿宋" w:eastAsia="仿宋" w:hAnsi="仿宋" w:cs="仿宋" w:hint="eastAsia"/>
          <w:color w:val="000000"/>
          <w:sz w:val="24"/>
          <w:szCs w:val="24"/>
        </w:rPr>
        <w:t>说明单位从本级财政部门以外的同级单位取得的经费、从非本级财政部门取得的经费、未纳入财政专户管理的投资收益、利息收入、捐赠收入等收入情况（附表</w:t>
      </w:r>
      <w:r w:rsidRPr="00EA3A7A">
        <w:rPr>
          <w:rFonts w:ascii="仿宋" w:eastAsia="仿宋" w:hAnsi="仿宋" w:cs="仿宋" w:hint="eastAsia"/>
          <w:bCs/>
          <w:color w:val="000000"/>
          <w:sz w:val="24"/>
          <w:szCs w:val="24"/>
        </w:rPr>
        <w:t>4</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2．年末结转和结余为负数的原因说明，包括单位基本支出结转、项目支出结转和结余、事业基金结余和专用基金结余为负数的情况。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支出决算明细表”中，部门转拨附属单位或者非本级预算单位的经费支出，应具体说明支出经济分类科目、去向和金额。（如“商品和服务支出－其他商品和服务支出”，拨给……单位用于……事务，……万元）</w:t>
      </w:r>
      <w:r w:rsidRPr="00EA3A7A">
        <w:rPr>
          <w:rFonts w:ascii="仿宋" w:eastAsia="仿宋" w:hAnsi="仿宋" w:cs="仿宋" w:hint="eastAsia"/>
          <w:bCs/>
          <w:color w:val="000000"/>
          <w:sz w:val="24"/>
          <w:szCs w:val="24"/>
        </w:rPr>
        <w:t>。</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4．“支出</w:t>
      </w:r>
      <w:r w:rsidRPr="00EA3A7A">
        <w:rPr>
          <w:rFonts w:ascii="仿宋" w:eastAsia="仿宋" w:hAnsi="仿宋" w:cs="仿宋" w:hint="eastAsia"/>
          <w:bCs/>
          <w:color w:val="000000"/>
          <w:sz w:val="24"/>
          <w:szCs w:val="24"/>
        </w:rPr>
        <w:t>决算</w:t>
      </w:r>
      <w:r w:rsidRPr="00EA3A7A">
        <w:rPr>
          <w:rFonts w:ascii="仿宋" w:eastAsia="仿宋" w:hAnsi="仿宋" w:cs="仿宋" w:hint="eastAsia"/>
          <w:color w:val="000000"/>
          <w:sz w:val="24"/>
          <w:szCs w:val="24"/>
        </w:rPr>
        <w:t>明细表”中“其他工资福利支出”的具体构成，如</w:t>
      </w:r>
      <w:r w:rsidRPr="00EA3A7A">
        <w:rPr>
          <w:rFonts w:ascii="仿宋" w:eastAsia="仿宋" w:hAnsi="仿宋" w:cs="仿宋" w:hint="eastAsia"/>
          <w:bCs/>
          <w:color w:val="000000"/>
          <w:sz w:val="24"/>
          <w:szCs w:val="24"/>
        </w:rPr>
        <w:t>用于</w:t>
      </w:r>
      <w:r w:rsidRPr="00EA3A7A">
        <w:rPr>
          <w:rFonts w:ascii="仿宋" w:eastAsia="仿宋" w:hAnsi="仿宋" w:cs="仿宋" w:hint="eastAsia"/>
          <w:color w:val="000000"/>
          <w:sz w:val="24"/>
          <w:szCs w:val="24"/>
        </w:rPr>
        <w:t>开支编制外长期聘用人员支出，需说明开支人数及相应的支出标准。</w:t>
      </w:r>
    </w:p>
    <w:p w:rsidR="001A2484" w:rsidRPr="00924811" w:rsidRDefault="001A2484" w:rsidP="00EA3A7A">
      <w:pPr>
        <w:snapToGrid w:val="0"/>
        <w:ind w:firstLine="480"/>
        <w:rPr>
          <w:rFonts w:ascii="仿宋" w:eastAsia="仿宋" w:hAnsi="仿宋" w:cs="Times New Roman"/>
          <w:b/>
          <w:color w:val="000000"/>
          <w:sz w:val="24"/>
          <w:szCs w:val="24"/>
        </w:rPr>
      </w:pPr>
      <w:r w:rsidRPr="0034731E">
        <w:rPr>
          <w:rFonts w:ascii="仿宋" w:eastAsia="仿宋" w:hAnsi="仿宋" w:cs="仿宋" w:hint="eastAsia"/>
          <w:b/>
          <w:color w:val="000000"/>
          <w:sz w:val="24"/>
          <w:szCs w:val="24"/>
        </w:rPr>
        <w:t>其他工资福利支出中有聘用人员</w:t>
      </w:r>
      <w:r w:rsidR="00DC6A2F">
        <w:rPr>
          <w:rFonts w:ascii="仿宋" w:eastAsia="仿宋" w:hAnsi="仿宋" w:cs="仿宋" w:hint="eastAsia"/>
          <w:b/>
          <w:color w:val="000000"/>
          <w:sz w:val="24"/>
          <w:szCs w:val="24"/>
        </w:rPr>
        <w:t>22</w:t>
      </w:r>
      <w:r w:rsidRPr="0034731E">
        <w:rPr>
          <w:rFonts w:ascii="仿宋" w:eastAsia="仿宋" w:hAnsi="仿宋" w:cs="仿宋" w:hint="eastAsia"/>
          <w:b/>
          <w:color w:val="000000"/>
          <w:sz w:val="24"/>
          <w:szCs w:val="24"/>
        </w:rPr>
        <w:t>人，环卫工</w:t>
      </w:r>
      <w:r w:rsidR="00924811">
        <w:rPr>
          <w:rFonts w:ascii="仿宋" w:eastAsia="仿宋" w:hAnsi="仿宋" w:cs="仿宋" w:hint="eastAsia"/>
          <w:b/>
          <w:color w:val="000000"/>
          <w:sz w:val="24"/>
          <w:szCs w:val="24"/>
        </w:rPr>
        <w:t>18人，财政所2人。</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5．“项目支出决算明细表”中列支“工资福利支出”和“对个人和家庭的补助”的依据及说明。</w:t>
      </w:r>
    </w:p>
    <w:p w:rsidR="001A2484" w:rsidRPr="0034731E" w:rsidRDefault="001A2484" w:rsidP="00EA3A7A">
      <w:pPr>
        <w:snapToGrid w:val="0"/>
        <w:ind w:firstLine="480"/>
        <w:rPr>
          <w:rFonts w:ascii="仿宋" w:eastAsia="仿宋" w:hAnsi="仿宋" w:cs="Times New Roman"/>
          <w:b/>
          <w:color w:val="000000"/>
          <w:sz w:val="24"/>
          <w:szCs w:val="24"/>
        </w:rPr>
      </w:pPr>
      <w:r w:rsidRPr="0034731E">
        <w:rPr>
          <w:rFonts w:ascii="仿宋" w:eastAsia="仿宋" w:hAnsi="仿宋" w:cs="仿宋" w:hint="eastAsia"/>
          <w:b/>
          <w:color w:val="000000"/>
          <w:sz w:val="24"/>
          <w:szCs w:val="24"/>
        </w:rPr>
        <w:t>2010399款中支付工资福利支出及对个人和家庭的补助支出是因为此款项是我乡税收返还资金，政府现在没有其他收入，聘用人员的工资都在此款中支付。2130199款支付的是财政转移支付村干部工资。</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6．“财政专户管理资金收入支出决算表”中除教育收费以外的资金收支情况说明（需附相关文件依据）。</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7．“资产负债简表”中行政事业单位“应收账款”、“预付账款”、“其他应收款”、“应付账款”、“预收账款”、“其他应付款”等往来账款情况说明。</w:t>
      </w:r>
    </w:p>
    <w:p w:rsidR="001A2484" w:rsidRPr="0034731E" w:rsidRDefault="001A2484" w:rsidP="00EA3A7A">
      <w:pPr>
        <w:snapToGrid w:val="0"/>
        <w:ind w:firstLine="480"/>
        <w:rPr>
          <w:rFonts w:ascii="仿宋" w:eastAsia="仿宋" w:hAnsi="仿宋" w:cs="Times New Roman"/>
          <w:b/>
          <w:color w:val="000000"/>
          <w:sz w:val="24"/>
          <w:szCs w:val="24"/>
        </w:rPr>
      </w:pPr>
      <w:r w:rsidRPr="0034731E">
        <w:rPr>
          <w:rFonts w:ascii="仿宋" w:eastAsia="仿宋" w:hAnsi="仿宋" w:cs="仿宋" w:hint="eastAsia"/>
          <w:b/>
          <w:color w:val="000000"/>
          <w:sz w:val="24"/>
          <w:szCs w:val="24"/>
        </w:rPr>
        <w:t>其他应收款中539.9万元是垫付的两居勘察设计费25万元</w:t>
      </w:r>
      <w:r w:rsidR="0034731E" w:rsidRPr="0034731E">
        <w:rPr>
          <w:rFonts w:ascii="仿宋" w:eastAsia="仿宋" w:hAnsi="仿宋" w:cs="仿宋" w:hint="eastAsia"/>
          <w:b/>
          <w:color w:val="000000"/>
          <w:sz w:val="24"/>
          <w:szCs w:val="24"/>
        </w:rPr>
        <w:t>。应付账款中352.25万元为两居补助36.14万元为组织部基层组织建</w:t>
      </w:r>
      <w:r w:rsidR="0034731E" w:rsidRPr="0034731E">
        <w:rPr>
          <w:rFonts w:ascii="仿宋" w:eastAsia="仿宋" w:hAnsi="仿宋" w:cs="仿宋" w:hint="eastAsia"/>
          <w:b/>
          <w:color w:val="000000"/>
          <w:sz w:val="24"/>
          <w:szCs w:val="24"/>
        </w:rPr>
        <w:lastRenderedPageBreak/>
        <w:t>设费200万元是雪莲公司投资发展基金92.7万元是两居项目管理资金，其他都是局委办拨款。其他应付款中25.35万元是两居未付款，45万元是总体规划设计费未付款7万元是两居履约保证金，9.8万元是购车款。</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8．“三公”经费总额及分项金额与年初预算数、上年决算数对比变动的原因说明，以及相关的公务用车购置及保有量、因公出国（境）团组数及人数和公务接待批次及人数等情况（附表5）。</w:t>
      </w:r>
    </w:p>
    <w:p w:rsidR="00EA3A7A" w:rsidRPr="00EA3A7A" w:rsidRDefault="00EA3A7A" w:rsidP="00EA3A7A">
      <w:pPr>
        <w:snapToGrid w:val="0"/>
        <w:ind w:firstLine="480"/>
        <w:rPr>
          <w:rFonts w:ascii="仿宋" w:eastAsia="仿宋" w:hAnsi="仿宋" w:cs="Times New Roman"/>
          <w:bCs/>
          <w:color w:val="000000"/>
          <w:sz w:val="24"/>
          <w:szCs w:val="24"/>
        </w:rPr>
      </w:pPr>
      <w:r w:rsidRPr="00EA3A7A">
        <w:rPr>
          <w:rFonts w:ascii="仿宋" w:eastAsia="仿宋" w:hAnsi="仿宋" w:cs="仿宋" w:hint="eastAsia"/>
          <w:bCs/>
          <w:color w:val="000000"/>
          <w:sz w:val="24"/>
          <w:szCs w:val="24"/>
        </w:rPr>
        <w:t>9．行政单位、参照公务员法管理的事业单位机关运行经费支出情况，以及与上年数对比变动原因说明（附表5）。</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10．政府采购支出情况，包括采购类型、采购规模和资金来源等（附表6）。</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bCs/>
          <w:color w:val="000000"/>
          <w:sz w:val="24"/>
          <w:szCs w:val="24"/>
        </w:rPr>
        <w:t>11</w:t>
      </w:r>
      <w:r w:rsidRPr="00EA3A7A">
        <w:rPr>
          <w:rFonts w:ascii="仿宋" w:eastAsia="仿宋" w:hAnsi="仿宋" w:cs="仿宋" w:hint="eastAsia"/>
          <w:color w:val="000000"/>
          <w:sz w:val="24"/>
          <w:szCs w:val="24"/>
        </w:rPr>
        <w:t>．资产负债变动、长期投资和国有资产管理，以及对本期或者下期财务状况发生重大影响事项的说明。</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12．中央部门和单位部分重点支出、重大投资项目资金的使用及绩效情况。</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13．中央单位外交支出及驻外机构有关情况（附表7、8）。</w:t>
      </w:r>
    </w:p>
    <w:p w:rsidR="00EA3A7A" w:rsidRDefault="00EA3A7A" w:rsidP="00EA3A7A">
      <w:pPr>
        <w:snapToGrid w:val="0"/>
        <w:ind w:firstLine="480"/>
        <w:rPr>
          <w:rFonts w:ascii="仿宋" w:eastAsia="仿宋" w:hAnsi="仿宋" w:cs="仿宋" w:hint="eastAsia"/>
          <w:color w:val="000000"/>
          <w:sz w:val="24"/>
          <w:szCs w:val="24"/>
        </w:rPr>
      </w:pPr>
      <w:r w:rsidRPr="00EA3A7A">
        <w:rPr>
          <w:rFonts w:ascii="仿宋" w:eastAsia="仿宋" w:hAnsi="仿宋" w:cs="仿宋" w:hint="eastAsia"/>
          <w:bCs/>
          <w:color w:val="000000"/>
          <w:sz w:val="24"/>
          <w:szCs w:val="24"/>
        </w:rPr>
        <w:t>14．</w:t>
      </w:r>
      <w:r w:rsidRPr="00EA3A7A">
        <w:rPr>
          <w:rFonts w:ascii="仿宋" w:eastAsia="仿宋" w:hAnsi="仿宋" w:cs="仿宋" w:hint="eastAsia"/>
          <w:color w:val="000000"/>
          <w:sz w:val="24"/>
          <w:szCs w:val="24"/>
        </w:rPr>
        <w:t>其他需要说明的问题。</w:t>
      </w:r>
    </w:p>
    <w:p w:rsidR="00E769DD" w:rsidRPr="00E769DD" w:rsidRDefault="00E769DD" w:rsidP="00EA3A7A">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其他工资福利支出超30%是聘用人员工资，其他对个人和家庭的补助超30%是维稳费支出</w:t>
      </w:r>
    </w:p>
    <w:p w:rsidR="00EA3A7A" w:rsidRPr="00EA3A7A" w:rsidRDefault="00004167" w:rsidP="00EA3A7A">
      <w:pPr>
        <w:widowControl/>
        <w:snapToGrid w:val="0"/>
        <w:jc w:val="right"/>
        <w:rPr>
          <w:rFonts w:ascii="黑体" w:eastAsia="黑体" w:hAnsi="黑体" w:cs="Times New Roman"/>
          <w:color w:val="000000"/>
          <w:kern w:val="0"/>
          <w:sz w:val="24"/>
          <w:szCs w:val="24"/>
        </w:rPr>
      </w:pPr>
      <w:hyperlink r:id="rId6" w:anchor="返回03" w:history="1"/>
    </w:p>
    <w:p w:rsidR="00EA3A7A" w:rsidRPr="00EA3A7A" w:rsidRDefault="00EA3A7A" w:rsidP="00EA3A7A">
      <w:pPr>
        <w:snapToGrid w:val="0"/>
        <w:rPr>
          <w:rFonts w:ascii="黑体" w:eastAsia="黑体" w:hAnsi="黑体" w:cs="Times New Roman"/>
          <w:sz w:val="24"/>
          <w:szCs w:val="24"/>
        </w:rPr>
      </w:pPr>
      <w:bookmarkStart w:id="1" w:name="附表1：年初结转和结余调整情况表"/>
      <w:r w:rsidRPr="00EA3A7A">
        <w:rPr>
          <w:rFonts w:ascii="黑体" w:eastAsia="黑体" w:hAnsi="黑体" w:cs="黑体" w:hint="eastAsia"/>
          <w:kern w:val="0"/>
          <w:sz w:val="24"/>
          <w:szCs w:val="24"/>
        </w:rPr>
        <w:t>附表1：</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年初结转和结余调整情况表</w:t>
      </w:r>
    </w:p>
    <w:tbl>
      <w:tblPr>
        <w:tblW w:w="5000" w:type="pct"/>
        <w:tblLook w:val="04A0"/>
      </w:tblPr>
      <w:tblGrid>
        <w:gridCol w:w="456"/>
        <w:gridCol w:w="456"/>
        <w:gridCol w:w="456"/>
        <w:gridCol w:w="1176"/>
        <w:gridCol w:w="456"/>
        <w:gridCol w:w="883"/>
        <w:gridCol w:w="696"/>
        <w:gridCol w:w="883"/>
        <w:gridCol w:w="456"/>
        <w:gridCol w:w="883"/>
        <w:gridCol w:w="456"/>
        <w:gridCol w:w="883"/>
        <w:gridCol w:w="456"/>
        <w:gridCol w:w="883"/>
        <w:gridCol w:w="456"/>
        <w:gridCol w:w="883"/>
        <w:gridCol w:w="456"/>
        <w:gridCol w:w="883"/>
        <w:gridCol w:w="456"/>
        <w:gridCol w:w="883"/>
        <w:gridCol w:w="456"/>
        <w:gridCol w:w="222"/>
      </w:tblGrid>
      <w:tr w:rsidR="00EA3A7A" w:rsidRPr="00EA3A7A" w:rsidTr="00EA3A7A">
        <w:trPr>
          <w:trHeight w:val="184"/>
        </w:trPr>
        <w:tc>
          <w:tcPr>
            <w:tcW w:w="1281" w:type="pct"/>
            <w:gridSpan w:val="6"/>
            <w:tcBorders>
              <w:top w:val="nil"/>
              <w:left w:val="nil"/>
              <w:bottom w:val="single" w:sz="4" w:space="0" w:color="000000"/>
              <w:right w:val="nil"/>
            </w:tcBorders>
            <w:noWrap/>
            <w:vAlign w:val="center"/>
            <w:hideMark/>
          </w:tcPr>
          <w:bookmarkEnd w:id="1"/>
          <w:p w:rsidR="00EA3A7A" w:rsidRPr="00EA3A7A" w:rsidRDefault="00EA3A7A" w:rsidP="00EA3A7A">
            <w:pPr>
              <w:widowControl/>
              <w:spacing w:line="184"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3075" w:type="pct"/>
            <w:gridSpan w:val="12"/>
            <w:tcBorders>
              <w:top w:val="nil"/>
              <w:left w:val="nil"/>
              <w:bottom w:val="single" w:sz="4" w:space="0" w:color="auto"/>
              <w:right w:val="nil"/>
            </w:tcBorders>
            <w:vAlign w:val="center"/>
          </w:tcPr>
          <w:p w:rsidR="00EA3A7A" w:rsidRPr="00EA3A7A" w:rsidRDefault="00EA3A7A" w:rsidP="00EA3A7A">
            <w:pPr>
              <w:widowControl/>
              <w:jc w:val="center"/>
              <w:rPr>
                <w:rFonts w:ascii="仿宋" w:eastAsia="仿宋" w:hAnsi="仿宋" w:cs="宋体"/>
                <w:color w:val="000000"/>
                <w:kern w:val="0"/>
                <w:sz w:val="18"/>
                <w:szCs w:val="24"/>
              </w:rPr>
            </w:pPr>
          </w:p>
        </w:tc>
        <w:tc>
          <w:tcPr>
            <w:tcW w:w="645" w:type="pct"/>
            <w:gridSpan w:val="3"/>
            <w:tcBorders>
              <w:top w:val="nil"/>
              <w:left w:val="nil"/>
              <w:bottom w:val="single" w:sz="4" w:space="0" w:color="000000"/>
              <w:right w:val="nil"/>
            </w:tcBorders>
            <w:vAlign w:val="center"/>
            <w:hideMark/>
          </w:tcPr>
          <w:p w:rsidR="00EA3A7A" w:rsidRPr="00EA3A7A" w:rsidRDefault="00EA3A7A" w:rsidP="00EA3A7A">
            <w:pPr>
              <w:widowControl/>
              <w:spacing w:line="184"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8"/>
                <w:szCs w:val="24"/>
              </w:rPr>
            </w:pPr>
          </w:p>
        </w:tc>
      </w:tr>
      <w:tr w:rsidR="00EA3A7A" w:rsidRPr="00EA3A7A" w:rsidTr="00EA3A7A">
        <w:trPr>
          <w:trHeight w:val="450"/>
        </w:trPr>
        <w:tc>
          <w:tcPr>
            <w:tcW w:w="776" w:type="pct"/>
            <w:gridSpan w:val="4"/>
            <w:tcBorders>
              <w:top w:val="single" w:sz="8"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项目</w:t>
            </w:r>
          </w:p>
        </w:tc>
        <w:tc>
          <w:tcPr>
            <w:tcW w:w="505" w:type="pct"/>
            <w:gridSpan w:val="2"/>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调整前年初结转和结余</w:t>
            </w:r>
          </w:p>
        </w:tc>
        <w:tc>
          <w:tcPr>
            <w:tcW w:w="3075" w:type="pct"/>
            <w:gridSpan w:val="1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变动项目</w:t>
            </w:r>
          </w:p>
        </w:tc>
        <w:tc>
          <w:tcPr>
            <w:tcW w:w="505" w:type="pct"/>
            <w:gridSpan w:val="2"/>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调整后年初结转和结余</w:t>
            </w:r>
          </w:p>
        </w:tc>
        <w:tc>
          <w:tcPr>
            <w:tcW w:w="140" w:type="pct"/>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备注</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735"/>
        </w:trPr>
        <w:tc>
          <w:tcPr>
            <w:tcW w:w="460" w:type="pct"/>
            <w:gridSpan w:val="3"/>
            <w:vMerge w:val="restart"/>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支出功能分类科目编码</w:t>
            </w:r>
          </w:p>
        </w:tc>
        <w:tc>
          <w:tcPr>
            <w:tcW w:w="316" w:type="pct"/>
            <w:vMerge w:val="restart"/>
            <w:tcBorders>
              <w:top w:val="nil"/>
              <w:left w:val="nil"/>
              <w:bottom w:val="single" w:sz="4" w:space="0" w:color="000000"/>
              <w:right w:val="nil"/>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科目名称</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87" w:type="pct"/>
            <w:vMerge w:val="restart"/>
            <w:tcBorders>
              <w:top w:val="nil"/>
              <w:left w:val="single" w:sz="4" w:space="0" w:color="auto"/>
              <w:bottom w:val="single" w:sz="4" w:space="0" w:color="000000"/>
              <w:right w:val="nil"/>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tcBorders>
              <w:top w:val="nil"/>
              <w:left w:val="nil"/>
              <w:bottom w:val="single" w:sz="4" w:space="0" w:color="auto"/>
              <w:right w:val="single" w:sz="4" w:space="0" w:color="auto"/>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505" w:type="pct"/>
            <w:gridSpan w:val="2"/>
            <w:tcBorders>
              <w:top w:val="single" w:sz="4" w:space="0" w:color="auto"/>
              <w:left w:val="nil"/>
              <w:bottom w:val="nil"/>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审计调整</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归集调入或上缴</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单位内部调剂</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其他</w:t>
            </w:r>
          </w:p>
        </w:tc>
        <w:tc>
          <w:tcPr>
            <w:tcW w:w="140" w:type="pct"/>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435"/>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435"/>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153" w:type="pct"/>
            <w:vMerge w:val="restart"/>
            <w:tcBorders>
              <w:top w:val="nil"/>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lastRenderedPageBreak/>
              <w:t>类</w:t>
            </w:r>
          </w:p>
        </w:tc>
        <w:tc>
          <w:tcPr>
            <w:tcW w:w="153" w:type="pct"/>
            <w:vMerge w:val="restar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款</w:t>
            </w:r>
          </w:p>
        </w:tc>
        <w:tc>
          <w:tcPr>
            <w:tcW w:w="153" w:type="pct"/>
            <w:vMerge w:val="restar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项</w:t>
            </w: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栏次</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2</w:t>
            </w:r>
          </w:p>
        </w:tc>
        <w:tc>
          <w:tcPr>
            <w:tcW w:w="187"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3</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4</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5</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6</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7</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8</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9</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10</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11</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12</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13</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14</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15</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16</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17</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0" w:type="auto"/>
            <w:vMerge/>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bl>
    <w:p w:rsidR="00EA3A7A" w:rsidRPr="00EA3A7A" w:rsidRDefault="00EA3A7A" w:rsidP="00EA3A7A">
      <w:pPr>
        <w:widowControl/>
        <w:snapToGrid w:val="0"/>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注：1．本表反映部门和单位年初结转和结余调整情况，由年初结转和结余发生变动的部门和单位填报。</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2．“调整前年初结转和结余”为上年度部门决算年末结转和结余数，“调整后年初结转和结余”为本年度调整后年初结转和结余数。</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bCs/>
          <w:color w:val="000000"/>
          <w:kern w:val="0"/>
          <w:sz w:val="24"/>
          <w:szCs w:val="24"/>
        </w:rPr>
        <w:t>3．“财政收回”填列各级财政部门收回部门和单位结转和结余资金金额；“审计调整”填列单位根据审计意见调整年初结转和结余资金金额；“归集调入或上缴”填列单位取得主管部门归集调入的结转和结余资金以及按规定实际上缴主管部门的结转和结余资金金额；“单位内部调剂”填列结转和结余资金在单位内部不同项目之间的调剂金额。</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4．“备注”栏应写明作为调整依据的文件号。</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5．本表应作为部门决算填报说明第二部分的附件一并报送，主管部门上报时应分单位编报。</w:t>
      </w:r>
    </w:p>
    <w:p w:rsidR="00EA3A7A" w:rsidRPr="00EA3A7A" w:rsidRDefault="00004167" w:rsidP="00EA3A7A">
      <w:pPr>
        <w:widowControl/>
        <w:snapToGrid w:val="0"/>
        <w:jc w:val="right"/>
        <w:rPr>
          <w:rFonts w:ascii="黑体" w:eastAsia="黑体" w:hAnsi="黑体" w:cs="Times New Roman"/>
          <w:color w:val="000000"/>
          <w:kern w:val="0"/>
          <w:sz w:val="24"/>
          <w:szCs w:val="24"/>
        </w:rPr>
      </w:pPr>
      <w:hyperlink r:id="rId7" w:anchor="返回03" w:history="1"/>
    </w:p>
    <w:p w:rsidR="00EA3A7A" w:rsidRPr="00EA3A7A" w:rsidRDefault="00EA3A7A" w:rsidP="00EA3A7A">
      <w:pPr>
        <w:snapToGrid w:val="0"/>
        <w:rPr>
          <w:rFonts w:ascii="黑体" w:eastAsia="黑体" w:hAnsi="黑体" w:cs="Times New Roman"/>
          <w:sz w:val="24"/>
          <w:szCs w:val="24"/>
        </w:rPr>
      </w:pPr>
      <w:bookmarkStart w:id="2" w:name="附表2：资产负债简表年初数调整情况表"/>
      <w:r w:rsidRPr="00EA3A7A">
        <w:rPr>
          <w:rFonts w:ascii="黑体" w:eastAsia="黑体" w:hAnsi="黑体" w:cs="黑体" w:hint="eastAsia"/>
          <w:kern w:val="0"/>
          <w:sz w:val="24"/>
          <w:szCs w:val="24"/>
        </w:rPr>
        <w:t>附表2：</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资产负债简表年初数调整情况表</w:t>
      </w:r>
    </w:p>
    <w:tbl>
      <w:tblPr>
        <w:tblW w:w="5000" w:type="pct"/>
        <w:tblLook w:val="04A0"/>
      </w:tblPr>
      <w:tblGrid>
        <w:gridCol w:w="2883"/>
        <w:gridCol w:w="456"/>
        <w:gridCol w:w="511"/>
        <w:gridCol w:w="511"/>
        <w:gridCol w:w="511"/>
        <w:gridCol w:w="726"/>
        <w:gridCol w:w="596"/>
        <w:gridCol w:w="456"/>
        <w:gridCol w:w="596"/>
        <w:gridCol w:w="2469"/>
        <w:gridCol w:w="576"/>
        <w:gridCol w:w="511"/>
        <w:gridCol w:w="512"/>
        <w:gridCol w:w="512"/>
        <w:gridCol w:w="727"/>
        <w:gridCol w:w="597"/>
        <w:gridCol w:w="456"/>
        <w:gridCol w:w="568"/>
      </w:tblGrid>
      <w:tr w:rsidR="00EA3A7A" w:rsidRPr="00EA3A7A" w:rsidTr="00EA3A7A">
        <w:trPr>
          <w:trHeight w:val="80"/>
          <w:tblHeader/>
        </w:trPr>
        <w:tc>
          <w:tcPr>
            <w:tcW w:w="1368" w:type="pct"/>
            <w:gridSpan w:val="3"/>
            <w:tcBorders>
              <w:top w:val="nil"/>
              <w:left w:val="nil"/>
              <w:bottom w:val="single" w:sz="8" w:space="0" w:color="000000"/>
              <w:right w:val="nil"/>
            </w:tcBorders>
            <w:vAlign w:val="center"/>
            <w:hideMark/>
          </w:tcPr>
          <w:bookmarkEnd w:id="2"/>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66"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2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22"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2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81"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54"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66"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552" w:type="pct"/>
            <w:gridSpan w:val="3"/>
            <w:tcBorders>
              <w:top w:val="nil"/>
              <w:left w:val="nil"/>
              <w:bottom w:val="single" w:sz="8"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r>
      <w:tr w:rsidR="00EA3A7A" w:rsidRPr="00EA3A7A" w:rsidTr="00EA3A7A">
        <w:trPr>
          <w:trHeight w:val="153"/>
          <w:tblHeader/>
        </w:trPr>
        <w:tc>
          <w:tcPr>
            <w:tcW w:w="1027" w:type="pc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行政单位</w:t>
            </w:r>
          </w:p>
        </w:tc>
        <w:tc>
          <w:tcPr>
            <w:tcW w:w="15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8" w:space="0" w:color="000000"/>
              <w:left w:val="nil"/>
              <w:bottom w:val="single" w:sz="4" w:space="0" w:color="000000"/>
              <w:right w:val="single" w:sz="4" w:space="0" w:color="auto"/>
            </w:tcBorders>
            <w:vAlign w:val="center"/>
            <w:hideMark/>
          </w:tcPr>
          <w:p w:rsidR="00EA3A7A" w:rsidRPr="00EA3A7A" w:rsidRDefault="00EA3A7A" w:rsidP="00EA3A7A">
            <w:pPr>
              <w:widowControl/>
              <w:spacing w:line="153"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8" w:space="0" w:color="000000"/>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20"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c>
          <w:tcPr>
            <w:tcW w:w="881"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事业单位</w:t>
            </w:r>
          </w:p>
        </w:tc>
        <w:tc>
          <w:tcPr>
            <w:tcW w:w="154"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8" w:space="0" w:color="000000"/>
              <w:left w:val="nil"/>
              <w:bottom w:val="single" w:sz="4" w:space="0" w:color="000000"/>
              <w:right w:val="single" w:sz="4" w:space="0" w:color="auto"/>
            </w:tcBorders>
            <w:vAlign w:val="center"/>
            <w:hideMark/>
          </w:tcPr>
          <w:p w:rsidR="00EA3A7A" w:rsidRPr="00EA3A7A" w:rsidRDefault="00EA3A7A" w:rsidP="00EA3A7A">
            <w:pPr>
              <w:widowControl/>
              <w:spacing w:line="153"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8" w:space="0" w:color="000000"/>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10"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90" w:type="pct"/>
            <w:tcBorders>
              <w:top w:val="nil"/>
              <w:left w:val="nil"/>
              <w:bottom w:val="single" w:sz="4" w:space="0" w:color="000000"/>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90" w:type="pct"/>
            <w:tcBorders>
              <w:top w:val="nil"/>
              <w:left w:val="nil"/>
              <w:bottom w:val="single" w:sz="4" w:space="0" w:color="000000"/>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r>
      <w:tr w:rsidR="00EA3A7A" w:rsidRPr="00EA3A7A" w:rsidTr="00EA3A7A">
        <w:trPr>
          <w:trHeight w:val="7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一、资产合计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库存现金</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库存现金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银行存款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single" w:sz="4" w:space="0" w:color="auto"/>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银行存款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财政应返还额度</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财政应返还额度</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预付账款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应收票据</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其他应收款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预付账款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其他应收款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减：固定资产累计折旧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减：累计摊销</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待处理财产损溢</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2"/>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政府储备物资</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公共基础设施</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无形资产原价</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公共基础设施原价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减：累计摊销</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减：公共基础设施累计折旧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待处置资产损溢</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公共基础设施在建工程</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应缴财政款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应缴税费</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应缴税费</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应付职工薪酬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应缴国库款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9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9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应缴财政专户款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应付政府补贴款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应付职工薪酬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应付票据</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一年内到期的非流</w:t>
            </w:r>
            <w:r w:rsidRPr="00EA3A7A">
              <w:rPr>
                <w:rFonts w:ascii="仿宋" w:eastAsia="仿宋" w:hAnsi="仿宋" w:cs="宋体" w:hint="eastAsia"/>
                <w:color w:val="000000"/>
                <w:kern w:val="0"/>
                <w:sz w:val="24"/>
                <w:szCs w:val="24"/>
              </w:rPr>
              <w:lastRenderedPageBreak/>
              <w:t>动负债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32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长期应付款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预收账款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5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长期借款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长期应付款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9"/>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9"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财政拨款结转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财政拨款结余</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非流动资产基金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0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2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其他资金结转结余</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专用基金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其中：项目结转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修购基金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资产基金</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职工福利基金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待偿债净资产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其他专用基金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财政补助结转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0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20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财政补助结余</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非财政补助结转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2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2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非财政补助结余</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2"/>
        </w:trPr>
        <w:tc>
          <w:tcPr>
            <w:tcW w:w="1027" w:type="pct"/>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lastRenderedPageBreak/>
              <w:t xml:space="preserve">　</w:t>
            </w:r>
          </w:p>
        </w:tc>
        <w:tc>
          <w:tcPr>
            <w:tcW w:w="15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50</w:t>
            </w:r>
          </w:p>
        </w:tc>
        <w:tc>
          <w:tcPr>
            <w:tcW w:w="19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8"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其他净资产</w:t>
            </w:r>
          </w:p>
        </w:tc>
        <w:tc>
          <w:tcPr>
            <w:tcW w:w="154"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100</w:t>
            </w:r>
          </w:p>
        </w:tc>
        <w:tc>
          <w:tcPr>
            <w:tcW w:w="19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8"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宋体" w:hint="eastAsia"/>
          <w:sz w:val="24"/>
          <w:szCs w:val="24"/>
        </w:rPr>
        <w:t>接上表</w:t>
      </w:r>
    </w:p>
    <w:tbl>
      <w:tblPr>
        <w:tblW w:w="5000" w:type="pct"/>
        <w:tblLook w:val="04A0"/>
      </w:tblPr>
      <w:tblGrid>
        <w:gridCol w:w="2864"/>
        <w:gridCol w:w="576"/>
        <w:gridCol w:w="503"/>
        <w:gridCol w:w="505"/>
        <w:gridCol w:w="503"/>
        <w:gridCol w:w="718"/>
        <w:gridCol w:w="589"/>
        <w:gridCol w:w="456"/>
        <w:gridCol w:w="589"/>
        <w:gridCol w:w="2462"/>
        <w:gridCol w:w="576"/>
        <w:gridCol w:w="504"/>
        <w:gridCol w:w="504"/>
        <w:gridCol w:w="506"/>
        <w:gridCol w:w="722"/>
        <w:gridCol w:w="589"/>
        <w:gridCol w:w="456"/>
        <w:gridCol w:w="552"/>
      </w:tblGrid>
      <w:tr w:rsidR="00EA3A7A" w:rsidRPr="00EA3A7A" w:rsidTr="00EA3A7A">
        <w:trPr>
          <w:trHeight w:val="465"/>
          <w:tblHeader/>
        </w:trPr>
        <w:tc>
          <w:tcPr>
            <w:tcW w:w="1023"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企业化管理事业单位</w:t>
            </w:r>
          </w:p>
        </w:tc>
        <w:tc>
          <w:tcPr>
            <w:tcW w:w="15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1"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c>
          <w:tcPr>
            <w:tcW w:w="881"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民间非营利组织</w:t>
            </w:r>
          </w:p>
        </w:tc>
        <w:tc>
          <w:tcPr>
            <w:tcW w:w="15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1"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7"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07"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ind w:rightChars="-51" w:right="-107"/>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9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42"/>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货币资金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货币资金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1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应收票据</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应收款项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预付账款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应收补贴款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9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固定资产原价</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固定资产净值</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固定资产净值</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减：固定资产减值准备</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文物文化资产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固定资产净额</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工程物资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固定资产清理</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固定资产清理</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待处理固定资产净损失</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1"/>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递延税款借项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42"/>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1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应付票据</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应付款项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应付账款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应付工资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应付工资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应交税金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应付福利费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应交税金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长期应付款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递延税款贷项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三、少数股东权益</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四、所有者权益合计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实收资本（股本）</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非限定性净资产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其中：国家资本</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限定性净资产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资本公积</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盈余公积</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未分配利润</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资产总计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负债总计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净资产总计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国有资产总量</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0"/>
        </w:trPr>
        <w:tc>
          <w:tcPr>
            <w:tcW w:w="5000" w:type="pct"/>
            <w:gridSpan w:val="18"/>
            <w:tcMar>
              <w:top w:w="0" w:type="dxa"/>
              <w:left w:w="0" w:type="dxa"/>
              <w:bottom w:w="0" w:type="dxa"/>
              <w:right w:w="0" w:type="dxa"/>
            </w:tcMar>
            <w:hideMark/>
          </w:tcPr>
          <w:p w:rsidR="00EA3A7A" w:rsidRPr="00EA3A7A" w:rsidRDefault="00EA3A7A" w:rsidP="00EA3A7A">
            <w:pPr>
              <w:widowControl/>
              <w:jc w:val="left"/>
              <w:rPr>
                <w:rFonts w:ascii="仿宋" w:eastAsia="仿宋" w:hAnsi="仿宋" w:cs="Times New Roman"/>
                <w:kern w:val="0"/>
                <w:sz w:val="24"/>
                <w:szCs w:val="24"/>
              </w:rPr>
            </w:pPr>
            <w:r w:rsidRPr="00EA3A7A">
              <w:rPr>
                <w:rFonts w:ascii="仿宋" w:eastAsia="仿宋" w:hAnsi="仿宋" w:cs="仿宋" w:hint="eastAsia"/>
                <w:kern w:val="0"/>
                <w:sz w:val="24"/>
                <w:szCs w:val="24"/>
              </w:rPr>
              <w:t>注：1．本表反映部门和单位年初资产负债简表年初数变动情况</w:t>
            </w:r>
            <w:r w:rsidRPr="00EA3A7A">
              <w:rPr>
                <w:rFonts w:ascii="仿宋" w:eastAsia="仿宋" w:hAnsi="仿宋" w:cs="仿宋" w:hint="eastAsia"/>
                <w:bCs/>
                <w:color w:val="000000"/>
                <w:kern w:val="0"/>
                <w:sz w:val="24"/>
                <w:szCs w:val="24"/>
              </w:rPr>
              <w:t>，由资产负债简表年初数发生变动的部门和单位编报。</w:t>
            </w:r>
          </w:p>
        </w:tc>
      </w:tr>
      <w:tr w:rsidR="00EA3A7A" w:rsidRPr="00EA3A7A" w:rsidTr="00EA3A7A">
        <w:trPr>
          <w:trHeight w:val="300"/>
        </w:trPr>
        <w:tc>
          <w:tcPr>
            <w:tcW w:w="5000" w:type="pct"/>
            <w:gridSpan w:val="18"/>
            <w:tcMar>
              <w:top w:w="0" w:type="dxa"/>
              <w:left w:w="0" w:type="dxa"/>
              <w:bottom w:w="0" w:type="dxa"/>
              <w:right w:w="0" w:type="dxa"/>
            </w:tcMar>
            <w:hideMark/>
          </w:tcPr>
          <w:p w:rsidR="00EA3A7A" w:rsidRPr="00EA3A7A" w:rsidRDefault="00EA3A7A" w:rsidP="00EA3A7A">
            <w:pPr>
              <w:widowControl/>
              <w:ind w:firstLineChars="200" w:firstLine="480"/>
              <w:jc w:val="left"/>
              <w:rPr>
                <w:rFonts w:ascii="仿宋" w:eastAsia="仿宋" w:hAnsi="仿宋" w:cs="Times New Roman"/>
                <w:kern w:val="0"/>
                <w:sz w:val="24"/>
                <w:szCs w:val="24"/>
              </w:rPr>
            </w:pPr>
            <w:r w:rsidRPr="00EA3A7A">
              <w:rPr>
                <w:rFonts w:ascii="仿宋" w:eastAsia="仿宋" w:hAnsi="仿宋" w:cs="仿宋" w:hint="eastAsia"/>
                <w:kern w:val="0"/>
                <w:sz w:val="24"/>
                <w:szCs w:val="24"/>
              </w:rPr>
              <w:t>2．“调整前年初数”为上年度资产负债简表年末数，“调整后年初数”为本年度根据变动事项调整后的年初数。</w:t>
            </w:r>
          </w:p>
        </w:tc>
      </w:tr>
      <w:tr w:rsidR="00EA3A7A" w:rsidRPr="00EA3A7A" w:rsidTr="00EA3A7A">
        <w:trPr>
          <w:trHeight w:val="300"/>
        </w:trPr>
        <w:tc>
          <w:tcPr>
            <w:tcW w:w="5000" w:type="pct"/>
            <w:gridSpan w:val="18"/>
            <w:tcMar>
              <w:top w:w="0" w:type="dxa"/>
              <w:left w:w="0" w:type="dxa"/>
              <w:bottom w:w="0" w:type="dxa"/>
              <w:right w:w="0" w:type="dxa"/>
            </w:tcMar>
            <w:hideMark/>
          </w:tcPr>
          <w:p w:rsidR="00EA3A7A" w:rsidRPr="00EA3A7A" w:rsidRDefault="00EA3A7A" w:rsidP="00EA3A7A">
            <w:pPr>
              <w:widowControl/>
              <w:ind w:firstLineChars="200" w:firstLine="480"/>
              <w:jc w:val="left"/>
              <w:rPr>
                <w:rFonts w:ascii="仿宋" w:eastAsia="仿宋" w:hAnsi="仿宋" w:cs="Times New Roman"/>
                <w:kern w:val="0"/>
                <w:sz w:val="24"/>
                <w:szCs w:val="24"/>
              </w:rPr>
            </w:pPr>
            <w:r w:rsidRPr="00EA3A7A">
              <w:rPr>
                <w:rFonts w:ascii="仿宋" w:eastAsia="仿宋" w:hAnsi="仿宋" w:cs="仿宋" w:hint="eastAsia"/>
                <w:kern w:val="0"/>
                <w:sz w:val="24"/>
                <w:szCs w:val="24"/>
              </w:rPr>
              <w:t>3．本表应作为部门决算填报说明第二部分的附件一并报送。</w:t>
            </w:r>
          </w:p>
        </w:tc>
      </w:tr>
    </w:tbl>
    <w:p w:rsidR="00EA3A7A" w:rsidRPr="00EA3A7A" w:rsidRDefault="00004167" w:rsidP="00EA3A7A">
      <w:pPr>
        <w:widowControl/>
        <w:snapToGrid w:val="0"/>
        <w:jc w:val="right"/>
        <w:rPr>
          <w:rFonts w:ascii="黑体" w:eastAsia="黑体" w:hAnsi="黑体" w:cs="Times New Roman"/>
          <w:color w:val="000000"/>
          <w:kern w:val="0"/>
          <w:sz w:val="24"/>
          <w:szCs w:val="24"/>
        </w:rPr>
      </w:pPr>
      <w:hyperlink r:id="rId8" w:anchor="返回03" w:history="1"/>
    </w:p>
    <w:p w:rsidR="00EA3A7A" w:rsidRPr="00EA3A7A" w:rsidRDefault="00EA3A7A" w:rsidP="00EA3A7A">
      <w:pPr>
        <w:snapToGrid w:val="0"/>
        <w:rPr>
          <w:rFonts w:ascii="黑体" w:eastAsia="黑体" w:hAnsi="黑体" w:cs="Times New Roman"/>
          <w:sz w:val="24"/>
          <w:szCs w:val="24"/>
        </w:rPr>
      </w:pPr>
      <w:bookmarkStart w:id="3" w:name="附表3：主要指标变动情况表"/>
      <w:r w:rsidRPr="00EA3A7A">
        <w:rPr>
          <w:rFonts w:ascii="黑体" w:eastAsia="黑体" w:hAnsi="黑体" w:cs="黑体" w:hint="eastAsia"/>
          <w:kern w:val="0"/>
          <w:sz w:val="24"/>
          <w:szCs w:val="24"/>
        </w:rPr>
        <w:t>附表3：</w:t>
      </w:r>
    </w:p>
    <w:p w:rsidR="00EA3A7A" w:rsidRPr="00EA3A7A" w:rsidRDefault="00EA3A7A" w:rsidP="00EA3A7A">
      <w:pPr>
        <w:snapToGrid w:val="0"/>
        <w:jc w:val="center"/>
        <w:rPr>
          <w:rFonts w:ascii="黑体" w:eastAsia="黑体" w:hAnsi="黑体" w:cs="Times New Roman"/>
          <w:sz w:val="24"/>
          <w:szCs w:val="24"/>
        </w:rPr>
      </w:pPr>
      <w:r w:rsidRPr="00EA3A7A">
        <w:rPr>
          <w:rFonts w:ascii="黑体" w:eastAsia="黑体" w:hAnsi="黑体" w:cs="黑体" w:hint="eastAsia"/>
          <w:kern w:val="0"/>
          <w:sz w:val="24"/>
          <w:szCs w:val="24"/>
        </w:rPr>
        <w:t>主要指标变动情况表</w:t>
      </w:r>
    </w:p>
    <w:tbl>
      <w:tblPr>
        <w:tblW w:w="0" w:type="auto"/>
        <w:tblLook w:val="04A0"/>
      </w:tblPr>
      <w:tblGrid>
        <w:gridCol w:w="4646"/>
        <w:gridCol w:w="724"/>
        <w:gridCol w:w="1304"/>
        <w:gridCol w:w="1208"/>
        <w:gridCol w:w="1208"/>
        <w:gridCol w:w="1380"/>
        <w:gridCol w:w="3482"/>
        <w:gridCol w:w="222"/>
      </w:tblGrid>
      <w:tr w:rsidR="00EA3A7A" w:rsidRPr="00EA3A7A" w:rsidTr="00EA3A7A">
        <w:trPr>
          <w:trHeight w:val="80"/>
          <w:tblHeader/>
        </w:trPr>
        <w:tc>
          <w:tcPr>
            <w:tcW w:w="6381" w:type="dxa"/>
            <w:tcBorders>
              <w:top w:val="nil"/>
              <w:left w:val="nil"/>
              <w:bottom w:val="single" w:sz="4" w:space="0" w:color="000000"/>
              <w:right w:val="nil"/>
            </w:tcBorders>
            <w:vAlign w:val="center"/>
            <w:hideMark/>
          </w:tcPr>
          <w:bookmarkEnd w:id="3"/>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85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70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559"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155" w:type="dxa"/>
            <w:gridSpan w:val="3"/>
            <w:tcBorders>
              <w:top w:val="nil"/>
              <w:left w:val="nil"/>
              <w:bottom w:val="single" w:sz="4" w:space="0" w:color="000000"/>
              <w:right w:val="nil"/>
            </w:tcBorders>
            <w:vAlign w:val="center"/>
            <w:hideMark/>
          </w:tcPr>
          <w:p w:rsidR="00EA3A7A" w:rsidRPr="00EA3A7A" w:rsidRDefault="00EA3A7A" w:rsidP="00EA3A7A">
            <w:pPr>
              <w:widowControl/>
              <w:wordWrap w:val="0"/>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 xml:space="preserve">                                           年 月 日</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312"/>
          <w:tblHeader/>
        </w:trPr>
        <w:tc>
          <w:tcPr>
            <w:tcW w:w="6381" w:type="dxa"/>
            <w:vMerge w:val="restar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指    标</w:t>
            </w:r>
          </w:p>
        </w:tc>
        <w:tc>
          <w:tcPr>
            <w:tcW w:w="85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本年度</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上年度</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比上年增减</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增减％</w:t>
            </w:r>
          </w:p>
        </w:tc>
        <w:tc>
          <w:tcPr>
            <w:tcW w:w="4896" w:type="dxa"/>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原因</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vMerge/>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6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6"/>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一、年度收支情况（</w:t>
            </w:r>
            <w:r w:rsidRPr="00EA3A7A">
              <w:rPr>
                <w:rFonts w:ascii="仿宋" w:eastAsia="仿宋" w:hAnsi="仿宋" w:cs="仿宋" w:hint="eastAsia"/>
                <w:kern w:val="0"/>
                <w:sz w:val="24"/>
                <w:szCs w:val="24"/>
              </w:rPr>
              <w:t>单位：元）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1．本年收入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政府性基金预算财政拨款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经营收入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94"/>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9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2．本年支出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9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其中：基本支出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（1）人员经费</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（2）日常公用经费</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项目支出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（1）基本建设类项目</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（2）行政事业类项目</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经营支出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15"/>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15"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3．年末结转和结余</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15"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2"/>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政府性基金预算财政拨款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二、年末资产负债情况（</w:t>
            </w:r>
            <w:r w:rsidRPr="00EA3A7A">
              <w:rPr>
                <w:rFonts w:ascii="仿宋" w:eastAsia="仿宋" w:hAnsi="仿宋" w:cs="仿宋" w:hint="eastAsia"/>
                <w:kern w:val="0"/>
                <w:sz w:val="24"/>
                <w:szCs w:val="24"/>
              </w:rPr>
              <w:t>单位：元）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1．资产总计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其中：固定资产价值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其中：房屋价值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房屋面积（平方米）</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*房屋单价（元）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27"/>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27"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汽车价值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7"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2"/>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汽车数量（辆）</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*汽车单价（元）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2．负债总计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31"/>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3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其中：事业单位借款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3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4"/>
                <w:szCs w:val="24"/>
              </w:rPr>
            </w:pPr>
          </w:p>
        </w:tc>
      </w:tr>
      <w:tr w:rsidR="00EA3A7A" w:rsidRPr="00EA3A7A" w:rsidTr="00EA3A7A">
        <w:trPr>
          <w:trHeight w:val="10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3．净资产总计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其中：结转和结余</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非流动资产基金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事业单位事业基金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267"/>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事业单位专用基金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8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三、年末机构人员情况（单位：个、人）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1．独立编制机构数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36</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6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其中：行政机构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37</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6"/>
                <w:szCs w:val="24"/>
              </w:rPr>
            </w:pPr>
          </w:p>
        </w:tc>
      </w:tr>
      <w:tr w:rsidR="00EA3A7A" w:rsidRPr="00EA3A7A" w:rsidTr="00EA3A7A">
        <w:trPr>
          <w:trHeight w:val="143"/>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43"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4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38</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4"/>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2．独立核算机构数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39</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其中：行政机构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40</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86"/>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41</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3．年末实有人数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42</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在职人员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43</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离休人员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44</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退休人员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45</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4．年末</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公共预算财政拨款（补助）开支人数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46</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在职人员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47</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04"/>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离休人员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48</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退休人员</w:t>
            </w:r>
          </w:p>
        </w:tc>
        <w:tc>
          <w:tcPr>
            <w:tcW w:w="850" w:type="dxa"/>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49</w:t>
            </w:r>
          </w:p>
        </w:tc>
        <w:tc>
          <w:tcPr>
            <w:tcW w:w="1700"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8"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bl>
    <w:p w:rsidR="00EA3A7A" w:rsidRPr="00EA3A7A" w:rsidRDefault="00EA3A7A" w:rsidP="00EA3A7A">
      <w:pPr>
        <w:tabs>
          <w:tab w:val="left" w:pos="5693"/>
        </w:tabs>
        <w:snapToGrid w:val="0"/>
        <w:ind w:firstLineChars="50" w:firstLine="120"/>
        <w:rPr>
          <w:rFonts w:ascii="仿宋" w:eastAsia="仿宋" w:hAnsi="仿宋" w:cs="Times New Roman"/>
          <w:sz w:val="24"/>
          <w:szCs w:val="24"/>
        </w:rPr>
      </w:pPr>
      <w:r w:rsidRPr="00EA3A7A">
        <w:rPr>
          <w:rFonts w:ascii="仿宋" w:eastAsia="仿宋" w:hAnsi="仿宋" w:cs="Times New Roman" w:hint="eastAsia"/>
          <w:sz w:val="24"/>
          <w:szCs w:val="24"/>
        </w:rPr>
        <w:t>注：1．本表反映部门和单位本年收支余、资产负债、机构人员等主要指标与上年数对比变动情况及变动原因，各部门和单位均需填报本表。</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2．事业收入中含事业单位财政专户管理资金收入。</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3．其他收入指单位取得的除财政拨款、事业收入、经营收入、上级补助收入、附属单位上缴收入以外的收入。</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4．房屋单价＝房屋价值/房屋面积；汽车单价＝汽车价值/汽车数量。</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5．事业单位借款包括执行《事业单位会计制度》及行业事业单位会计制度的单位短期借款和长期借款。</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6．结转和结余包括单位财政拨款结转和结余及其他资金结转和结余；非流动资产基金包括执行《行政单位会计制度》的单位资产基金和执行《事业单位会计制度》及行业事业单位会计制度的单位非流动资产基金。</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7．本表应作为部门决算填报说明第二部分的附件一并报送。</w:t>
      </w:r>
    </w:p>
    <w:p w:rsidR="00EA3A7A" w:rsidRPr="00EA3A7A" w:rsidRDefault="00004167" w:rsidP="00EA3A7A">
      <w:pPr>
        <w:widowControl/>
        <w:snapToGrid w:val="0"/>
        <w:jc w:val="right"/>
        <w:rPr>
          <w:rFonts w:ascii="黑体" w:eastAsia="黑体" w:hAnsi="黑体" w:cs="Times New Roman"/>
          <w:color w:val="000000"/>
          <w:kern w:val="0"/>
          <w:sz w:val="24"/>
          <w:szCs w:val="24"/>
        </w:rPr>
      </w:pPr>
      <w:hyperlink r:id="rId9" w:anchor="返回03" w:history="1"/>
    </w:p>
    <w:p w:rsidR="00EA3A7A" w:rsidRPr="00EA3A7A" w:rsidRDefault="00EA3A7A" w:rsidP="00EA3A7A">
      <w:pPr>
        <w:snapToGrid w:val="0"/>
        <w:rPr>
          <w:rFonts w:ascii="黑体" w:eastAsia="黑体" w:hAnsi="黑体" w:cs="Times New Roman"/>
          <w:sz w:val="24"/>
          <w:szCs w:val="24"/>
        </w:rPr>
      </w:pPr>
      <w:bookmarkStart w:id="4" w:name="附表4：其他收入明细情况表"/>
      <w:r w:rsidRPr="00EA3A7A">
        <w:rPr>
          <w:rFonts w:ascii="黑体" w:eastAsia="黑体" w:hAnsi="黑体" w:cs="黑体" w:hint="eastAsia"/>
          <w:kern w:val="0"/>
          <w:sz w:val="24"/>
          <w:szCs w:val="24"/>
        </w:rPr>
        <w:t>附表4：</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其他收入明细情况表</w:t>
      </w:r>
    </w:p>
    <w:tbl>
      <w:tblPr>
        <w:tblW w:w="0" w:type="auto"/>
        <w:tblLook w:val="04A0"/>
      </w:tblPr>
      <w:tblGrid>
        <w:gridCol w:w="526"/>
        <w:gridCol w:w="526"/>
        <w:gridCol w:w="526"/>
        <w:gridCol w:w="1959"/>
        <w:gridCol w:w="881"/>
        <w:gridCol w:w="884"/>
        <w:gridCol w:w="884"/>
        <w:gridCol w:w="884"/>
        <w:gridCol w:w="884"/>
        <w:gridCol w:w="884"/>
        <w:gridCol w:w="1152"/>
        <w:gridCol w:w="1241"/>
        <w:gridCol w:w="2721"/>
        <w:gridCol w:w="222"/>
      </w:tblGrid>
      <w:tr w:rsidR="00EA3A7A" w:rsidRPr="00EA3A7A" w:rsidTr="00EA3A7A">
        <w:trPr>
          <w:trHeight w:val="80"/>
          <w:tblHeader/>
        </w:trPr>
        <w:tc>
          <w:tcPr>
            <w:tcW w:w="4540" w:type="dxa"/>
            <w:gridSpan w:val="4"/>
            <w:tcBorders>
              <w:top w:val="nil"/>
              <w:left w:val="nil"/>
              <w:bottom w:val="single" w:sz="4" w:space="0" w:color="000000"/>
              <w:right w:val="nil"/>
            </w:tcBorders>
            <w:vAlign w:val="center"/>
            <w:hideMark/>
          </w:tcPr>
          <w:bookmarkEnd w:id="4"/>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113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80808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80808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7305" w:type="dxa"/>
            <w:gridSpan w:val="3"/>
            <w:tcBorders>
              <w:top w:val="nil"/>
              <w:left w:val="nil"/>
              <w:bottom w:val="single" w:sz="4"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 xml:space="preserve"> </w:t>
            </w:r>
            <w:r w:rsidRPr="00EA3A7A">
              <w:rPr>
                <w:rFonts w:ascii="黑体" w:eastAsia="黑体" w:hAnsi="黑体" w:cs="黑体" w:hint="eastAsia"/>
                <w:kern w:val="0"/>
                <w:sz w:val="24"/>
                <w:szCs w:val="24"/>
              </w:rPr>
              <w:t xml:space="preserve">                       </w:t>
            </w:r>
            <w:r w:rsidRPr="00EA3A7A">
              <w:rPr>
                <w:rFonts w:ascii="仿宋" w:eastAsia="仿宋" w:hAnsi="仿宋" w:cs="仿宋" w:hint="eastAsia"/>
                <w:kern w:val="0"/>
                <w:sz w:val="24"/>
                <w:szCs w:val="24"/>
              </w:rPr>
              <w:t>单位：元</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60"/>
          <w:tblHeader/>
        </w:trPr>
        <w:tc>
          <w:tcPr>
            <w:tcW w:w="4540" w:type="dxa"/>
            <w:gridSpan w:val="4"/>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项目</w:t>
            </w:r>
          </w:p>
        </w:tc>
        <w:tc>
          <w:tcPr>
            <w:tcW w:w="113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合计</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本级横向拨款</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非本级</w:t>
            </w:r>
            <w:r w:rsidRPr="00EA3A7A">
              <w:rPr>
                <w:rFonts w:ascii="仿宋" w:eastAsia="仿宋" w:hAnsi="仿宋" w:cs="Times New Roman" w:hint="eastAsia"/>
                <w:kern w:val="0"/>
                <w:sz w:val="24"/>
                <w:szCs w:val="24"/>
              </w:rPr>
              <w:t>拨款</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投资收益</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利息收入</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捐赠收入</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事业单位固定资产出租收入</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4046" w:type="dxa"/>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备注</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6"/>
                <w:szCs w:val="24"/>
              </w:rPr>
            </w:pPr>
          </w:p>
        </w:tc>
      </w:tr>
      <w:tr w:rsidR="00EA3A7A" w:rsidRPr="00EA3A7A" w:rsidTr="00EA3A7A">
        <w:trPr>
          <w:trHeight w:val="312"/>
          <w:tblHeader/>
        </w:trPr>
        <w:tc>
          <w:tcPr>
            <w:tcW w:w="1702" w:type="dxa"/>
            <w:gridSpan w:val="3"/>
            <w:vMerge w:val="restart"/>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支出功能分类科目编码</w:t>
            </w:r>
          </w:p>
        </w:tc>
        <w:tc>
          <w:tcPr>
            <w:tcW w:w="2838"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科目名称</w:t>
            </w: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70"/>
          <w:tblHeader/>
        </w:trPr>
        <w:tc>
          <w:tcPr>
            <w:tcW w:w="568" w:type="dxa"/>
            <w:vMerge w:val="restar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类</w:t>
            </w:r>
          </w:p>
        </w:tc>
        <w:tc>
          <w:tcPr>
            <w:tcW w:w="567"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款</w:t>
            </w:r>
          </w:p>
        </w:tc>
        <w:tc>
          <w:tcPr>
            <w:tcW w:w="567"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0" w:type="auto"/>
            <w:vMerge/>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合计</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注：1．本表反映部门和单位其他收入明细情况，由本年度取得“其他收入”的部门和单位填报。</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2．本表2、3、8栏填报有数，需在备注中注明收入具体来源。</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3．本表应作为部门决算填报说明第四部分的附件一并报送，主管部门上报时应分单位编报。</w:t>
      </w:r>
    </w:p>
    <w:p w:rsidR="00EA3A7A" w:rsidRPr="00EA3A7A" w:rsidRDefault="00004167" w:rsidP="00EA3A7A">
      <w:pPr>
        <w:widowControl/>
        <w:snapToGrid w:val="0"/>
        <w:jc w:val="right"/>
        <w:rPr>
          <w:rFonts w:ascii="黑体" w:eastAsia="黑体" w:hAnsi="黑体" w:cs="Times New Roman"/>
          <w:color w:val="000000"/>
          <w:kern w:val="0"/>
          <w:sz w:val="24"/>
          <w:szCs w:val="24"/>
        </w:rPr>
      </w:pPr>
      <w:hyperlink r:id="rId10" w:anchor="返回03" w:history="1"/>
    </w:p>
    <w:p w:rsidR="00EA3A7A" w:rsidRPr="00EA3A7A" w:rsidRDefault="00EA3A7A" w:rsidP="00EA3A7A">
      <w:pPr>
        <w:snapToGrid w:val="0"/>
        <w:rPr>
          <w:rFonts w:ascii="黑体" w:eastAsia="黑体" w:hAnsi="黑体" w:cs="黑体"/>
          <w:kern w:val="0"/>
          <w:sz w:val="24"/>
          <w:szCs w:val="24"/>
        </w:rPr>
      </w:pPr>
      <w:bookmarkStart w:id="5" w:name="附表5：部门决算相关信息统计表"/>
      <w:r w:rsidRPr="00EA3A7A">
        <w:rPr>
          <w:rFonts w:ascii="黑体" w:eastAsia="黑体" w:hAnsi="黑体" w:cs="黑体" w:hint="eastAsia"/>
          <w:kern w:val="0"/>
          <w:sz w:val="24"/>
          <w:szCs w:val="24"/>
        </w:rPr>
        <w:t>附表5：</w:t>
      </w:r>
    </w:p>
    <w:p w:rsidR="00EA3A7A" w:rsidRPr="00EA3A7A" w:rsidRDefault="00EA3A7A" w:rsidP="00EA3A7A">
      <w:pPr>
        <w:snapToGrid w:val="0"/>
        <w:jc w:val="center"/>
        <w:rPr>
          <w:rFonts w:ascii="黑体" w:eastAsia="黑体" w:hAnsi="黑体" w:cs="Times New Roman"/>
          <w:sz w:val="24"/>
          <w:szCs w:val="24"/>
        </w:rPr>
      </w:pPr>
      <w:r w:rsidRPr="00EA3A7A">
        <w:rPr>
          <w:rFonts w:ascii="黑体" w:eastAsia="黑体" w:hAnsi="黑体" w:cs="Times New Roman" w:hint="eastAsia"/>
          <w:sz w:val="24"/>
          <w:szCs w:val="24"/>
        </w:rPr>
        <w:t>部门决算相关信息统计表</w:t>
      </w:r>
    </w:p>
    <w:tbl>
      <w:tblPr>
        <w:tblW w:w="5000" w:type="pct"/>
        <w:tblLook w:val="04A0"/>
      </w:tblPr>
      <w:tblGrid>
        <w:gridCol w:w="4575"/>
        <w:gridCol w:w="763"/>
        <w:gridCol w:w="1026"/>
        <w:gridCol w:w="6021"/>
        <w:gridCol w:w="763"/>
        <w:gridCol w:w="1026"/>
      </w:tblGrid>
      <w:tr w:rsidR="00EA3A7A" w:rsidRPr="00EA3A7A" w:rsidTr="00EA3A7A">
        <w:trPr>
          <w:trHeight w:val="270"/>
          <w:tblHeader/>
        </w:trPr>
        <w:tc>
          <w:tcPr>
            <w:tcW w:w="1614" w:type="pct"/>
            <w:tcBorders>
              <w:top w:val="nil"/>
              <w:left w:val="nil"/>
              <w:bottom w:val="single" w:sz="4" w:space="0" w:color="auto"/>
              <w:right w:val="nil"/>
            </w:tcBorders>
            <w:noWrap/>
            <w:vAlign w:val="center"/>
            <w:hideMark/>
          </w:tcPr>
          <w:bookmarkEnd w:id="5"/>
          <w:p w:rsidR="00EA3A7A" w:rsidRPr="00EA3A7A" w:rsidRDefault="00EA3A7A" w:rsidP="00EA3A7A">
            <w:pPr>
              <w:jc w:val="left"/>
              <w:rPr>
                <w:rFonts w:ascii="仿宋" w:eastAsia="仿宋" w:hAnsi="仿宋" w:cs="Times New Roman"/>
                <w:sz w:val="24"/>
                <w:szCs w:val="24"/>
              </w:rPr>
            </w:pPr>
            <w:r w:rsidRPr="00EA3A7A">
              <w:rPr>
                <w:rFonts w:ascii="仿宋" w:eastAsia="仿宋" w:hAnsi="仿宋" w:cs="Times New Roman" w:hint="eastAsia"/>
                <w:sz w:val="24"/>
                <w:szCs w:val="24"/>
              </w:rPr>
              <w:t>编制单位：</w:t>
            </w:r>
          </w:p>
        </w:tc>
        <w:tc>
          <w:tcPr>
            <w:tcW w:w="269" w:type="pct"/>
            <w:noWrap/>
            <w:vAlign w:val="center"/>
          </w:tcPr>
          <w:p w:rsidR="00EA3A7A" w:rsidRPr="00EA3A7A" w:rsidRDefault="00EA3A7A" w:rsidP="00EA3A7A">
            <w:pPr>
              <w:jc w:val="center"/>
              <w:rPr>
                <w:rFonts w:ascii="仿宋" w:eastAsia="仿宋" w:hAnsi="仿宋" w:cs="Times New Roman"/>
                <w:sz w:val="24"/>
                <w:szCs w:val="24"/>
              </w:rPr>
            </w:pPr>
          </w:p>
        </w:tc>
        <w:tc>
          <w:tcPr>
            <w:tcW w:w="362" w:type="pct"/>
            <w:tcBorders>
              <w:top w:val="nil"/>
              <w:left w:val="nil"/>
              <w:bottom w:val="single" w:sz="4" w:space="0" w:color="auto"/>
              <w:right w:val="nil"/>
            </w:tcBorders>
            <w:noWrap/>
            <w:vAlign w:val="center"/>
          </w:tcPr>
          <w:p w:rsidR="00EA3A7A" w:rsidRPr="00EA3A7A" w:rsidRDefault="00EA3A7A" w:rsidP="00EA3A7A">
            <w:pPr>
              <w:jc w:val="center"/>
              <w:rPr>
                <w:rFonts w:ascii="仿宋" w:eastAsia="仿宋" w:hAnsi="仿宋" w:cs="Times New Roman"/>
                <w:sz w:val="24"/>
                <w:szCs w:val="24"/>
              </w:rPr>
            </w:pPr>
          </w:p>
        </w:tc>
        <w:tc>
          <w:tcPr>
            <w:tcW w:w="2755" w:type="pct"/>
            <w:gridSpan w:val="3"/>
            <w:tcBorders>
              <w:top w:val="nil"/>
              <w:left w:val="nil"/>
              <w:bottom w:val="single" w:sz="4" w:space="0" w:color="auto"/>
              <w:right w:val="nil"/>
            </w:tcBorders>
            <w:noWrap/>
            <w:vAlign w:val="center"/>
            <w:hideMark/>
          </w:tcPr>
          <w:p w:rsidR="00EA3A7A" w:rsidRPr="00EA3A7A" w:rsidRDefault="00EA3A7A" w:rsidP="00EA3A7A">
            <w:pPr>
              <w:jc w:val="right"/>
              <w:rPr>
                <w:rFonts w:ascii="仿宋" w:eastAsia="仿宋" w:hAnsi="仿宋" w:cs="Times New Roman"/>
                <w:sz w:val="24"/>
                <w:szCs w:val="24"/>
              </w:rPr>
            </w:pPr>
            <w:r w:rsidRPr="00EA3A7A">
              <w:rPr>
                <w:rFonts w:ascii="仿宋" w:eastAsia="仿宋" w:hAnsi="仿宋" w:cs="Times New Roman" w:hint="eastAsia"/>
                <w:sz w:val="24"/>
                <w:szCs w:val="24"/>
              </w:rPr>
              <w:t>单位：元</w:t>
            </w:r>
          </w:p>
        </w:tc>
      </w:tr>
      <w:tr w:rsidR="00EA3A7A" w:rsidRPr="00EA3A7A" w:rsidTr="00EA3A7A">
        <w:trPr>
          <w:trHeight w:val="270"/>
          <w:tblHeader/>
        </w:trPr>
        <w:tc>
          <w:tcPr>
            <w:tcW w:w="161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项  目</w:t>
            </w:r>
          </w:p>
        </w:tc>
        <w:tc>
          <w:tcPr>
            <w:tcW w:w="269" w:type="pct"/>
            <w:vMerge w:val="restar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行次</w:t>
            </w:r>
          </w:p>
        </w:tc>
        <w:tc>
          <w:tcPr>
            <w:tcW w:w="362"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统计数</w:t>
            </w:r>
          </w:p>
        </w:tc>
        <w:tc>
          <w:tcPr>
            <w:tcW w:w="212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项  目</w:t>
            </w:r>
          </w:p>
        </w:tc>
        <w:tc>
          <w:tcPr>
            <w:tcW w:w="269" w:type="pct"/>
            <w:vMerge w:val="restar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行次</w:t>
            </w:r>
          </w:p>
        </w:tc>
        <w:tc>
          <w:tcPr>
            <w:tcW w:w="362"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统计数</w:t>
            </w:r>
          </w:p>
        </w:tc>
      </w:tr>
      <w:tr w:rsidR="00EA3A7A" w:rsidRPr="00EA3A7A" w:rsidTr="00EA3A7A">
        <w:trPr>
          <w:trHeight w:val="270"/>
          <w:tblHeader/>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栏  次</w:t>
            </w:r>
          </w:p>
        </w:tc>
        <w:tc>
          <w:tcPr>
            <w:tcW w:w="0" w:type="auto"/>
            <w:vMerge/>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sz w:val="24"/>
                <w:szCs w:val="24"/>
              </w:rPr>
            </w:pP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栏  次</w:t>
            </w:r>
          </w:p>
        </w:tc>
        <w:tc>
          <w:tcPr>
            <w:tcW w:w="0" w:type="auto"/>
            <w:vMerge/>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sz w:val="24"/>
                <w:szCs w:val="24"/>
              </w:rPr>
            </w:pP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一、“三公”经费支出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二、机关运行经费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（一）支出合计</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（一）行政单位</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1．因公出国（境）费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（二）参照公务员法管理事业单位</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2．公务用车购置及运行维护费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lastRenderedPageBreak/>
              <w:t xml:space="preserve">    （1）公务用车购置费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三、国有资产占用情况（辆，台，套）</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（2）公务用车运行维护费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（一）车辆数合计</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3．公务接待费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1．部级领导干部用车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（1）国内接待费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2．一般公务用车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（2）国（境）外接待费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3．一般执法执勤用车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（二）相关统计数</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4．特种专业技术用车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1．因公出国（境）团组数（个）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5．其他用车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2．因公出国（境）人次数（人）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（二）单位价值200万元以上大型设备（台，套）</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3．公务用车购置数（辆）</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4．公务用车保有量（辆）</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5．国内公务接待批次（个）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6．国内公务接待人次（人）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7．国（境）外公务接待批次（个）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8．国（境）外公务接待人次（人）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注：1．本表反映部门决算中“三公”经费、机关运行经费和国有资产占用情况等相关统计指标。</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 xml:space="preserve">2．“三公”经费填列单位使用一般公共预算财政拨款安排的支出，“三公”经费相关统计数同此口径。“三公”经费金额应与财决08表保持一致； </w:t>
      </w:r>
    </w:p>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 xml:space="preserve">    3．“机关运行经费”填列行政单位和参照公务员法管理的事业单位使用一般公共预算财政拨款安排的基本支出中的日常公用经费支出，相关数据应与财决07表保持一致。</w:t>
      </w:r>
    </w:p>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 xml:space="preserve">    4．“国有资产占用情况”填列单位用各类资金购置的车辆、设备等固定资产数量情况，相关数据应与财决附01表保持一致。</w:t>
      </w:r>
    </w:p>
    <w:p w:rsidR="00EA3A7A" w:rsidRPr="00EA3A7A" w:rsidRDefault="00004167" w:rsidP="00EA3A7A">
      <w:pPr>
        <w:widowControl/>
        <w:snapToGrid w:val="0"/>
        <w:jc w:val="right"/>
        <w:rPr>
          <w:rFonts w:ascii="黑体" w:eastAsia="黑体" w:hAnsi="黑体" w:cs="Times New Roman"/>
          <w:color w:val="000000"/>
          <w:kern w:val="0"/>
          <w:sz w:val="24"/>
          <w:szCs w:val="24"/>
        </w:rPr>
      </w:pPr>
      <w:hyperlink r:id="rId11" w:anchor="返回03" w:history="1"/>
    </w:p>
    <w:p w:rsidR="00EA3A7A" w:rsidRPr="00EA3A7A" w:rsidRDefault="00EA3A7A" w:rsidP="00EA3A7A">
      <w:pPr>
        <w:snapToGrid w:val="0"/>
        <w:rPr>
          <w:rFonts w:ascii="黑体" w:eastAsia="黑体" w:hAnsi="黑体" w:cs="Times New Roman"/>
          <w:sz w:val="24"/>
          <w:szCs w:val="24"/>
        </w:rPr>
      </w:pPr>
      <w:bookmarkStart w:id="6" w:name="附表6：政府采购情况表"/>
      <w:r w:rsidRPr="00EA3A7A">
        <w:rPr>
          <w:rFonts w:ascii="黑体" w:eastAsia="黑体" w:hAnsi="黑体" w:cs="Times New Roman" w:hint="eastAsia"/>
          <w:sz w:val="24"/>
          <w:szCs w:val="24"/>
        </w:rPr>
        <w:t>附表6：</w:t>
      </w:r>
    </w:p>
    <w:tbl>
      <w:tblPr>
        <w:tblW w:w="5000" w:type="pct"/>
        <w:tblLook w:val="04A0"/>
      </w:tblPr>
      <w:tblGrid>
        <w:gridCol w:w="805"/>
        <w:gridCol w:w="808"/>
        <w:gridCol w:w="805"/>
        <w:gridCol w:w="1916"/>
        <w:gridCol w:w="2197"/>
        <w:gridCol w:w="1364"/>
        <w:gridCol w:w="805"/>
        <w:gridCol w:w="1916"/>
        <w:gridCol w:w="2197"/>
        <w:gridCol w:w="1361"/>
      </w:tblGrid>
      <w:tr w:rsidR="00EA3A7A" w:rsidRPr="00EA3A7A" w:rsidTr="00EA3A7A">
        <w:trPr>
          <w:trHeight w:val="80"/>
        </w:trPr>
        <w:tc>
          <w:tcPr>
            <w:tcW w:w="5000" w:type="pct"/>
            <w:gridSpan w:val="10"/>
            <w:noWrap/>
            <w:vAlign w:val="bottom"/>
            <w:hideMark/>
          </w:tcPr>
          <w:p w:rsidR="00EA3A7A" w:rsidRPr="00EA3A7A" w:rsidRDefault="00EA3A7A" w:rsidP="00EA3A7A">
            <w:pPr>
              <w:widowControl/>
              <w:spacing w:line="80" w:lineRule="atLeast"/>
              <w:jc w:val="center"/>
              <w:rPr>
                <w:rFonts w:ascii="黑体" w:eastAsia="黑体" w:hAnsi="黑体" w:cs="宋体"/>
                <w:kern w:val="0"/>
                <w:sz w:val="24"/>
                <w:szCs w:val="24"/>
              </w:rPr>
            </w:pPr>
            <w:r w:rsidRPr="00EA3A7A">
              <w:rPr>
                <w:rFonts w:ascii="黑体" w:eastAsia="黑体" w:hAnsi="黑体" w:cs="宋体" w:hint="eastAsia"/>
                <w:kern w:val="0"/>
                <w:sz w:val="24"/>
                <w:szCs w:val="24"/>
              </w:rPr>
              <w:t>政府采购情况表</w:t>
            </w:r>
          </w:p>
        </w:tc>
      </w:tr>
      <w:bookmarkEnd w:id="6"/>
      <w:tr w:rsidR="00EA3A7A" w:rsidRPr="00EA3A7A" w:rsidTr="00EA3A7A">
        <w:trPr>
          <w:trHeight w:val="80"/>
        </w:trPr>
        <w:tc>
          <w:tcPr>
            <w:tcW w:w="2784" w:type="pct"/>
            <w:gridSpan w:val="6"/>
            <w:tcBorders>
              <w:top w:val="nil"/>
              <w:left w:val="nil"/>
              <w:bottom w:val="single" w:sz="4" w:space="0" w:color="auto"/>
              <w:right w:val="nil"/>
            </w:tcBorders>
            <w:noWrap/>
            <w:vAlign w:val="center"/>
            <w:hideMark/>
          </w:tcPr>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Times New Roman" w:hint="eastAsia"/>
                <w:sz w:val="24"/>
                <w:szCs w:val="24"/>
              </w:rPr>
              <w:lastRenderedPageBreak/>
              <w:t>编制单位：</w:t>
            </w:r>
          </w:p>
        </w:tc>
        <w:tc>
          <w:tcPr>
            <w:tcW w:w="2216" w:type="pct"/>
            <w:gridSpan w:val="4"/>
            <w:tcBorders>
              <w:top w:val="nil"/>
              <w:left w:val="nil"/>
              <w:bottom w:val="single" w:sz="4" w:space="0" w:color="auto"/>
              <w:right w:val="nil"/>
            </w:tcBorders>
            <w:noWrap/>
            <w:vAlign w:val="center"/>
            <w:hideMark/>
          </w:tcPr>
          <w:p w:rsidR="00EA3A7A" w:rsidRPr="00EA3A7A" w:rsidRDefault="00EA3A7A" w:rsidP="00EA3A7A">
            <w:pPr>
              <w:widowControl/>
              <w:spacing w:line="80" w:lineRule="atLeast"/>
              <w:jc w:val="right"/>
              <w:rPr>
                <w:rFonts w:ascii="仿宋" w:eastAsia="仿宋" w:hAnsi="仿宋" w:cs="宋体"/>
                <w:kern w:val="0"/>
                <w:sz w:val="24"/>
                <w:szCs w:val="24"/>
              </w:rPr>
            </w:pPr>
            <w:r w:rsidRPr="00EA3A7A">
              <w:rPr>
                <w:rFonts w:ascii="仿宋" w:eastAsia="仿宋" w:hAnsi="仿宋" w:cs="宋体" w:hint="eastAsia"/>
                <w:kern w:val="0"/>
                <w:sz w:val="24"/>
                <w:szCs w:val="24"/>
              </w:rPr>
              <w:t>单位：元</w:t>
            </w:r>
          </w:p>
        </w:tc>
      </w:tr>
      <w:tr w:rsidR="00EA3A7A" w:rsidRPr="00EA3A7A" w:rsidTr="00EA3A7A">
        <w:trPr>
          <w:trHeight w:val="70"/>
        </w:trPr>
        <w:tc>
          <w:tcPr>
            <w:tcW w:w="284" w:type="pct"/>
            <w:vMerge w:val="restar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项目</w:t>
            </w:r>
          </w:p>
        </w:tc>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行次</w:t>
            </w:r>
          </w:p>
        </w:tc>
        <w:tc>
          <w:tcPr>
            <w:tcW w:w="2216" w:type="pct"/>
            <w:gridSpan w:val="4"/>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采购预算</w:t>
            </w:r>
          </w:p>
        </w:tc>
        <w:tc>
          <w:tcPr>
            <w:tcW w:w="2216" w:type="pct"/>
            <w:gridSpan w:val="4"/>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采购金额</w:t>
            </w:r>
          </w:p>
        </w:tc>
      </w:tr>
      <w:tr w:rsidR="00EA3A7A" w:rsidRPr="00EA3A7A" w:rsidTr="00EA3A7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kern w:val="0"/>
                <w:sz w:val="24"/>
                <w:szCs w:val="24"/>
              </w:rPr>
            </w:pP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总计</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一般公共预算</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政府性基金预算</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其他资金</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总计</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一般公共预算</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政府性基金预算</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其他资金</w:t>
            </w:r>
          </w:p>
        </w:tc>
      </w:tr>
      <w:tr w:rsidR="00EA3A7A" w:rsidRPr="00EA3A7A" w:rsidTr="00EA3A7A">
        <w:trPr>
          <w:trHeight w:val="70"/>
        </w:trPr>
        <w:tc>
          <w:tcPr>
            <w:tcW w:w="569" w:type="pct"/>
            <w:gridSpan w:val="2"/>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栏次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1</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2</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3</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4</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5</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6</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7</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8</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合计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1</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货物</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2</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工程</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3</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服务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4</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bl>
    <w:p w:rsid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注：本表反映各部门和单位纳入部门预算范围的各项政府采购预算及支出情况，表中数据应与政府采购信息统计报表中“政府采购资金情况表”数据保持一致。</w:t>
      </w:r>
    </w:p>
    <w:p w:rsidR="00EA3A7A" w:rsidRPr="00EA3A7A" w:rsidRDefault="00EA3A7A" w:rsidP="00EA3A7A">
      <w:pPr>
        <w:snapToGrid w:val="0"/>
        <w:rPr>
          <w:rFonts w:ascii="黑体" w:eastAsia="黑体" w:hAnsi="黑体" w:cs="Times New Roman"/>
          <w:color w:val="000000"/>
          <w:kern w:val="0"/>
          <w:sz w:val="24"/>
          <w:szCs w:val="24"/>
        </w:rPr>
      </w:pPr>
    </w:p>
    <w:p w:rsidR="00EA3A7A" w:rsidRPr="00EA3A7A" w:rsidRDefault="00EA3A7A" w:rsidP="00EA3A7A">
      <w:pPr>
        <w:snapToGrid w:val="0"/>
        <w:rPr>
          <w:rFonts w:ascii="黑体" w:eastAsia="黑体" w:hAnsi="黑体" w:cs="Times New Roman"/>
          <w:sz w:val="24"/>
          <w:szCs w:val="24"/>
        </w:rPr>
      </w:pPr>
      <w:bookmarkStart w:id="7" w:name="附表9：住房公积金业务收支情况表"/>
      <w:r w:rsidRPr="00EA3A7A">
        <w:rPr>
          <w:rFonts w:ascii="黑体" w:eastAsia="黑体" w:hAnsi="黑体" w:cs="黑体" w:hint="eastAsia"/>
          <w:kern w:val="0"/>
          <w:sz w:val="24"/>
          <w:szCs w:val="24"/>
        </w:rPr>
        <w:t>附表9：</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住房公积金业务收支情况表</w:t>
      </w:r>
    </w:p>
    <w:tbl>
      <w:tblPr>
        <w:tblW w:w="5000" w:type="pct"/>
        <w:tblLook w:val="04A0"/>
      </w:tblPr>
      <w:tblGrid>
        <w:gridCol w:w="3244"/>
        <w:gridCol w:w="574"/>
        <w:gridCol w:w="771"/>
        <w:gridCol w:w="1165"/>
        <w:gridCol w:w="5911"/>
        <w:gridCol w:w="573"/>
        <w:gridCol w:w="771"/>
        <w:gridCol w:w="1165"/>
      </w:tblGrid>
      <w:tr w:rsidR="00EA3A7A" w:rsidRPr="00EA3A7A" w:rsidTr="00EA3A7A">
        <w:trPr>
          <w:trHeight w:val="80"/>
          <w:tblHeader/>
        </w:trPr>
        <w:tc>
          <w:tcPr>
            <w:tcW w:w="1144" w:type="pct"/>
            <w:tcBorders>
              <w:top w:val="nil"/>
              <w:left w:val="nil"/>
              <w:bottom w:val="single" w:sz="4" w:space="0" w:color="000000"/>
              <w:right w:val="nil"/>
            </w:tcBorders>
            <w:vAlign w:val="center"/>
            <w:hideMark/>
          </w:tcPr>
          <w:bookmarkEnd w:id="7"/>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202"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72"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411"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085"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85" w:type="pct"/>
            <w:gridSpan w:val="3"/>
            <w:tcBorders>
              <w:top w:val="nil"/>
              <w:left w:val="nil"/>
              <w:bottom w:val="single" w:sz="4"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r>
      <w:tr w:rsidR="00EA3A7A" w:rsidRPr="00EA3A7A" w:rsidTr="00EA3A7A">
        <w:trPr>
          <w:trHeight w:val="60"/>
          <w:tblHeader/>
        </w:trPr>
        <w:tc>
          <w:tcPr>
            <w:tcW w:w="1144" w:type="pc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    目</w:t>
            </w:r>
          </w:p>
        </w:tc>
        <w:tc>
          <w:tcPr>
            <w:tcW w:w="20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27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本年数</w:t>
            </w:r>
          </w:p>
        </w:tc>
        <w:tc>
          <w:tcPr>
            <w:tcW w:w="411"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年末累计数</w:t>
            </w:r>
          </w:p>
        </w:tc>
        <w:tc>
          <w:tcPr>
            <w:tcW w:w="2085"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    目</w:t>
            </w:r>
          </w:p>
        </w:tc>
        <w:tc>
          <w:tcPr>
            <w:tcW w:w="20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27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本年数</w:t>
            </w:r>
          </w:p>
        </w:tc>
        <w:tc>
          <w:tcPr>
            <w:tcW w:w="411"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年末累计数</w:t>
            </w:r>
          </w:p>
        </w:tc>
      </w:tr>
      <w:tr w:rsidR="00EA3A7A" w:rsidRPr="00EA3A7A" w:rsidTr="00EA3A7A">
        <w:trPr>
          <w:trHeight w:val="70"/>
          <w:tblHeader/>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一、业务收入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三、增值收益分配及使用</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6"/>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1．住房公积金利息收入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1．提取公积金个人贷款风险准备金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2．个人委托贷款利息收入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其中：核销呆账支出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3．项目贷款利息收入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2．提取公积金项目贷款风险准备金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4．国家债券利息收入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其中：核销呆账支出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5．增值收益利息收入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3．提取住房公积金中心管理费用</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6"/>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6．其他收入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管理费用支出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其中：（1）工资福利支出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（2）商品和服务支出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二、业务支出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（3）对个人和家庭的补助</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1．住房公积金利息支出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（4）其他资本性支出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2．住房公积金归集手续费支出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4．提取城市廉租住房和公共租赁住房建设补充资金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3．委托贷款手续费支出</w:t>
            </w:r>
          </w:p>
        </w:tc>
        <w:tc>
          <w:tcPr>
            <w:tcW w:w="20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27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其中：上缴财政城市廉租住房和公共租赁住房建设补充资金</w:t>
            </w:r>
          </w:p>
        </w:tc>
        <w:tc>
          <w:tcPr>
            <w:tcW w:w="20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27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bl>
    <w:p w:rsidR="00EA3A7A" w:rsidRPr="00EA3A7A" w:rsidRDefault="00EA3A7A" w:rsidP="00EA3A7A">
      <w:pPr>
        <w:snapToGrid w:val="0"/>
        <w:rPr>
          <w:rFonts w:ascii="仿宋" w:eastAsia="仿宋" w:hAnsi="仿宋" w:cs="Times New Roman"/>
          <w:bCs/>
          <w:sz w:val="24"/>
          <w:szCs w:val="24"/>
        </w:rPr>
      </w:pPr>
      <w:r w:rsidRPr="00EA3A7A">
        <w:rPr>
          <w:rFonts w:ascii="仿宋" w:eastAsia="仿宋" w:hAnsi="仿宋" w:cs="宋体" w:hint="eastAsia"/>
          <w:sz w:val="24"/>
          <w:szCs w:val="24"/>
        </w:rPr>
        <w:t>注：</w:t>
      </w:r>
      <w:r w:rsidRPr="00EA3A7A">
        <w:rPr>
          <w:rFonts w:ascii="仿宋" w:eastAsia="仿宋" w:hAnsi="仿宋" w:cs="Times New Roman" w:hint="eastAsia"/>
          <w:sz w:val="24"/>
          <w:szCs w:val="24"/>
        </w:rPr>
        <w:t>1．</w:t>
      </w:r>
      <w:r w:rsidRPr="00EA3A7A">
        <w:rPr>
          <w:rFonts w:ascii="仿宋" w:eastAsia="仿宋" w:hAnsi="仿宋" w:cs="宋体" w:hint="eastAsia"/>
          <w:sz w:val="24"/>
          <w:szCs w:val="24"/>
        </w:rPr>
        <w:t>本表</w:t>
      </w:r>
      <w:r w:rsidRPr="00EA3A7A">
        <w:rPr>
          <w:rFonts w:ascii="仿宋" w:eastAsia="仿宋" w:hAnsi="仿宋" w:cs="仿宋" w:hint="eastAsia"/>
          <w:bCs/>
          <w:color w:val="000000"/>
          <w:sz w:val="24"/>
          <w:szCs w:val="24"/>
        </w:rPr>
        <w:t>反映本年度及截至本年末累计的住房公积金业务收支和增值收益分配使用情况，</w:t>
      </w:r>
      <w:r w:rsidRPr="00EA3A7A">
        <w:rPr>
          <w:rFonts w:ascii="仿宋" w:eastAsia="仿宋" w:hAnsi="仿宋" w:cs="宋体" w:hint="eastAsia"/>
          <w:sz w:val="24"/>
          <w:szCs w:val="24"/>
        </w:rPr>
        <w:t>仅由住房公积金管理中心填报</w:t>
      </w:r>
      <w:r w:rsidRPr="00EA3A7A">
        <w:rPr>
          <w:rFonts w:ascii="仿宋" w:eastAsia="仿宋" w:hAnsi="仿宋" w:cs="仿宋" w:hint="eastAsia"/>
          <w:bCs/>
          <w:color w:val="000000"/>
          <w:sz w:val="24"/>
          <w:szCs w:val="24"/>
        </w:rPr>
        <w:t>。</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2．本表“住房公积金利息收入”填列公积金中心将住房公积金存入受委托银行取得的利息收入；“个人委托贷款利息收入”填列公积金中心委托银行向职工发放住房公积金贷款取得的利息收入，委托存贷款利息按国家规定的利率和期限计算。</w:t>
      </w:r>
    </w:p>
    <w:p w:rsidR="00EA3A7A" w:rsidRPr="00EA3A7A" w:rsidRDefault="00EA3A7A" w:rsidP="00EA3A7A">
      <w:pPr>
        <w:widowControl/>
        <w:snapToGrid w:val="0"/>
        <w:ind w:firstLine="480"/>
        <w:rPr>
          <w:rFonts w:ascii="仿宋" w:eastAsia="仿宋" w:hAnsi="仿宋" w:cs="Times New Roman"/>
          <w:sz w:val="24"/>
          <w:szCs w:val="24"/>
        </w:rPr>
      </w:pPr>
      <w:r w:rsidRPr="00EA3A7A">
        <w:rPr>
          <w:rFonts w:ascii="仿宋" w:eastAsia="仿宋" w:hAnsi="仿宋" w:cs="Times New Roman" w:hint="eastAsia"/>
          <w:sz w:val="24"/>
          <w:szCs w:val="24"/>
        </w:rPr>
        <w:t>3．本表“住房公积金利息支出”填列公积金中心按国家规定应支付职工个人的住房公积金利息；“住房公积金归集手续费支出”填列公积金中心按照规定支付给受委托银行的住房公积金归集手续费；“委托贷款手续费支出”填列公积金中心按照规定支付给委托银行的委托贷款手续费。</w:t>
      </w:r>
    </w:p>
    <w:p w:rsidR="00EA3A7A" w:rsidRPr="00EA3A7A" w:rsidRDefault="00EA3A7A" w:rsidP="00EA3A7A">
      <w:pPr>
        <w:widowControl/>
        <w:snapToGrid w:val="0"/>
        <w:ind w:firstLine="480"/>
        <w:rPr>
          <w:rFonts w:ascii="仿宋" w:eastAsia="仿宋" w:hAnsi="仿宋" w:cs="Times New Roman"/>
          <w:sz w:val="24"/>
          <w:szCs w:val="24"/>
        </w:rPr>
      </w:pPr>
      <w:r w:rsidRPr="00EA3A7A">
        <w:rPr>
          <w:rFonts w:ascii="仿宋" w:eastAsia="仿宋" w:hAnsi="仿宋" w:cs="Times New Roman" w:hint="eastAsia"/>
          <w:sz w:val="24"/>
          <w:szCs w:val="24"/>
        </w:rPr>
        <w:t>4．本表“提取公积金个人贷款风险准备金”填列公积金中心按照规定提取的住房公积金贷款风险准备金;“核销呆账支出”填列公积金中心按照规定的程序和范围，利用贷款风险准备金核销的住房公积金呆账;“提取公积金项目贷款风险准备金”填列公积金中心按照年末项目贷款余额4％计提的贷款风险准备金;“提取住房公积金中心管理费用”填列公积金中心按照规定提取的住房公积金中心管理费用。</w:t>
      </w:r>
    </w:p>
    <w:p w:rsidR="009F7298" w:rsidRPr="00EA3A7A" w:rsidRDefault="009F7298"/>
    <w:sectPr w:rsidR="009F7298" w:rsidRPr="00EA3A7A" w:rsidSect="00B259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CA6" w:rsidRDefault="00135CA6" w:rsidP="00EA3A7A">
      <w:r>
        <w:separator/>
      </w:r>
    </w:p>
  </w:endnote>
  <w:endnote w:type="continuationSeparator" w:id="1">
    <w:p w:rsidR="00135CA6" w:rsidRDefault="00135CA6" w:rsidP="00EA3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CA6" w:rsidRDefault="00135CA6" w:rsidP="00EA3A7A">
      <w:r>
        <w:separator/>
      </w:r>
    </w:p>
  </w:footnote>
  <w:footnote w:type="continuationSeparator" w:id="1">
    <w:p w:rsidR="00135CA6" w:rsidRDefault="00135CA6" w:rsidP="00EA3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3A7A"/>
    <w:rsid w:val="00004167"/>
    <w:rsid w:val="00135CA6"/>
    <w:rsid w:val="001A2484"/>
    <w:rsid w:val="002465F6"/>
    <w:rsid w:val="0034731E"/>
    <w:rsid w:val="005B70D0"/>
    <w:rsid w:val="005E6372"/>
    <w:rsid w:val="007663E1"/>
    <w:rsid w:val="008E7EC1"/>
    <w:rsid w:val="00924811"/>
    <w:rsid w:val="009F7298"/>
    <w:rsid w:val="00B2591A"/>
    <w:rsid w:val="00BB4DBB"/>
    <w:rsid w:val="00CE0E77"/>
    <w:rsid w:val="00D42120"/>
    <w:rsid w:val="00D508B0"/>
    <w:rsid w:val="00D86A80"/>
    <w:rsid w:val="00D937D4"/>
    <w:rsid w:val="00DC6A2F"/>
    <w:rsid w:val="00DF00F0"/>
    <w:rsid w:val="00DF69B6"/>
    <w:rsid w:val="00E769DD"/>
    <w:rsid w:val="00EA3A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D0"/>
    <w:pPr>
      <w:widowControl w:val="0"/>
      <w:jc w:val="both"/>
    </w:pPr>
  </w:style>
  <w:style w:type="paragraph" w:styleId="1">
    <w:name w:val="heading 1"/>
    <w:basedOn w:val="a"/>
    <w:next w:val="a"/>
    <w:link w:val="1Char"/>
    <w:uiPriority w:val="9"/>
    <w:qFormat/>
    <w:rsid w:val="00EA3A7A"/>
    <w:pPr>
      <w:keepNext/>
      <w:keepLines/>
      <w:spacing w:before="340" w:after="330" w:line="576"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3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3A7A"/>
    <w:rPr>
      <w:sz w:val="18"/>
      <w:szCs w:val="18"/>
    </w:rPr>
  </w:style>
  <w:style w:type="paragraph" w:styleId="a4">
    <w:name w:val="footer"/>
    <w:basedOn w:val="a"/>
    <w:link w:val="Char0"/>
    <w:uiPriority w:val="99"/>
    <w:semiHidden/>
    <w:unhideWhenUsed/>
    <w:rsid w:val="00EA3A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3A7A"/>
    <w:rPr>
      <w:sz w:val="18"/>
      <w:szCs w:val="18"/>
    </w:rPr>
  </w:style>
  <w:style w:type="character" w:customStyle="1" w:styleId="1Char">
    <w:name w:val="标题 1 Char"/>
    <w:basedOn w:val="a0"/>
    <w:link w:val="1"/>
    <w:uiPriority w:val="9"/>
    <w:rsid w:val="00EA3A7A"/>
    <w:rPr>
      <w:rFonts w:ascii="Calibri" w:eastAsia="宋体" w:hAnsi="Calibri" w:cs="宋体"/>
      <w:b/>
      <w:bCs/>
      <w:kern w:val="44"/>
      <w:sz w:val="44"/>
      <w:szCs w:val="44"/>
    </w:rPr>
  </w:style>
  <w:style w:type="character" w:styleId="a5">
    <w:name w:val="Hyperlink"/>
    <w:uiPriority w:val="99"/>
    <w:semiHidden/>
    <w:unhideWhenUsed/>
    <w:rsid w:val="00EA3A7A"/>
    <w:rPr>
      <w:color w:val="0000FF"/>
      <w:u w:val="single"/>
    </w:rPr>
  </w:style>
  <w:style w:type="character" w:styleId="a6">
    <w:name w:val="FollowedHyperlink"/>
    <w:basedOn w:val="a0"/>
    <w:uiPriority w:val="99"/>
    <w:semiHidden/>
    <w:unhideWhenUsed/>
    <w:rsid w:val="00EA3A7A"/>
    <w:rPr>
      <w:color w:val="800080" w:themeColor="followedHyperlink"/>
      <w:u w:val="single"/>
    </w:rPr>
  </w:style>
  <w:style w:type="paragraph" w:styleId="a7">
    <w:name w:val="Document Map"/>
    <w:basedOn w:val="a"/>
    <w:link w:val="Char1"/>
    <w:uiPriority w:val="99"/>
    <w:semiHidden/>
    <w:unhideWhenUsed/>
    <w:rsid w:val="00EA3A7A"/>
    <w:pPr>
      <w:shd w:val="clear" w:color="auto" w:fill="000080"/>
    </w:pPr>
    <w:rPr>
      <w:rFonts w:ascii="Times New Roman" w:eastAsia="宋体" w:hAnsi="Times New Roman" w:cs="Times New Roman"/>
      <w:szCs w:val="24"/>
    </w:rPr>
  </w:style>
  <w:style w:type="character" w:customStyle="1" w:styleId="Char1">
    <w:name w:val="文档结构图 Char"/>
    <w:basedOn w:val="a0"/>
    <w:link w:val="a7"/>
    <w:uiPriority w:val="99"/>
    <w:semiHidden/>
    <w:rsid w:val="00EA3A7A"/>
    <w:rPr>
      <w:rFonts w:ascii="Times New Roman" w:eastAsia="宋体" w:hAnsi="Times New Roman" w:cs="Times New Roman"/>
      <w:szCs w:val="24"/>
      <w:shd w:val="clear" w:color="auto" w:fill="000080"/>
    </w:rPr>
  </w:style>
  <w:style w:type="paragraph" w:styleId="a8">
    <w:name w:val="Balloon Text"/>
    <w:basedOn w:val="a"/>
    <w:link w:val="Char2"/>
    <w:uiPriority w:val="99"/>
    <w:semiHidden/>
    <w:unhideWhenUsed/>
    <w:rsid w:val="00EA3A7A"/>
    <w:rPr>
      <w:rFonts w:ascii="Calibri" w:eastAsia="宋体" w:hAnsi="Calibri" w:cs="Calibri"/>
      <w:sz w:val="18"/>
      <w:szCs w:val="18"/>
    </w:rPr>
  </w:style>
  <w:style w:type="character" w:customStyle="1" w:styleId="Char2">
    <w:name w:val="批注框文本 Char"/>
    <w:basedOn w:val="a0"/>
    <w:link w:val="a8"/>
    <w:uiPriority w:val="99"/>
    <w:semiHidden/>
    <w:rsid w:val="00EA3A7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6532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RepTasks2015\2015&#24180;&#24230;&#37096;&#38376;&#20915;&#31639;&#25253;&#34920;.TSK\PARA\2015&#24180;&#24230;&#37096;&#38376;&#20915;&#31639;&#25253;&#34920;.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D:\RepTasks2015\2015&#24180;&#24230;&#37096;&#38376;&#20915;&#31639;&#25253;&#34920;.TSK\PARA\2015&#24180;&#24230;&#37096;&#38376;&#20915;&#31639;&#25253;&#34920;.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RepTasks2015\2015&#24180;&#24230;&#37096;&#38376;&#20915;&#31639;&#25253;&#34920;.TSK\PARA\2015&#24180;&#24230;&#37096;&#38376;&#20915;&#31639;&#25253;&#34920;.htm" TargetMode="External"/><Relationship Id="rId11" Type="http://schemas.openxmlformats.org/officeDocument/2006/relationships/hyperlink" Target="file:///D:\RepTasks2015\2015&#24180;&#24230;&#37096;&#38376;&#20915;&#31639;&#25253;&#34920;.TSK\PARA\2015&#24180;&#24230;&#37096;&#38376;&#20915;&#31639;&#25253;&#34920;.htm" TargetMode="External"/><Relationship Id="rId5" Type="http://schemas.openxmlformats.org/officeDocument/2006/relationships/endnotes" Target="endnotes.xml"/><Relationship Id="rId10" Type="http://schemas.openxmlformats.org/officeDocument/2006/relationships/hyperlink" Target="file:///D:\RepTasks2015\2015&#24180;&#24230;&#37096;&#38376;&#20915;&#31639;&#25253;&#34920;.TSK\PARA\2015&#24180;&#24230;&#37096;&#38376;&#20915;&#31639;&#25253;&#34920;.htm" TargetMode="External"/><Relationship Id="rId4" Type="http://schemas.openxmlformats.org/officeDocument/2006/relationships/footnotes" Target="footnotes.xml"/><Relationship Id="rId9" Type="http://schemas.openxmlformats.org/officeDocument/2006/relationships/hyperlink" Target="file:///D:\RepTasks2015\2015&#24180;&#24230;&#37096;&#38376;&#20915;&#31639;&#25253;&#34920;.TSK\PARA\2015&#24180;&#24230;&#37096;&#38376;&#20915;&#31639;&#25253;&#34920;.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2211</Words>
  <Characters>12607</Characters>
  <Application>Microsoft Office Word</Application>
  <DocSecurity>0</DocSecurity>
  <Lines>105</Lines>
  <Paragraphs>29</Paragraphs>
  <ScaleCrop>false</ScaleCrop>
  <Company/>
  <LinksUpToDate>false</LinksUpToDate>
  <CharactersWithSpaces>14789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6</cp:revision>
  <dcterms:created xsi:type="dcterms:W3CDTF">2016-01-06T03:09:00Z</dcterms:created>
  <dcterms:modified xsi:type="dcterms:W3CDTF">2016-01-07T09:37:00Z</dcterms:modified>
</cp:coreProperties>
</file>